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spacing w:lineRule="auto" w:line="288" w:before="0" w:after="0"/>
        <w:jc w:val="center"/>
        <w:rPr/>
      </w:pPr>
      <w:r>
        <w:rPr>
          <w:color w:val="000000"/>
        </w:rPr>
        <w:t xml:space="preserve">☒ </w:t>
      </w:r>
      <w:r>
        <w:rPr>
          <w:rFonts w:ascii="Times New Roman;sans-serif" w:hAnsi="Times New Roman;sans-serif"/>
          <w:b/>
          <w:color w:val="000000"/>
          <w:sz w:val="20"/>
        </w:rPr>
        <w:t>QUARTERLY REPORT PURSUANT TO SECTION 13 OR 15(d)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April 3, 2022 </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spacing w:lineRule="auto" w:line="288" w:before="12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0-1088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KELLY SERVICES, INC. </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38-1510762</w:t>
            </w:r>
          </w:p>
        </w:tc>
      </w:tr>
      <w:tr>
        <w:trPr/>
        <w:tc>
          <w:tcPr>
            <w:tcW w:w="4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before="0" w:after="0"/>
        <w:ind w:left="0" w:right="0" w:firstLine="180"/>
        <w:rPr/>
      </w:pPr>
      <w:r>
        <w:rPr/>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999 West Big Beaver Road, Troy, Michigan 48084 </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(248) 362-4444 </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rPr/>
      </w:pPr>
      <w:r>
        <w:rPr/>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No Change</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spacing w:before="0" w:after="0"/>
        <w:ind w:left="0" w:right="0" w:firstLine="18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4499" w:type="dxa"/>
        <w:jc w:val="left"/>
        <w:tblInd w:w="0" w:type="dxa"/>
        <w:tblCellMar>
          <w:top w:w="28" w:type="dxa"/>
          <w:left w:w="28" w:type="dxa"/>
          <w:bottom w:w="28" w:type="dxa"/>
          <w:right w:w="28" w:type="dxa"/>
        </w:tblCellMar>
      </w:tblPr>
      <w:tblGrid>
        <w:gridCol w:w="554"/>
        <w:gridCol w:w="484"/>
        <w:gridCol w:w="491"/>
        <w:gridCol w:w="270"/>
        <w:gridCol w:w="270"/>
        <w:gridCol w:w="271"/>
        <w:gridCol w:w="632"/>
        <w:gridCol w:w="632"/>
        <w:gridCol w:w="895"/>
      </w:tblGrid>
      <w:tr>
        <w:trPr/>
        <w:tc>
          <w:tcPr>
            <w:tcW w:w="55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w:t>
              <w:br/>
              <w:t>class</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w:t>
              <w:br/>
              <w:t>Symbols</w:t>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w:t>
              <w:br/>
              <w:t>on which registered</w:t>
            </w:r>
          </w:p>
        </w:tc>
      </w:tr>
      <w:tr>
        <w:trPr/>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KELYA</w:t>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r>
        <w:trPr/>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 Common</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KELYB</w:t>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spacing w:lineRule="auto" w:line="288" w:before="120" w:after="1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 xml:space="preserv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shorter period that the registrant was required to submit and post such files).</w:t>
      </w:r>
    </w:p>
    <w:p>
      <w:pPr>
        <w:pStyle w:val="TextBody"/>
        <w:spacing w:lineRule="auto" w:line="288" w:before="0" w:after="120"/>
        <w:rPr/>
      </w:pP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 xml:space="preserve">No </w:t>
      </w:r>
      <w:r>
        <w:rPr>
          <w:color w:val="000000"/>
        </w:rPr>
        <w:t xml:space="preserv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588" w:type="dxa"/>
        <w:jc w:val="left"/>
        <w:tblInd w:w="0" w:type="dxa"/>
        <w:tblCellMar>
          <w:top w:w="28" w:type="dxa"/>
          <w:left w:w="28" w:type="dxa"/>
          <w:bottom w:w="28" w:type="dxa"/>
          <w:right w:w="28" w:type="dxa"/>
        </w:tblCellMar>
      </w:tblPr>
      <w:tblGrid>
        <w:gridCol w:w="2021"/>
        <w:gridCol w:w="1776"/>
        <w:gridCol w:w="1782"/>
        <w:gridCol w:w="109"/>
        <w:gridCol w:w="109"/>
        <w:gridCol w:w="109"/>
        <w:gridCol w:w="769"/>
        <w:gridCol w:w="769"/>
        <w:gridCol w:w="772"/>
        <w:gridCol w:w="109"/>
        <w:gridCol w:w="109"/>
        <w:gridCol w:w="154"/>
      </w:tblGrid>
      <w:tr>
        <w:trPr/>
        <w:tc>
          <w:tcPr>
            <w:tcW w:w="2021"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(Do not check if a 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1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spacing w:lineRule="auto" w:line="288" w:before="0" w:after="180"/>
        <w:rPr/>
      </w:pPr>
      <w:r>
        <w:rPr>
          <w:rFonts w:ascii="Times New Roman;sans-serif" w:hAnsi="Times New Roman;sans-serif"/>
          <w:b w:val="false"/>
          <w:color w:val="000000"/>
          <w:sz w:val="20"/>
        </w:rPr>
        <w:t xml:space="preserve">Yes ☐ No </w:t>
      </w:r>
      <w:r>
        <w:rPr>
          <w:color w:val="000000"/>
        </w:rPr>
        <w: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May 2, 2022, 34,560,502 shares of Class A and 3,357,146 shares of Class B common stock of the Registrant were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 </w:t>
      </w:r>
    </w:p>
    <w:tbl>
      <w:tblPr>
        <w:tblW w:w="9225" w:type="dxa"/>
        <w:jc w:val="center"/>
        <w:tblInd w:w="0" w:type="dxa"/>
        <w:tblCellMar>
          <w:top w:w="28" w:type="dxa"/>
          <w:left w:w="28" w:type="dxa"/>
          <w:bottom w:w="28" w:type="dxa"/>
          <w:right w:w="28" w:type="dxa"/>
        </w:tblCellMar>
      </w:tblPr>
      <w:tblGrid>
        <w:gridCol w:w="2896"/>
        <w:gridCol w:w="2547"/>
        <w:gridCol w:w="2552"/>
        <w:gridCol w:w="360"/>
        <w:gridCol w:w="360"/>
        <w:gridCol w:w="510"/>
      </w:tblGrid>
      <w:tr>
        <w:trPr/>
        <w:tc>
          <w:tcPr>
            <w:tcW w:w="2896" w:type="dxa"/>
            <w:tcBorders/>
            <w:shd w:fill="auto" w:val="clear"/>
            <w:vAlign w:val="center"/>
          </w:tcPr>
          <w:p>
            <w:pPr>
              <w:pStyle w:val="TableContents"/>
              <w:spacing w:before="0" w:after="283"/>
              <w:rPr>
                <w:sz w:val="4"/>
                <w:szCs w:val="4"/>
              </w:rPr>
            </w:pPr>
            <w:r>
              <w:rPr>
                <w:sz w:val="4"/>
                <w:szCs w:val="4"/>
              </w:rPr>
            </w:r>
          </w:p>
        </w:tc>
        <w:tc>
          <w:tcPr>
            <w:tcW w:w="2547" w:type="dxa"/>
            <w:tcBorders/>
            <w:shd w:fill="auto" w:val="clear"/>
            <w:vAlign w:val="center"/>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r>
      <w:tr>
        <w:trPr/>
        <w:tc>
          <w:tcPr>
            <w:tcW w:w="7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Number</w:t>
            </w:r>
          </w:p>
        </w:tc>
      </w:tr>
      <w:tr>
        <w:trPr/>
        <w:tc>
          <w:tcPr>
            <w:tcW w:w="7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0">
              <w:r>
                <w:rPr>
                  <w:rStyle w:val="InternetLink"/>
                  <w:rFonts w:ascii="Times New Roman;sans-serif" w:hAnsi="Times New Roman;sans-serif"/>
                  <w:b w:val="false"/>
                  <w:color w:val="0000FF"/>
                  <w:sz w:val="20"/>
                  <w:u w:val="single"/>
                </w:rPr>
                <w:t>PART I. FINANCIAL INFORMATION</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0">
              <w:r>
                <w:rPr>
                  <w:rStyle w:val="InternetLink"/>
                  <w:rFonts w:ascii="Times New Roman;sans-serif" w:hAnsi="Times New Roman;sans-serif"/>
                  <w:b w:val="false"/>
                  <w:color w:val="0000FF"/>
                  <w:sz w:val="20"/>
                  <w:u w:val="single"/>
                </w:rPr>
                <w:t>4</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3">
              <w:r>
                <w:rPr>
                  <w:rStyle w:val="InternetLink"/>
                  <w:rFonts w:ascii="Times New Roman;sans-serif" w:hAnsi="Times New Roman;sans-serif"/>
                  <w:b w:val="false"/>
                  <w:color w:val="0000FF"/>
                  <w:sz w:val="20"/>
                  <w:u w:val="single"/>
                </w:rPr>
                <w:t>Item 1. Financial Statements (unaudited)</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3">
              <w:r>
                <w:rPr>
                  <w:rStyle w:val="InternetLink"/>
                  <w:rFonts w:ascii="Times New Roman;sans-serif" w:hAnsi="Times New Roman;sans-serif"/>
                  <w:b w:val="false"/>
                  <w:color w:val="0000FF"/>
                  <w:sz w:val="20"/>
                  <w:u w:val="single"/>
                </w:rPr>
                <w:t>4</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6">
              <w:r>
                <w:rPr>
                  <w:rStyle w:val="InternetLink"/>
                  <w:rFonts w:ascii="Times New Roman;sans-serif" w:hAnsi="Times New Roman;sans-serif"/>
                  <w:b w:val="false"/>
                  <w:color w:val="0000FF"/>
                  <w:sz w:val="20"/>
                  <w:u w:val="single"/>
                </w:rPr>
                <w:t>Consolidated Statements of Earnings</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6">
              <w:r>
                <w:rPr>
                  <w:rStyle w:val="InternetLink"/>
                  <w:rFonts w:ascii="Times New Roman;sans-serif" w:hAnsi="Times New Roman;sans-serif"/>
                  <w:b w:val="false"/>
                  <w:color w:val="0000FF"/>
                  <w:sz w:val="20"/>
                  <w:u w:val="single"/>
                </w:rPr>
                <w:t>4</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9">
              <w:r>
                <w:rPr>
                  <w:rStyle w:val="InternetLink"/>
                  <w:rFonts w:ascii="Times New Roman;sans-serif" w:hAnsi="Times New Roman;sans-serif"/>
                  <w:b w:val="false"/>
                  <w:color w:val="0000FF"/>
                  <w:sz w:val="20"/>
                  <w:u w:val="single"/>
                </w:rPr>
                <w:t>Consolidated Statements of Comprehensive Income (Loss)</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9">
              <w:r>
                <w:rPr>
                  <w:rStyle w:val="InternetLink"/>
                  <w:rFonts w:ascii="Times New Roman;sans-serif" w:hAnsi="Times New Roman;sans-serif"/>
                  <w:b w:val="false"/>
                  <w:color w:val="0000FF"/>
                  <w:sz w:val="20"/>
                  <w:u w:val="single"/>
                </w:rPr>
                <w:t>5</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25">
              <w:r>
                <w:rPr>
                  <w:rStyle w:val="InternetLink"/>
                  <w:rFonts w:ascii="Times New Roman;sans-serif" w:hAnsi="Times New Roman;sans-serif"/>
                  <w:b w:val="false"/>
                  <w:color w:val="0000FF"/>
                  <w:sz w:val="20"/>
                  <w:u w:val="single"/>
                </w:rPr>
                <w:t>Consolidated Balance Sheets</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25">
              <w:r>
                <w:rPr>
                  <w:rStyle w:val="InternetLink"/>
                  <w:rFonts w:ascii="Times New Roman;sans-serif" w:hAnsi="Times New Roman;sans-serif"/>
                  <w:b w:val="false"/>
                  <w:color w:val="0000FF"/>
                  <w:sz w:val="20"/>
                  <w:u w:val="single"/>
                </w:rPr>
                <w:t>6</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31">
              <w:r>
                <w:rPr>
                  <w:rStyle w:val="InternetLink"/>
                  <w:rFonts w:ascii="Times New Roman;sans-serif" w:hAnsi="Times New Roman;sans-serif"/>
                  <w:b w:val="false"/>
                  <w:color w:val="0000FF"/>
                  <w:sz w:val="20"/>
                  <w:u w:val="single"/>
                </w:rPr>
                <w:t>Consolidated Statements of Stockholders' Equity</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31">
              <w:r>
                <w:rPr>
                  <w:rStyle w:val="InternetLink"/>
                  <w:rFonts w:ascii="Times New Roman;sans-serif" w:hAnsi="Times New Roman;sans-serif"/>
                  <w:b w:val="false"/>
                  <w:color w:val="0000FF"/>
                  <w:sz w:val="20"/>
                  <w:u w:val="single"/>
                </w:rPr>
                <w:t>8</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34">
              <w:r>
                <w:rPr>
                  <w:rStyle w:val="InternetLink"/>
                  <w:rFonts w:ascii="Times New Roman;sans-serif" w:hAnsi="Times New Roman;sans-serif"/>
                  <w:b w:val="false"/>
                  <w:color w:val="0000FF"/>
                  <w:sz w:val="20"/>
                  <w:u w:val="single"/>
                </w:rPr>
                <w:t>Consolidated Statements of Cash Flows</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34">
              <w:r>
                <w:rPr>
                  <w:rStyle w:val="InternetLink"/>
                  <w:rFonts w:ascii="Times New Roman;sans-serif" w:hAnsi="Times New Roman;sans-serif"/>
                  <w:b w:val="false"/>
                  <w:color w:val="0000FF"/>
                  <w:sz w:val="20"/>
                  <w:u w:val="single"/>
                </w:rPr>
                <w:t>9</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37">
              <w:r>
                <w:rPr>
                  <w:rStyle w:val="InternetLink"/>
                  <w:rFonts w:ascii="Times New Roman;sans-serif" w:hAnsi="Times New Roman;sans-serif"/>
                  <w:b w:val="false"/>
                  <w:color w:val="0000FF"/>
                  <w:sz w:val="20"/>
                  <w:u w:val="single"/>
                </w:rPr>
                <w:t>Notes to Consolidated Financial Statements</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37">
              <w:r>
                <w:rPr>
                  <w:rStyle w:val="InternetLink"/>
                  <w:rFonts w:ascii="Times New Roman;sans-serif" w:hAnsi="Times New Roman;sans-serif"/>
                  <w:b w:val="false"/>
                  <w:color w:val="0000FF"/>
                  <w:sz w:val="20"/>
                  <w:u w:val="single"/>
                </w:rPr>
                <w:t>11</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00">
              <w:r>
                <w:rPr>
                  <w:rStyle w:val="InternetLink"/>
                  <w:rFonts w:ascii="Times New Roman;sans-serif" w:hAnsi="Times New Roman;sans-serif"/>
                  <w:b w:val="false"/>
                  <w:color w:val="0000FF"/>
                  <w:sz w:val="20"/>
                  <w:u w:val="single"/>
                </w:rPr>
                <w:t>Item 2. Management's Discussion and Analysis of Financial Condition and Results of Operations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00">
              <w:r>
                <w:rPr>
                  <w:rStyle w:val="InternetLink"/>
                  <w:rFonts w:ascii="Times New Roman;sans-serif" w:hAnsi="Times New Roman;sans-serif"/>
                  <w:b w:val="false"/>
                  <w:color w:val="0000FF"/>
                  <w:sz w:val="20"/>
                  <w:u w:val="single"/>
                </w:rPr>
                <w:t>28</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63">
              <w:r>
                <w:rPr>
                  <w:rStyle w:val="InternetLink"/>
                  <w:rFonts w:ascii="Times New Roman;sans-serif" w:hAnsi="Times New Roman;sans-serif"/>
                  <w:b w:val="false"/>
                  <w:color w:val="0000FF"/>
                  <w:sz w:val="20"/>
                  <w:u w:val="single"/>
                </w:rPr>
                <w:t>Item 3. Quantitative and Qualitative Disclosures About Market Risk</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63">
              <w:r>
                <w:rPr>
                  <w:rStyle w:val="InternetLink"/>
                  <w:rFonts w:ascii="Times New Roman;sans-serif" w:hAnsi="Times New Roman;sans-serif"/>
                  <w:b w:val="false"/>
                  <w:color w:val="0000FF"/>
                  <w:sz w:val="20"/>
                  <w:u w:val="single"/>
                </w:rPr>
                <w:t>41</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66">
              <w:r>
                <w:rPr>
                  <w:rStyle w:val="InternetLink"/>
                  <w:rFonts w:ascii="Times New Roman;sans-serif" w:hAnsi="Times New Roman;sans-serif"/>
                  <w:b w:val="false"/>
                  <w:color w:val="0000FF"/>
                  <w:sz w:val="20"/>
                  <w:u w:val="single"/>
                </w:rPr>
                <w:t>Item 4. Controls and Procedures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66">
              <w:r>
                <w:rPr>
                  <w:rStyle w:val="InternetLink"/>
                  <w:rFonts w:ascii="Times New Roman;sans-serif" w:hAnsi="Times New Roman;sans-serif"/>
                  <w:b w:val="false"/>
                  <w:color w:val="0000FF"/>
                  <w:sz w:val="20"/>
                  <w:u w:val="single"/>
                </w:rPr>
                <w:t>41</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69">
              <w:r>
                <w:rPr>
                  <w:rStyle w:val="InternetLink"/>
                  <w:rFonts w:ascii="Times New Roman;sans-serif" w:hAnsi="Times New Roman;sans-serif"/>
                  <w:b w:val="false"/>
                  <w:color w:val="0000FF"/>
                  <w:sz w:val="20"/>
                  <w:u w:val="single"/>
                </w:rPr>
                <w:t>PART II. OTHER INFORMATION</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69">
              <w:r>
                <w:rPr>
                  <w:rStyle w:val="InternetLink"/>
                  <w:rFonts w:ascii="Times New Roman;sans-serif" w:hAnsi="Times New Roman;sans-serif"/>
                  <w:b w:val="false"/>
                  <w:color w:val="0000FF"/>
                  <w:sz w:val="20"/>
                  <w:u w:val="single"/>
                </w:rPr>
                <w:t>42</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72">
              <w:r>
                <w:rPr>
                  <w:rStyle w:val="InternetLink"/>
                  <w:rFonts w:ascii="Times New Roman;sans-serif" w:hAnsi="Times New Roman;sans-serif"/>
                  <w:b w:val="false"/>
                  <w:color w:val="0000FF"/>
                  <w:sz w:val="20"/>
                  <w:u w:val="single"/>
                </w:rPr>
                <w:t>Item 1. Legal Proceedings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72">
              <w:r>
                <w:rPr>
                  <w:rStyle w:val="InternetLink"/>
                  <w:rFonts w:ascii="Times New Roman;sans-serif" w:hAnsi="Times New Roman;sans-serif"/>
                  <w:b w:val="false"/>
                  <w:color w:val="0000FF"/>
                  <w:sz w:val="20"/>
                  <w:u w:val="single"/>
                </w:rPr>
                <w:t>42</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75">
              <w:r>
                <w:rPr>
                  <w:rStyle w:val="InternetLink"/>
                  <w:rFonts w:ascii="Times New Roman;sans-serif" w:hAnsi="Times New Roman;sans-serif"/>
                  <w:b w:val="false"/>
                  <w:color w:val="0000FF"/>
                  <w:sz w:val="20"/>
                  <w:u w:val="single"/>
                </w:rPr>
                <w:t>Item 1A. Risk Factors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75">
              <w:r>
                <w:rPr>
                  <w:rStyle w:val="InternetLink"/>
                  <w:rFonts w:ascii="Times New Roman;sans-serif" w:hAnsi="Times New Roman;sans-serif"/>
                  <w:b w:val="false"/>
                  <w:color w:val="0000FF"/>
                  <w:sz w:val="20"/>
                  <w:u w:val="single"/>
                </w:rPr>
                <w:t>42</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78">
              <w:r>
                <w:rPr>
                  <w:rStyle w:val="InternetLink"/>
                  <w:rFonts w:ascii="Times New Roman;sans-serif" w:hAnsi="Times New Roman;sans-serif"/>
                  <w:b w:val="false"/>
                  <w:color w:val="0000FF"/>
                  <w:sz w:val="20"/>
                  <w:u w:val="single"/>
                </w:rPr>
                <w:t>Item 2. Unregistered Sales of Equity Securities and Use of Proceeds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78">
              <w:r>
                <w:rPr>
                  <w:rStyle w:val="InternetLink"/>
                  <w:rFonts w:ascii="Times New Roman;sans-serif" w:hAnsi="Times New Roman;sans-serif"/>
                  <w:b w:val="false"/>
                  <w:color w:val="0000FF"/>
                  <w:sz w:val="20"/>
                  <w:u w:val="single"/>
                </w:rPr>
                <w:t>43</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81">
              <w:r>
                <w:rPr>
                  <w:rStyle w:val="InternetLink"/>
                  <w:rFonts w:ascii="Times New Roman;sans-serif" w:hAnsi="Times New Roman;sans-serif"/>
                  <w:b w:val="false"/>
                  <w:color w:val="0000FF"/>
                  <w:sz w:val="20"/>
                  <w:u w:val="single"/>
                </w:rPr>
                <w:t>Item 3. Defaults Upon Senior Securities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81">
              <w:r>
                <w:rPr>
                  <w:rStyle w:val="InternetLink"/>
                  <w:rFonts w:ascii="Times New Roman;sans-serif" w:hAnsi="Times New Roman;sans-serif"/>
                  <w:b w:val="false"/>
                  <w:color w:val="0000FF"/>
                  <w:sz w:val="20"/>
                  <w:u w:val="single"/>
                </w:rPr>
                <w:t>43</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84">
              <w:r>
                <w:rPr>
                  <w:rStyle w:val="InternetLink"/>
                  <w:rFonts w:ascii="Times New Roman;sans-serif" w:hAnsi="Times New Roman;sans-serif"/>
                  <w:b w:val="false"/>
                  <w:color w:val="0000FF"/>
                  <w:sz w:val="20"/>
                  <w:u w:val="single"/>
                </w:rPr>
                <w:t>Item 4. Mine Safety Disclosures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84">
              <w:r>
                <w:rPr>
                  <w:rStyle w:val="InternetLink"/>
                  <w:rFonts w:ascii="Times New Roman;sans-serif" w:hAnsi="Times New Roman;sans-serif"/>
                  <w:b w:val="false"/>
                  <w:color w:val="0000FF"/>
                  <w:sz w:val="20"/>
                  <w:u w:val="single"/>
                </w:rPr>
                <w:t>43</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87">
              <w:r>
                <w:rPr>
                  <w:rStyle w:val="InternetLink"/>
                  <w:rFonts w:ascii="Times New Roman;sans-serif" w:hAnsi="Times New Roman;sans-serif"/>
                  <w:b w:val="false"/>
                  <w:color w:val="0000FF"/>
                  <w:sz w:val="20"/>
                  <w:u w:val="single"/>
                </w:rPr>
                <w:t>Item 5. Other Information</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87">
              <w:r>
                <w:rPr>
                  <w:rStyle w:val="InternetLink"/>
                  <w:rFonts w:ascii="Times New Roman;sans-serif" w:hAnsi="Times New Roman;sans-serif"/>
                  <w:b w:val="false"/>
                  <w:color w:val="0000FF"/>
                  <w:sz w:val="20"/>
                  <w:u w:val="single"/>
                </w:rPr>
                <w:t>43</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90">
              <w:r>
                <w:rPr>
                  <w:rStyle w:val="InternetLink"/>
                  <w:rFonts w:ascii="Times New Roman;sans-serif" w:hAnsi="Times New Roman;sans-serif"/>
                  <w:b w:val="false"/>
                  <w:color w:val="0000FF"/>
                  <w:sz w:val="20"/>
                  <w:u w:val="single"/>
                </w:rPr>
                <w:t>Item 6. Exhibits</w:t>
              </w:r>
            </w:hyperlink>
            <w:r>
              <w:rPr>
                <w:rFonts w:ascii="Times New Roman;sans-serif" w:hAnsi="Times New Roman;sans-serif"/>
                <w:b w:val="false"/>
                <w:color w:val="000000"/>
                <w:sz w:val="20"/>
              </w:rPr>
              <w:t>.</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90">
              <w:r>
                <w:rPr>
                  <w:rStyle w:val="InternetLink"/>
                  <w:rFonts w:ascii="Times New Roman;sans-serif" w:hAnsi="Times New Roman;sans-serif"/>
                  <w:b w:val="false"/>
                  <w:color w:val="0000FF"/>
                  <w:sz w:val="20"/>
                  <w:u w:val="single"/>
                </w:rPr>
                <w:t>43</w:t>
              </w:r>
            </w:hyperlink>
          </w:p>
        </w:tc>
      </w:tr>
      <w:tr>
        <w:trPr/>
        <w:tc>
          <w:tcPr>
            <w:tcW w:w="7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b9cac06dd9d4f39b83bbe0e2d1c07cb_196">
              <w:r>
                <w:rPr>
                  <w:rStyle w:val="InternetLink"/>
                  <w:rFonts w:ascii="Times New Roman;sans-serif" w:hAnsi="Times New Roman;sans-serif"/>
                  <w:b w:val="false"/>
                  <w:color w:val="0000FF"/>
                  <w:sz w:val="20"/>
                  <w:u w:val="single"/>
                </w:rPr>
                <w:t>SIGNATURES</w:t>
              </w:r>
            </w:hyperlink>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9cac06dd9d4f39b83bbe0e2d1c07cb_196">
              <w:r>
                <w:rPr>
                  <w:rStyle w:val="InternetLink"/>
                  <w:rFonts w:ascii="Times New Roman;sans-serif" w:hAnsi="Times New Roman;sans-serif"/>
                  <w:b w:val="false"/>
                  <w:color w:val="0000FF"/>
                  <w:sz w:val="20"/>
                  <w:u w:val="single"/>
                </w:rPr>
                <w:t>45</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EARNINGS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 except per share data)</w:t>
      </w:r>
    </w:p>
    <w:p>
      <w:pPr>
        <w:pStyle w:val="TextBody"/>
        <w:spacing w:lineRule="auto" w:line="288" w:before="0" w:after="0"/>
        <w:ind w:left="0" w:right="0" w:firstLine="180"/>
        <w:jc w:val="center"/>
        <w:rPr>
          <w:color w:val="000000"/>
        </w:rPr>
      </w:pPr>
      <w:r>
        <w:rPr>
          <w:color w:val="000000"/>
        </w:rPr>
        <w:t> </w:t>
      </w:r>
    </w:p>
    <w:tbl>
      <w:tblPr>
        <w:tblW w:w="9039" w:type="dxa"/>
        <w:jc w:val="center"/>
        <w:tblInd w:w="0" w:type="dxa"/>
        <w:tblCellMar>
          <w:top w:w="28" w:type="dxa"/>
          <w:left w:w="28" w:type="dxa"/>
          <w:bottom w:w="28" w:type="dxa"/>
          <w:right w:w="28" w:type="dxa"/>
        </w:tblCellMar>
      </w:tblPr>
      <w:tblGrid>
        <w:gridCol w:w="2191"/>
        <w:gridCol w:w="1929"/>
        <w:gridCol w:w="1939"/>
        <w:gridCol w:w="211"/>
        <w:gridCol w:w="766"/>
        <w:gridCol w:w="109"/>
        <w:gridCol w:w="109"/>
        <w:gridCol w:w="109"/>
        <w:gridCol w:w="109"/>
        <w:gridCol w:w="211"/>
        <w:gridCol w:w="766"/>
        <w:gridCol w:w="109"/>
        <w:gridCol w:w="109"/>
        <w:gridCol w:w="109"/>
        <w:gridCol w:w="109"/>
        <w:gridCol w:w="154"/>
      </w:tblGrid>
      <w:tr>
        <w:trPr/>
        <w:tc>
          <w:tcPr>
            <w:tcW w:w="2191"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w:t>
              <w:b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 in Persol Holdings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currency translation from liquidation of subsidiary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before taxes and equity in net earnings (loss) of affiliate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(loss) before equity in net earnings (loss) of affiliate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earnings (loss) of affiliate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(loss) per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(millions):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8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accompanying unaudited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p>
      <w:pPr>
        <w:pStyle w:val="TextBody"/>
        <w:spacing w:lineRule="auto" w:line="288" w:before="0" w:after="0"/>
        <w:ind w:left="0" w:right="0" w:firstLine="18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790"/>
        <w:gridCol w:w="2442"/>
        <w:gridCol w:w="2433"/>
        <w:gridCol w:w="211"/>
        <w:gridCol w:w="578"/>
        <w:gridCol w:w="109"/>
        <w:gridCol w:w="109"/>
        <w:gridCol w:w="109"/>
        <w:gridCol w:w="109"/>
        <w:gridCol w:w="211"/>
        <w:gridCol w:w="511"/>
        <w:gridCol w:w="109"/>
        <w:gridCol w:w="109"/>
        <w:gridCol w:w="109"/>
        <w:gridCol w:w="109"/>
        <w:gridCol w:w="157"/>
      </w:tblGrid>
      <w:tr>
        <w:trPr/>
        <w:tc>
          <w:tcPr>
            <w:tcW w:w="2790"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24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7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w:t>
              <w:b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 net of tax:</w:t>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 expense of $0.1 and $0.5, respectively</w:t>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adjustments included in net earnings (loss) - liquidation of Japan subsidiary</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adjustments included in net earnings (loss) - equity method investment and other</w:t>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18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accompanying unaudited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8769" w:type="dxa"/>
        <w:jc w:val="center"/>
        <w:tblInd w:w="0" w:type="dxa"/>
        <w:tblCellMar>
          <w:top w:w="28" w:type="dxa"/>
          <w:left w:w="28" w:type="dxa"/>
          <w:bottom w:w="28" w:type="dxa"/>
          <w:right w:w="28" w:type="dxa"/>
        </w:tblCellMar>
      </w:tblPr>
      <w:tblGrid>
        <w:gridCol w:w="2246"/>
        <w:gridCol w:w="1978"/>
        <w:gridCol w:w="2001"/>
        <w:gridCol w:w="211"/>
        <w:gridCol w:w="766"/>
        <w:gridCol w:w="109"/>
        <w:gridCol w:w="109"/>
        <w:gridCol w:w="109"/>
        <w:gridCol w:w="109"/>
        <w:gridCol w:w="211"/>
        <w:gridCol w:w="766"/>
        <w:gridCol w:w="154"/>
      </w:tblGrid>
      <w:tr>
        <w:trPr/>
        <w:tc>
          <w:tcPr>
            <w:tcW w:w="2246" w:type="dxa"/>
            <w:tcBorders/>
            <w:shd w:fill="auto" w:val="clear"/>
            <w:vAlign w:val="center"/>
          </w:tcPr>
          <w:p>
            <w:pPr>
              <w:pStyle w:val="TableContents"/>
              <w:spacing w:before="0" w:after="283"/>
              <w:rPr>
                <w:sz w:val="4"/>
                <w:szCs w:val="4"/>
              </w:rPr>
            </w:pPr>
            <w:r>
              <w:rPr>
                <w:sz w:val="4"/>
                <w:szCs w:val="4"/>
              </w:rPr>
            </w:r>
          </w:p>
        </w:tc>
        <w:tc>
          <w:tcPr>
            <w:tcW w:w="1978"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w:t>
              <w:br/>
              <w:t>2022</w:t>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less allowances of $12.2 and $12.6, respectively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Persol Holdings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affiliate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accompanying unaudited Notes to Consolidated Financial Statements.</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10205" w:type="dxa"/>
        <w:jc w:val="center"/>
        <w:tblInd w:w="0" w:type="dxa"/>
        <w:tblCellMar>
          <w:top w:w="28" w:type="dxa"/>
          <w:left w:w="28" w:type="dxa"/>
          <w:bottom w:w="28" w:type="dxa"/>
          <w:right w:w="28" w:type="dxa"/>
        </w:tblCellMar>
      </w:tblPr>
      <w:tblGrid>
        <w:gridCol w:w="2781"/>
        <w:gridCol w:w="2434"/>
        <w:gridCol w:w="2445"/>
        <w:gridCol w:w="211"/>
        <w:gridCol w:w="766"/>
        <w:gridCol w:w="109"/>
        <w:gridCol w:w="109"/>
        <w:gridCol w:w="109"/>
        <w:gridCol w:w="109"/>
        <w:gridCol w:w="211"/>
        <w:gridCol w:w="766"/>
        <w:gridCol w:w="155"/>
      </w:tblGrid>
      <w:tr>
        <w:trPr/>
        <w:tc>
          <w:tcPr>
            <w:tcW w:w="2781" w:type="dxa"/>
            <w:tcBorders/>
            <w:shd w:fill="auto" w:val="clear"/>
            <w:vAlign w:val="center"/>
          </w:tcPr>
          <w:p>
            <w:pPr>
              <w:pStyle w:val="TableContents"/>
              <w:spacing w:before="0" w:after="283"/>
              <w:rPr>
                <w:sz w:val="4"/>
                <w:szCs w:val="4"/>
              </w:rPr>
            </w:pPr>
            <w:r>
              <w:rPr>
                <w:sz w:val="4"/>
                <w:szCs w:val="4"/>
              </w:rPr>
            </w:r>
          </w:p>
        </w:tc>
        <w:tc>
          <w:tcPr>
            <w:tcW w:w="2434" w:type="dxa"/>
            <w:tcBorders/>
            <w:shd w:fill="auto" w:val="clear"/>
            <w:vAlign w:val="center"/>
          </w:tcPr>
          <w:p>
            <w:pPr>
              <w:pStyle w:val="TableContents"/>
              <w:spacing w:before="0" w:after="283"/>
              <w:rPr>
                <w:sz w:val="4"/>
                <w:szCs w:val="4"/>
              </w:rPr>
            </w:pPr>
            <w:r>
              <w:rPr>
                <w:sz w:val="4"/>
                <w:szCs w:val="4"/>
              </w:rPr>
            </w:r>
          </w:p>
        </w:tc>
        <w:tc>
          <w:tcPr>
            <w:tcW w:w="24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w:t>
              <w:br/>
              <w:t>2022</w:t>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workers’ compensation and other claims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2" w:type="dxa"/>
            <w:gridSpan w:val="3"/>
            <w:tcBorders/>
            <w:shd w:fill="auto" w:val="cle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taxes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workers’ compensation and other claims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retirement benefits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Contingencies footnote)</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stock, $1.00 par value</w:t>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100.0 shares authorized; 35.1 shares issued at 2022 and 36.7 shares issued at 2021</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10.0 shares authorized; 3.4 shares issued at 2022 and 2021</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0.6 shares at 2022 and 0.7 shares at 2021</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invested in the business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2,894.2 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accompanying unaudited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bl>
      <w:tblPr>
        <w:tblW w:w="7345" w:type="dxa"/>
        <w:jc w:val="center"/>
        <w:tblInd w:w="0" w:type="dxa"/>
        <w:tblCellMar>
          <w:top w:w="28" w:type="dxa"/>
          <w:left w:w="28" w:type="dxa"/>
          <w:bottom w:w="28" w:type="dxa"/>
          <w:right w:w="28" w:type="dxa"/>
        </w:tblCellMar>
      </w:tblPr>
      <w:tblGrid>
        <w:gridCol w:w="1581"/>
        <w:gridCol w:w="1391"/>
        <w:gridCol w:w="1393"/>
        <w:gridCol w:w="211"/>
        <w:gridCol w:w="766"/>
        <w:gridCol w:w="109"/>
        <w:gridCol w:w="109"/>
        <w:gridCol w:w="109"/>
        <w:gridCol w:w="109"/>
        <w:gridCol w:w="211"/>
        <w:gridCol w:w="766"/>
        <w:gridCol w:w="109"/>
        <w:gridCol w:w="109"/>
        <w:gridCol w:w="109"/>
        <w:gridCol w:w="109"/>
        <w:gridCol w:w="154"/>
      </w:tblGrid>
      <w:tr>
        <w:trPr/>
        <w:tc>
          <w:tcPr>
            <w:tcW w:w="1581"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w:t>
              <w:b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Stock</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from Class B</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retirement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to Class 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issuance of stock awards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issuance of stock awards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Paid-in Capital</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issuance of stock awards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Invested in the Business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retirement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 at end of period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accompanying unaudited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bl>
      <w:tblPr>
        <w:tblW w:w="8918" w:type="dxa"/>
        <w:jc w:val="center"/>
        <w:tblInd w:w="0" w:type="dxa"/>
        <w:tblCellMar>
          <w:top w:w="28" w:type="dxa"/>
          <w:left w:w="28" w:type="dxa"/>
          <w:bottom w:w="28" w:type="dxa"/>
          <w:right w:w="28" w:type="dxa"/>
        </w:tblCellMar>
      </w:tblPr>
      <w:tblGrid>
        <w:gridCol w:w="2413"/>
        <w:gridCol w:w="2123"/>
        <w:gridCol w:w="2138"/>
        <w:gridCol w:w="211"/>
        <w:gridCol w:w="616"/>
        <w:gridCol w:w="109"/>
        <w:gridCol w:w="109"/>
        <w:gridCol w:w="109"/>
        <w:gridCol w:w="109"/>
        <w:gridCol w:w="211"/>
        <w:gridCol w:w="616"/>
        <w:gridCol w:w="154"/>
      </w:tblGrid>
      <w:tr>
        <w:trPr/>
        <w:tc>
          <w:tcPr>
            <w:tcW w:w="2413"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Weeks Ended</w:t>
            </w:r>
          </w:p>
        </w:tc>
      </w:tr>
      <w:tr>
        <w:trPr/>
        <w:tc>
          <w:tcPr>
            <w:tcW w:w="6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w:t>
              <w:br/>
              <w:t>2021</w:t>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(loss) to net cash from operating activities:</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6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 amortization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and sales allowances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 in Persol Holdings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currency translation from liquidation of subsidiary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currency remeasurement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(earnings) loss of PersolKelly Pte. Ltd.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operating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companies, net of cash received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company-owned life insurance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Persol Holdings investment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equity method investment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from investing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short-term borrowings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payments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stock awards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Buyback of common shares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financing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rates on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Cash, cash equivalents and restricted cash at end of period </w:t>
            </w:r>
            <w:r>
              <w:rPr>
                <w:rFonts w:ascii="Times New Roman;sans-serif" w:hAnsi="Times New Roman;sans-serif"/>
                <w:b/>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rPr/>
      </w:pPr>
      <w:r>
        <w:rPr/>
      </w:r>
    </w:p>
    <w:p>
      <w:pPr>
        <w:pStyle w:val="TextBody"/>
        <w:spacing w:before="60" w:after="283"/>
        <w:rPr/>
      </w:pPr>
      <w:r>
        <w:rPr/>
      </w:r>
    </w:p>
    <w:p>
      <w:pPr>
        <w:pStyle w:val="TextBody"/>
        <w:spacing w:before="60" w:after="283"/>
        <w:jc w:val="center"/>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60" w:after="283"/>
        <w:jc w:val="center"/>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p>
      <w:pPr>
        <w:pStyle w:val="TextBody"/>
        <w:spacing w:before="0" w:after="0"/>
        <w:jc w:val="center"/>
        <w:rPr/>
      </w:pPr>
      <w:r>
        <w:rPr/>
      </w:r>
    </w:p>
    <w:p>
      <w:pPr>
        <w:pStyle w:val="TextBody"/>
        <w:spacing w:lineRule="auto" w:line="288" w:before="6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following table provides a reconciliation of cash, cash equivalents and restricted cash to the amounts reported in our consolidated balance sheets:</w:t>
      </w:r>
    </w:p>
    <w:tbl>
      <w:tblPr>
        <w:tblW w:w="7943" w:type="dxa"/>
        <w:jc w:val="left"/>
        <w:tblInd w:w="0" w:type="dxa"/>
        <w:tblCellMar>
          <w:top w:w="28" w:type="dxa"/>
          <w:left w:w="28" w:type="dxa"/>
          <w:bottom w:w="28" w:type="dxa"/>
          <w:right w:w="28" w:type="dxa"/>
        </w:tblCellMar>
      </w:tblPr>
      <w:tblGrid>
        <w:gridCol w:w="2065"/>
        <w:gridCol w:w="1813"/>
        <w:gridCol w:w="1821"/>
        <w:gridCol w:w="211"/>
        <w:gridCol w:w="616"/>
        <w:gridCol w:w="109"/>
        <w:gridCol w:w="109"/>
        <w:gridCol w:w="109"/>
        <w:gridCol w:w="109"/>
        <w:gridCol w:w="211"/>
        <w:gridCol w:w="616"/>
        <w:gridCol w:w="154"/>
      </w:tblGrid>
      <w:tr>
        <w:trPr/>
        <w:tc>
          <w:tcPr>
            <w:tcW w:w="2065"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Weeks Ended</w:t>
            </w:r>
          </w:p>
        </w:tc>
      </w:tr>
      <w:tr>
        <w:trPr/>
        <w:tc>
          <w:tcPr>
            <w:tcW w:w="5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w:t>
              <w:br/>
              <w:t>2021</w:t>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accompanying unaudited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 xml:space="preserve">1. </w:t>
      </w:r>
      <w:r>
        <w:rPr>
          <w:color w:val="000000"/>
        </w:rPr>
        <w:t> </w:t>
      </w:r>
      <w:r>
        <w:rPr>
          <w:rFonts w:ascii="Times New Roman;sans-serif" w:hAnsi="Times New Roman;sans-serif"/>
          <w:b/>
          <w:color w:val="000000"/>
          <w:sz w:val="20"/>
        </w:rPr>
        <w:t>Basis of Presentation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consolidated financial statements of Kelly Services, Inc. (the “Company,” “Kelly,” “we” or “us”) have been prepared in accordance with Rule 10-01 of Regulation S-X and do not include all the information and notes required by generally accepted accounting principles (“GAAP”) for complete financial statements. In the opinion of management, all adjustments, including normal recurring adjustments, necessary for a fair statement of the results of the interim periods, have been made. The results of operations for such interim periods are not necessarily indicative of results of operations for a full year. The unaudited consolidated financial statements should be read in conjunction with the Company’s consolidated financial statements and notes thereto for the fiscal year ended January 2, 2022, included in the Company’s Annual Report on Form 10-K filed with the Securities and Exchange Commission on February 17, 2022 (the 2021 consolidated financial statements). There were no changes in accounting policies as disclosed in the Form 10-K, with the exception of those described in the New Accounting Pronouncements footnote. The Company’s first fiscal quarter ended on April 3, 2022 (2022) and April 4, 2021 (2021), each of which contained 13 weeks.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180"/>
        <w:rPr/>
      </w:pPr>
      <w:r>
        <w:rPr>
          <w:rFonts w:ascii="Times New Roman;sans-serif" w:hAnsi="Times New Roman;sans-serif"/>
          <w:b/>
          <w:color w:val="000000"/>
          <w:sz w:val="20"/>
        </w:rPr>
        <w:t xml:space="preserve">2. </w:t>
      </w:r>
      <w:r>
        <w:rPr>
          <w:color w:val="000000"/>
        </w:rPr>
        <w:t> </w:t>
      </w:r>
      <w:r>
        <w:rPr>
          <w:rFonts w:ascii="Times New Roman;sans-serif" w:hAnsi="Times New Roman;sans-serif"/>
          <w:b/>
          <w:color w:val="000000"/>
          <w:sz w:val="20"/>
        </w:rPr>
        <w:t xml:space="preserve">Revenue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 Disaggregated by Service Type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Kelly has five operating segments: Professional &amp; Industrial (“P&amp;I”), Science, Engineering &amp; Technology (“SET”), Education, Outsourcing &amp; Consulting Group ("Outsourcing &amp; Consulting," "OCG") and International. Other than OCG, each segment delivers talent through staffing services, permanent placement or outcome-based services. Our OCG segment delivers talent solutions including managed service provider ("MSP"), payroll process outsourcing ("PPO"), recruitment process outsourcing ("RPO"), and talent advisory services. International also delivers RPO talent solutions within its local markets.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segment revenues disaggregated by service type (in millions of dollars):</w:t>
      </w:r>
    </w:p>
    <w:p>
      <w:pPr>
        <w:pStyle w:val="TextBody"/>
        <w:spacing w:before="0" w:after="0"/>
        <w:rPr/>
      </w:pPr>
      <w:r>
        <w:rPr/>
      </w:r>
    </w:p>
    <w:tbl>
      <w:tblPr>
        <w:tblW w:w="6861" w:type="dxa"/>
        <w:jc w:val="center"/>
        <w:tblInd w:w="0" w:type="dxa"/>
        <w:tblCellMar>
          <w:top w:w="28" w:type="dxa"/>
          <w:left w:w="28" w:type="dxa"/>
          <w:bottom w:w="28" w:type="dxa"/>
          <w:right w:w="28" w:type="dxa"/>
        </w:tblCellMar>
      </w:tblPr>
      <w:tblGrid>
        <w:gridCol w:w="1287"/>
        <w:gridCol w:w="1133"/>
        <w:gridCol w:w="1134"/>
        <w:gridCol w:w="109"/>
        <w:gridCol w:w="109"/>
        <w:gridCol w:w="109"/>
        <w:gridCol w:w="211"/>
        <w:gridCol w:w="766"/>
        <w:gridCol w:w="109"/>
        <w:gridCol w:w="109"/>
        <w:gridCol w:w="109"/>
        <w:gridCol w:w="109"/>
        <w:gridCol w:w="211"/>
        <w:gridCol w:w="766"/>
        <w:gridCol w:w="109"/>
        <w:gridCol w:w="109"/>
        <w:gridCol w:w="109"/>
        <w:gridCol w:w="109"/>
        <w:gridCol w:w="154"/>
      </w:tblGrid>
      <w:tr>
        <w:trPr/>
        <w:tc>
          <w:tcPr>
            <w:tcW w:w="1287"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placement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Outcome-based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Professional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placement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Outcome-based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Science, Engineering &amp;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placement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Education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Talent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Outsourcing &amp; Consulting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placement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Talent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 Disaggregated by Geography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different economic and regulatory environments depending on geographic location. Our P&amp;I and Education segments operate in the Americas region, our SET segment operates in the Americas and Europe regions, and OCG operates in the Americas, Europe and Asia-Pacific regions. The International segment includes Europe and our Mexico operations, which are included in the Americas region.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below table presents our revenues disaggregated by geography (in millions of dollars):</w:t>
      </w:r>
    </w:p>
    <w:p>
      <w:pPr>
        <w:pStyle w:val="TextBody"/>
        <w:spacing w:before="0" w:after="0"/>
        <w:rPr/>
      </w:pPr>
      <w:r>
        <w:rPr/>
      </w:r>
    </w:p>
    <w:tbl>
      <w:tblPr>
        <w:tblW w:w="5526" w:type="dxa"/>
        <w:jc w:val="center"/>
        <w:tblInd w:w="0" w:type="dxa"/>
        <w:tblCellMar>
          <w:top w:w="28" w:type="dxa"/>
          <w:left w:w="28" w:type="dxa"/>
          <w:bottom w:w="28" w:type="dxa"/>
          <w:right w:w="28" w:type="dxa"/>
        </w:tblCellMar>
      </w:tblPr>
      <w:tblGrid>
        <w:gridCol w:w="803"/>
        <w:gridCol w:w="705"/>
        <w:gridCol w:w="711"/>
        <w:gridCol w:w="109"/>
        <w:gridCol w:w="109"/>
        <w:gridCol w:w="109"/>
        <w:gridCol w:w="211"/>
        <w:gridCol w:w="766"/>
        <w:gridCol w:w="109"/>
        <w:gridCol w:w="109"/>
        <w:gridCol w:w="109"/>
        <w:gridCol w:w="109"/>
        <w:gridCol w:w="211"/>
        <w:gridCol w:w="766"/>
        <w:gridCol w:w="109"/>
        <w:gridCol w:w="109"/>
        <w:gridCol w:w="109"/>
        <w:gridCol w:w="109"/>
        <w:gridCol w:w="154"/>
      </w:tblGrid>
      <w:tr>
        <w:trPr/>
        <w:tc>
          <w:tcPr>
            <w:tcW w:w="803"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Puerto Rico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 Region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Europe Region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Asia-Pacific Region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Kelly Services,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The below table presents our SET, OCG and International segment revenues disaggregated by geographic region (in millions of dollars):</w:t>
      </w:r>
    </w:p>
    <w:tbl>
      <w:tblPr>
        <w:tblW w:w="6562" w:type="dxa"/>
        <w:jc w:val="left"/>
        <w:tblInd w:w="0" w:type="dxa"/>
        <w:tblCellMar>
          <w:top w:w="28" w:type="dxa"/>
          <w:left w:w="28" w:type="dxa"/>
          <w:bottom w:w="28" w:type="dxa"/>
          <w:right w:w="28" w:type="dxa"/>
        </w:tblCellMar>
      </w:tblPr>
      <w:tblGrid>
        <w:gridCol w:w="1288"/>
        <w:gridCol w:w="1132"/>
        <w:gridCol w:w="1135"/>
        <w:gridCol w:w="109"/>
        <w:gridCol w:w="109"/>
        <w:gridCol w:w="109"/>
        <w:gridCol w:w="211"/>
        <w:gridCol w:w="616"/>
        <w:gridCol w:w="109"/>
        <w:gridCol w:w="109"/>
        <w:gridCol w:w="109"/>
        <w:gridCol w:w="109"/>
        <w:gridCol w:w="211"/>
        <w:gridCol w:w="616"/>
        <w:gridCol w:w="109"/>
        <w:gridCol w:w="109"/>
        <w:gridCol w:w="109"/>
        <w:gridCol w:w="109"/>
        <w:gridCol w:w="154"/>
      </w:tblGrid>
      <w:tr>
        <w:trPr/>
        <w:tc>
          <w:tcPr>
            <w:tcW w:w="128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Science, Engineering &amp;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Outsourcing &amp; Consulting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Deferred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fulfillment costs, which are included in prepaid expenses and other current assets in the consolidated balance sheet, were $1.7 million as of first quarter-end 2022 and $1.3 million as of year-end 2021. Amortization expense for the deferred costs for the first quarter of 2022 was $1.9 million and in the first quarter of 2021 was $6.8 million.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3. Credit Losses</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rollforward of our allowance for credit losses related to trade accounts receivable, which is recorded in trade accounts receivable, less allowance in the consolidated balance sheet, is as follows (in millions of dollars):</w:t>
      </w:r>
    </w:p>
    <w:tbl>
      <w:tblPr>
        <w:tblW w:w="4178" w:type="dxa"/>
        <w:jc w:val="left"/>
        <w:tblInd w:w="0" w:type="dxa"/>
        <w:tblCellMar>
          <w:top w:w="28" w:type="dxa"/>
          <w:left w:w="28" w:type="dxa"/>
          <w:bottom w:w="28" w:type="dxa"/>
          <w:right w:w="28" w:type="dxa"/>
        </w:tblCellMar>
      </w:tblPr>
      <w:tblGrid>
        <w:gridCol w:w="853"/>
        <w:gridCol w:w="748"/>
        <w:gridCol w:w="753"/>
        <w:gridCol w:w="211"/>
        <w:gridCol w:w="406"/>
        <w:gridCol w:w="109"/>
        <w:gridCol w:w="109"/>
        <w:gridCol w:w="109"/>
        <w:gridCol w:w="109"/>
        <w:gridCol w:w="211"/>
        <w:gridCol w:w="406"/>
        <w:gridCol w:w="154"/>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provision</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exchange effects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Write-offs are presented net of recoveries, which were not material for first quarter-end 2022 and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engaged in litigation with a customer over a disputed accounts receivable balance for certain services rendered more than five years ago, which was recorded as a long-term receivable in other assets in the consolidated balance sheet as of first quarter-end 2021. The related allowance for credit losses on this long-term customer receivable was $10.9 million and represented the likelihood of collection as of first quarter-end 2021. Based on a final ruling in the case in favor of the customer, we wrote off the entire receivable balance in the third quarter of 2021. No other allowances related to other receivables were material for first quarter-end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180"/>
        <w:rPr/>
      </w:pPr>
      <w:r>
        <w:rPr>
          <w:rFonts w:ascii="Times New Roman;sans-serif" w:hAnsi="Times New Roman;sans-serif"/>
          <w:b/>
          <w:color w:val="000000"/>
          <w:sz w:val="20"/>
        </w:rPr>
        <w:t xml:space="preserve">4. </w:t>
      </w:r>
      <w:r>
        <w:rPr>
          <w:color w:val="000000"/>
        </w:rPr>
        <w:t> </w:t>
      </w:r>
      <w:r>
        <w:rPr>
          <w:rFonts w:ascii="Times New Roman;sans-serif" w:hAnsi="Times New Roman;sans-serif"/>
          <w:b/>
          <w:color w:val="000000"/>
          <w:sz w:val="20"/>
        </w:rPr>
        <w:t>Acquisitions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2022, the Company acquired Rocket Power Holdings LLC and Rocket Power Ops LLC (collectively, "RocketPower"), as detailed below. In the second quarter of 2021, the Company acquired Softworld, Inc. ("Softworld"), as detailed below.</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RocketPower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7, 2022, the Company acquired 100% of the issued and outstanding membership interests of RocketPower for a purchase price of $59.3 million. RocketPower is a leading provider of RPO and other outsourced talent solutions to U.S. high-tech companies. This acquisition will expand OCG's RPO solution and delivery offering and enhance the specialty RPO strategy and expertise within the high-tech industry. Under terms of the purchase agreement, the purchase price was adjusted for cash held by RocketPower at the closing date and estimated working capital adjustments resulting in the Company paying cash of $61.8 million. Total consideration includes $1.1 million of additional consideration that is payable to the seller in 2023 related to employee retention credits and contingent consideration with an estimated fair value of $0.6 million related to an earnout payment with a maximum potential cash payment of $31.8 million in the event certain financial metrics are met per the terms of the agreement. The initial fair value of the earnout was established using a Black Scholes model (see Fair Value Measurements footnote). The earnout is expected to be paid in 2023 and 2024 after each earn-out year pursuant to the terms of the purchase agreement. The total consideration is as follows (in millions of dollars):</w:t>
      </w:r>
    </w:p>
    <w:p>
      <w:pPr>
        <w:pStyle w:val="TextBody"/>
        <w:spacing w:before="0" w:after="0"/>
        <w:rPr/>
      </w:pPr>
      <w:r>
        <w:rPr/>
      </w:r>
    </w:p>
    <w:tbl>
      <w:tblPr>
        <w:tblW w:w="3725" w:type="dxa"/>
        <w:jc w:val="left"/>
        <w:tblInd w:w="0" w:type="dxa"/>
        <w:tblCellMar>
          <w:top w:w="28" w:type="dxa"/>
          <w:left w:w="28" w:type="dxa"/>
          <w:bottom w:w="28" w:type="dxa"/>
          <w:right w:w="28" w:type="dxa"/>
        </w:tblCellMar>
      </w:tblPr>
      <w:tblGrid>
        <w:gridCol w:w="1032"/>
        <w:gridCol w:w="908"/>
        <w:gridCol w:w="909"/>
        <w:gridCol w:w="211"/>
        <w:gridCol w:w="511"/>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consideration payable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Due to the limited amount of time that has passed since acquiring RocketPower, the purchase price allocation for this acquisition is preliminary and could change.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the assets acquired and liabilities assumed as of the date of the acquisition (in millions of dollars):</w:t>
      </w:r>
    </w:p>
    <w:p>
      <w:pPr>
        <w:pStyle w:val="TextBody"/>
        <w:spacing w:before="0" w:after="0"/>
        <w:rPr/>
      </w:pPr>
      <w:r>
        <w:rPr/>
      </w:r>
    </w:p>
    <w:tbl>
      <w:tblPr>
        <w:tblW w:w="5811" w:type="dxa"/>
        <w:jc w:val="left"/>
        <w:tblInd w:w="0" w:type="dxa"/>
        <w:tblCellMar>
          <w:top w:w="28" w:type="dxa"/>
          <w:left w:w="28" w:type="dxa"/>
          <w:bottom w:w="28" w:type="dxa"/>
          <w:right w:w="28" w:type="dxa"/>
        </w:tblCellMar>
      </w:tblPr>
      <w:tblGrid>
        <w:gridCol w:w="1782"/>
        <w:gridCol w:w="1567"/>
        <w:gridCol w:w="1586"/>
        <w:gridCol w:w="211"/>
        <w:gridCol w:w="511"/>
        <w:gridCol w:w="154"/>
      </w:tblGrid>
      <w:tr>
        <w:trPr/>
        <w:tc>
          <w:tcPr>
            <w:tcW w:w="1782"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current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taxes, current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including working capital adjustments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acquired receivables represents the contractual value. Included in the assets purchased in the RocketPower acquisition was $15.8 million of intangible assets, made up of $7.5 million in customer relationships, $6.6 million associated with RocketPower's trade names and $1.7 million for non-compete agreements. Customer relationships will be amortized over three years with no residual value, trade names will be amortized over 10 years with no residual value, and the non-compete agreements will be amortized over six years with no residual value. Goodwill generated from the acquisition was primarily attributable to expected synergies from combining operations and expanding market potential and was assigned to the OCG operating segment (see Goodwill footnote). The amount of goodwill expected to be deductible for tax purposes is approximately $28.0 million.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RocketPower's results of operations will be included in the OCG segment in 2022 on a one-month lag. Accordingly, for the first quarter-end 2022, our consolidated revenues and net earnings did not include any results from RocketPower. Pro forma results of operations for this acquisition have not been presented as it is not material to the consolidated statements of earnings.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Softworld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2021, the Company acquired 100% of the shares of Softworld for a purchase price of $215.0 million. Softworld is a leading technology staffing and workforce solutions firm that serves clients across several end-markets, including financial services, life sciences, aerospace, defense, insurance, retail and IT consulting. This acquisition is intended to expand our capabilities, scale and solution set in our technology specialty. Under terms of the purchase agreement, the purchase price was adjusted for cash held by Softworld at the closing date and estimated working capital adjustments resulting in the Company paying cash of $220.4 million. Total consideration includes $2.6 million of additional consideration that is payable to the seller in 2022. In the third quarter of 2021, the Company received cash for a post-close working capital adjustment of $6.0 million. The total consideration is as follows (in millions of dollars): </w:t>
      </w:r>
    </w:p>
    <w:p>
      <w:pPr>
        <w:pStyle w:val="TextBody"/>
        <w:spacing w:before="0" w:after="0"/>
        <w:rPr/>
      </w:pPr>
      <w:r>
        <w:rPr/>
      </w:r>
    </w:p>
    <w:tbl>
      <w:tblPr>
        <w:tblW w:w="3830" w:type="dxa"/>
        <w:jc w:val="left"/>
        <w:tblInd w:w="0" w:type="dxa"/>
        <w:tblCellMar>
          <w:top w:w="28" w:type="dxa"/>
          <w:left w:w="28" w:type="dxa"/>
          <w:bottom w:w="28" w:type="dxa"/>
          <w:right w:w="28" w:type="dxa"/>
        </w:tblCellMar>
      </w:tblPr>
      <w:tblGrid>
        <w:gridCol w:w="1032"/>
        <w:gridCol w:w="908"/>
        <w:gridCol w:w="909"/>
        <w:gridCol w:w="211"/>
        <w:gridCol w:w="616"/>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consideration payable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working capital adjustment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first quarter-end 2022, the purchase price allocation for this acquisition is final. Our consolidated revenue from services and earnings from operations for the first quarter of 2022 included $37.9 million and $3.5 million, respectively, from Softworld. Goodwill generated from the acquisition was primarily attributable to expanding market potential and the expected revenue synergies and was assigned to the SET operating segment (see Goodwill footnote). All of the goodwill is expected to be deductible for tax purposes.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5. Investment in Persol Holdings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February 2022, the Company had a yen-denominated investment through the Company's subsidiary, Kelly Services Japan, Inc., in the common stock of Persol Holdings Co., Ltd. ("Persol Holdings"), the 100% owner of Persol Asia Pacific Pte. Ltd., the Company’s joint venture partner in PersolKelly Pte. Ltd. (the "JV"). In February 2022, the Company's board approved a series of transactions that ended the cross-shareholding agreement with Persol Holdings.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14, 2022, the Company repurchased 1,576,169 Class A and 1,475 Class B common shares held by Persol Holdings for $27.2 million. The purchase price was based on the average closing price of the last five business days prior to the transaction. The shares were subsequently retired and returned to an authorized, unissued status. In accordance with the Company's policy, the amount paid to repurchase the shares in excess of par value of $25.6 million was recorded to earnings invested in the business on the consolidated balance sheet at the time of the share retirement.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15, 2022, Kelly Services Japan, Inc. sold the investment in the common stock of Persol Holdings in an open-market transaction for proceeds of $196.9 million, net of transaction fees. As our investment was a noncontrolling interest in Persol Holdings, the investment was recorded at fair value based on the quoted market price of Persol Holdings stock on the Tokyo Stock Exchange through the date of the transaction (see Fair Value Measurements footnote). The $67.2 million loss in the first quarter of 2022 recorded in gain (loss) on investment in Persol Holdings in the consolidated statements of earnings included $52.4 million for losses related to changes in fair value up to the date of the transaction and $14.8 million for the discount from the market price on the date of the sale and transaction costs. The gain on the investment of $30.0 million in the first quarter 2021 was recorded in gain (loss) on investment in Persol Holdings in the consolidated statements of earnings.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Subsequent to the transaction discussed above, the Company commenced the dissolution process of its Kelly Services Japan, Inc. subsidiary, which was considered substantially liquidated as of first quarter-end 2022. As a result, the Company recognized a $20.4 million cumulative translation adjustment loss in the first quarter of 2022, which is recorded in loss on currency translation from liquidation of subsidiary in the consolidated statements of earnings. The Company also recognized a $5.5 million foreign exchange gain related to U.S.-denominated cash equivalents held by Kelly Services Japan, Inc. following the sale of the Persol Holdings shares and prior to a dividend payment to the Company in the first quarter of 2022. The foreign exchange gain is recorded in other income (expense), net in the consolidated statements of earnings.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Investment in PersolKelly Pte. Ltd.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February 2022, the Company had a 49% ownership interest in the JV (see Investment in Persol Holdings footnote above), a staffing services business operating in ten geographies in the Asia-Pacific region. On February 14, 2022, the Company entered into an agreement to sell 95% of the Company's shares in the JV to Persol Asia Pacific Pte. Ltd. On March 1, 2022, the Company received cash proceeds of $119.5 million. The carrying value of the shares sold was $117.6 million. In addition, the Company had $1.9 million of accumulated other comprehensive income representing the Company's share of the JV's other comprehensive income over time related to the shares sold that was realized upon the sale, offsetting the $1.9 million gain that resulted from the proceeds in excess of the carrying value.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results of the Company’s interest in the JV were accounted for on a one-quarter lag under the equity method and were reported in equity in net earnings (loss) of affiliate in the consolidated statements of earnings through the date of the sale. Such amounts were earnings of $0.8 million in the first quarter of 2022 and a loss of $1.1 million in the first quarter of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After the sale, the Company has a 2.5% ownership interest in the JV and has discontinued its use of equity method accounting. The remaining investment will be accounted for as an equity investment without a readily determinable fair value (see Fair Value Measurements footnote). The equity investment, included in other assets on the Company’s consolidated balance sheet, totaled $6.4 million as of first quarter-end 2022 and the investment in equity affiliate on the Company's consolidated balance sheet totaled $123.4 million as of year-end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7.  Fair Value Measurements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short-term borrowings, accounts payable, accrued liabilities and accrued payroll and related taxes approximate their fair values due to the short-term maturities of these assets and liabilities.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assets and liabilities measured at fair value on a recurring basis as of first quarter-end 2022 and year-end 2021 in the consolidated balance sheet by fair value hierarchy level, as described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pStyle w:val="TextBody"/>
        <w:spacing w:before="0" w:after="0"/>
        <w:rPr/>
      </w:pPr>
      <w:r>
        <w:rPr/>
      </w:r>
    </w:p>
    <w:tbl>
      <w:tblPr>
        <w:tblW w:w="7317" w:type="dxa"/>
        <w:jc w:val="left"/>
        <w:tblInd w:w="0" w:type="dxa"/>
        <w:tblCellMar>
          <w:top w:w="28" w:type="dxa"/>
          <w:left w:w="28" w:type="dxa"/>
          <w:bottom w:w="28" w:type="dxa"/>
          <w:right w:w="28" w:type="dxa"/>
        </w:tblCellMar>
      </w:tblPr>
      <w:tblGrid>
        <w:gridCol w:w="929"/>
        <w:gridCol w:w="815"/>
        <w:gridCol w:w="821"/>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81"/>
        <w:gridCol w:w="154"/>
      </w:tblGrid>
      <w:tr>
        <w:trPr/>
        <w:tc>
          <w:tcPr>
            <w:tcW w:w="92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 First Quarter-End 2022</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Persol Holdings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indemnification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Greenwood/Asher earnout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RocketPower earnout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317" w:type="dxa"/>
        <w:jc w:val="left"/>
        <w:tblInd w:w="0" w:type="dxa"/>
        <w:tblCellMar>
          <w:top w:w="28" w:type="dxa"/>
          <w:left w:w="28" w:type="dxa"/>
          <w:bottom w:w="28" w:type="dxa"/>
          <w:right w:w="28" w:type="dxa"/>
        </w:tblCellMar>
      </w:tblPr>
      <w:tblGrid>
        <w:gridCol w:w="929"/>
        <w:gridCol w:w="815"/>
        <w:gridCol w:w="821"/>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81"/>
        <w:gridCol w:w="154"/>
      </w:tblGrid>
      <w:tr>
        <w:trPr/>
        <w:tc>
          <w:tcPr>
            <w:tcW w:w="92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of Year-End 2021</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Persol Holdings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indemnification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Greenwood/Asher earnout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Money market funds represent investments in money market funds that hold government securities, of which $7.3 million as of first quarter-end 2022 and $6.5 million as of year-end 2021, are restricted as to use and are included in other assets in the consolidated balance sheet. The money market funds that are restricted as to use account for the majority of our restricted cash balance and represents cash balances that are required to be maintained to fund disability claims in California. The remaining money market funds as of first quarter-end 2022 and year-end 2021 are included in cash and equivalents in the consolidated balance sheet. The valuations of money market funds are based on quoted market prices of those accounts as of the respective period end.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15, 2022, Kelly Services Japan, Inc. sold the investment in the common stock of Persol Holdings in an open-market transaction. The valuation of the investment was based on the quoted market price of Persol Holdings stock on the Tokyo Stock Exchange as of year-end 2021, and the related changes in fair value were recorded in the consolidated statements of earnings (see Investment in Persol Holdings footnote). The cost of this yen-denominated investment, which fluctuated based on foreign exchange rates, was $18.0 million at year-end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first quarter-end 2022 and year-end 2021, the Company had an indemnification liability of $2.9 million and $2.4 million, respectively, in other long-term liabilities on the consolidated balance sheet related to the 2020 sale of the Brazil operations. As part of the sale, the Company agreed to indemnify the buyer for losses and costs incurred in connection with certain events or occurrences initiated within a six-year period after closing. The aggregate losses for which the Company will provide indemnification shall not exceed $8.8 million. The valuation of the indemnification liability was established using a discounted cash flow methodology based on probability weighted-average cash flows discounted by weighted-average cost of capital. The valuation, which represents the fair value, is considered a Level 3 liability, and is being measured on a recurring basis. During the first quarter of 2022, the Company recognized an increase of $0.5 million to the indemnification liability related to exchange rate fluctuations in other income (expense), net in the consolidated statements of earnings.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recorded an earnout liability relating to the 2020 acquisition of Greenwood/Asher, totaling $2.3 million at first quarter-end 2022 in accounts payable and accrued liabilities and $4.6 million at year-end 2021 with $2.3 million in accounts payable and accrued liabilities and $2.3 million in other long-term liabilities in the consolidated balance sheet. The initial valuation of the earnout liability was established using a Black Scholes model and represented the fair value and is considered a Level 3 liability. During the first quarter of 2022, the Company paid the year one portion of the earnout totaling $2.3 million. In the consolidated statements of cash flows, $0.7 million of the payment is reflected as a financing activity representing the initial fair value of the earnout, with the remainder flowing through operating activities.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earnout liability relating to the 2022 acquisition of RocketPower, totaling $0.6 million at first quarter-end 2022 with $0.5 million in accounts payable and accrued liabilities and $0.1 million in other long-term liabilities in the consolidated balance sheet (see Acquisitions footnote). The maximum total cash payments which may be due related to the earnout liability is $31.8 million. The initial valuation of the earnout liability was established using a Black Scholes model and represents the fair value and is considered a Level 3 liability.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Equity Investment Without Readily Determinable Fair Value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1, 2022, the Company sold the majority of its investment in the JV (see Investment in PersolKelly Pte. Ltd. footnote), with the remaining 2.5% interest now being measured using the measurement alternative for equity investments without a readily determinable fair value. The measurement alternative represents cost, less impairment, plus or minus observable price changes. The sale of the shares of the JV represented an observable transaction requiring the Company to calculate the current fair value based on the purchase price of the shares, in which the resulting adjustment was not material. The investment totaled $6.4 million as of first quarter-end 2022, representing total cost plus observable price changes to date.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April 2021, the Company had a minority investment in Business Talent Group, LLC, which was included in other assets in the consolidated balance sheet. The investment was also measured using the measurement alternative for equity investments without a readily determinable fair value as described above. In the second quarter of 2021, BTG entered into a merger agreement which resulted in all of the Company's shares of BTG being automatically canceled upon approval of the merger and resulted in the receipt of $5.0 million in cash, which was equal to the carrying value and purchase price of the BTG investment.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March 2021, the Company had a minority investment in Kenzie Academy Inc., which was included in other assets in the consolidated balance sheet. The investment was also measured using the measurement alternative for equity investments without a readily determinable fair value as described above. On March 8, 2021, Kenzie entered into a transaction to sell its assets. As of the date of the sale, the investment had a carrying value of $1.4 million, representing total cost plus observable price changes to date. In the first quarter of 2021, the asset was written down as a result of the sale and the loss of $1.4 million was recorded in other income (expense), net in the consolidated statements of earnings.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8. Restructuring</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2022, the Company took restructuring actions designed to increase efficiency. There were no restructuring charges incurred in the first quarter of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Restructuring costs incurred in the first quarter of 2022 totaled $1.7 million and were recorded entirely in SG&amp;A expenses in the consolidated statements of earnings, as detailed below (in millions of dollars):</w:t>
      </w:r>
    </w:p>
    <w:tbl>
      <w:tblPr>
        <w:tblW w:w="7243" w:type="dxa"/>
        <w:jc w:val="left"/>
        <w:tblInd w:w="0" w:type="dxa"/>
        <w:tblCellMar>
          <w:top w:w="28" w:type="dxa"/>
          <w:left w:w="28" w:type="dxa"/>
          <w:bottom w:w="28" w:type="dxa"/>
          <w:right w:w="28" w:type="dxa"/>
        </w:tblCellMar>
      </w:tblPr>
      <w:tblGrid>
        <w:gridCol w:w="825"/>
        <w:gridCol w:w="727"/>
        <w:gridCol w:w="728"/>
        <w:gridCol w:w="413"/>
        <w:gridCol w:w="796"/>
        <w:gridCol w:w="215"/>
        <w:gridCol w:w="109"/>
        <w:gridCol w:w="109"/>
        <w:gridCol w:w="109"/>
        <w:gridCol w:w="613"/>
        <w:gridCol w:w="1182"/>
        <w:gridCol w:w="319"/>
        <w:gridCol w:w="109"/>
        <w:gridCol w:w="109"/>
        <w:gridCol w:w="109"/>
        <w:gridCol w:w="211"/>
        <w:gridCol w:w="406"/>
        <w:gridCol w:w="154"/>
      </w:tblGrid>
      <w:tr>
        <w:trPr/>
        <w:tc>
          <w:tcPr>
            <w:tcW w:w="8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Severance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 Termination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the global restructuring balance sheet accrual, included in accrued payroll and related taxes and accounts payable and accrued liabilities in the consolidated balance sheet, is detailed below (in millions of dollars):</w:t>
      </w:r>
    </w:p>
    <w:p>
      <w:pPr>
        <w:pStyle w:val="TextBody"/>
        <w:spacing w:before="0" w:after="0"/>
        <w:rPr/>
      </w:pPr>
      <w:r>
        <w:rPr/>
      </w:r>
    </w:p>
    <w:tbl>
      <w:tblPr>
        <w:tblW w:w="6260" w:type="dxa"/>
        <w:jc w:val="left"/>
        <w:tblInd w:w="0" w:type="dxa"/>
        <w:tblCellMar>
          <w:top w:w="28" w:type="dxa"/>
          <w:left w:w="28" w:type="dxa"/>
          <w:bottom w:w="28" w:type="dxa"/>
          <w:right w:w="28" w:type="dxa"/>
        </w:tblCellMar>
      </w:tblPr>
      <w:tblGrid>
        <w:gridCol w:w="1986"/>
        <w:gridCol w:w="1748"/>
        <w:gridCol w:w="1755"/>
        <w:gridCol w:w="211"/>
        <w:gridCol w:w="406"/>
        <w:gridCol w:w="154"/>
      </w:tblGrid>
      <w:tr>
        <w:trPr/>
        <w:tc>
          <w:tcPr>
            <w:tcW w:w="1986"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year-end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Professional &amp; Industrial</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Outsourcing &amp; Consulting</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Education</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Corporate</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cash payments related to all restructuring activities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first quarter-end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remaining balance of $2.6 million as of first quarter-end 2022 primarily represents severance costs, and the majority is expected to be paid by second quarter-end 2022. No material adjustments are expected to be recorded.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9. Goodwill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as of first quarter-end 2022 are included in the table below. The goodwill resulting from the acquisition of RocketPower during the first quarter of 2022 (see Acquisitions footnote) was allocated to the OCG reportable segment.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54"/>
        <w:gridCol w:w="838"/>
        <w:gridCol w:w="841"/>
        <w:gridCol w:w="109"/>
        <w:gridCol w:w="109"/>
        <w:gridCol w:w="109"/>
        <w:gridCol w:w="278"/>
        <w:gridCol w:w="813"/>
        <w:gridCol w:w="143"/>
        <w:gridCol w:w="109"/>
        <w:gridCol w:w="109"/>
        <w:gridCol w:w="109"/>
        <w:gridCol w:w="425"/>
        <w:gridCol w:w="1033"/>
        <w:gridCol w:w="221"/>
        <w:gridCol w:w="109"/>
        <w:gridCol w:w="109"/>
        <w:gridCol w:w="109"/>
        <w:gridCol w:w="539"/>
        <w:gridCol w:w="1037"/>
        <w:gridCol w:w="280"/>
        <w:gridCol w:w="109"/>
        <w:gridCol w:w="109"/>
        <w:gridCol w:w="109"/>
        <w:gridCol w:w="319"/>
        <w:gridCol w:w="934"/>
        <w:gridCol w:w="242"/>
      </w:tblGrid>
      <w:tr>
        <w:trPr/>
        <w:tc>
          <w:tcPr>
            <w:tcW w:w="954"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 of </w:t>
              <w:br/>
              <w:t>Year-End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Additions to 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Impairment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 of First </w:t>
              <w:br/>
              <w:t>Quarter-End 2022</w:t>
            </w:r>
          </w:p>
        </w:tc>
      </w:tr>
      <w:tr>
        <w:trPr/>
        <w:tc>
          <w:tcPr>
            <w:tcW w:w="2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5"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r>
      <w:tr>
        <w:trPr/>
        <w:tc>
          <w:tcPr>
            <w:tcW w:w="2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10.  Accumulated Other Comprehensive Income (Loss)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net of tax, for the first quarter 2022 and 2021 are included in the table below. Amounts in parentheses indicate debits. Reclassification adjustments out of accumulated other comprehensive income (loss) related to the liquidation of the Japan subsidiary, as shown in the table below, were recorded in the loss on currency translation from liquidation of subsidiary line item in the consolidated statements of earnings. Reclassification adjustments out of accumulated other comprehensive income (loss) related to the equity method investment and other, as shown in the table below, which includes $1.9 million related to the investment in PersolKelly Pte. Ltd., were recorded in the other income (expense), net line item in the consolidated statement of earnings. See Investment in PersolKelly Pte. Ltd. footnote for more details.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801"/>
        <w:gridCol w:w="2401"/>
        <w:gridCol w:w="2407"/>
        <w:gridCol w:w="211"/>
        <w:gridCol w:w="573"/>
        <w:gridCol w:w="109"/>
        <w:gridCol w:w="109"/>
        <w:gridCol w:w="109"/>
        <w:gridCol w:w="109"/>
        <w:gridCol w:w="211"/>
        <w:gridCol w:w="573"/>
        <w:gridCol w:w="109"/>
        <w:gridCol w:w="109"/>
        <w:gridCol w:w="109"/>
        <w:gridCol w:w="109"/>
        <w:gridCol w:w="156"/>
      </w:tblGrid>
      <w:tr>
        <w:trPr/>
        <w:tc>
          <w:tcPr>
            <w:tcW w:w="2801"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rPr>
                <w:sz w:val="4"/>
                <w:szCs w:val="4"/>
              </w:rPr>
            </w:pPr>
            <w:r>
              <w:rPr>
                <w:sz w:val="4"/>
                <w:szCs w:val="4"/>
              </w:rPr>
            </w:r>
          </w:p>
        </w:tc>
        <w:tc>
          <w:tcPr>
            <w:tcW w:w="2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c>
          <w:tcPr>
            <w:tcW w:w="483" w:type="dxa"/>
            <w:gridSpan w:val="4"/>
            <w:tcBorders/>
            <w:shd w:fill="auto" w:val="clea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 - liquidation of Japan subsidiary</w:t>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 - equity method investment and other</w:t>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 adjustments:</w:t>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11.  Earnings (Loss) Per Share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reconciliation of basic and diluted earnings (loss) per share on common stock for the first quarter 2022 and 2021 follows (in millions of dollars except per share data):</w:t>
      </w:r>
    </w:p>
    <w:tbl>
      <w:tblPr>
        <w:tblW w:w="6985" w:type="dxa"/>
        <w:jc w:val="left"/>
        <w:tblInd w:w="0" w:type="dxa"/>
        <w:tblCellMar>
          <w:top w:w="28" w:type="dxa"/>
          <w:left w:w="28" w:type="dxa"/>
          <w:bottom w:w="28" w:type="dxa"/>
          <w:right w:w="28" w:type="dxa"/>
        </w:tblCellMar>
      </w:tblPr>
      <w:tblGrid>
        <w:gridCol w:w="1610"/>
        <w:gridCol w:w="1412"/>
        <w:gridCol w:w="1418"/>
        <w:gridCol w:w="211"/>
        <w:gridCol w:w="586"/>
        <w:gridCol w:w="109"/>
        <w:gridCol w:w="109"/>
        <w:gridCol w:w="109"/>
        <w:gridCol w:w="109"/>
        <w:gridCol w:w="211"/>
        <w:gridCol w:w="511"/>
        <w:gridCol w:w="109"/>
        <w:gridCol w:w="109"/>
        <w:gridCol w:w="109"/>
        <w:gridCol w:w="109"/>
        <w:gridCol w:w="154"/>
      </w:tblGrid>
      <w:tr>
        <w:trPr/>
        <w:tc>
          <w:tcPr>
            <w:tcW w:w="1610"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participating securities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(millions):</w:t>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 awards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Potentially dilutive shares outstanding are primarily related to deferred common stock related to the non-employee directors deferred compensation plan for the first quarter of 2021. Dividends paid per share for Class A and Class B common stock were $0.05 for the first quarter 2022 and $0.00 for the first quarter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12.  Stock-Based Compensation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2022, the Company recognized stock compensation expense of $2.1 million, and a related tax benefit of $0.3 million. For the first quarter of 2021, the Company recognized stock compensation expense of $1.4 million, and a related tax benefit of $0.1 million.</w:t>
      </w:r>
    </w:p>
    <w:p>
      <w:pPr>
        <w:pStyle w:val="TextBody"/>
        <w:spacing w:lineRule="auto" w:line="288" w:before="0" w:after="180"/>
        <w:rPr>
          <w:rFonts w:ascii="Times New Roman;sans-serif" w:hAnsi="Times New Roman;sans-serif"/>
          <w:b/>
          <w:color w:val="000000"/>
          <w:sz w:val="20"/>
          <w:highlight w:val="white"/>
        </w:rPr>
      </w:pPr>
      <w:r>
        <w:rPr>
          <w:rFonts w:ascii="Times New Roman;sans-serif" w:hAnsi="Times New Roman;sans-serif"/>
          <w:b/>
          <w:color w:val="000000"/>
          <w:sz w:val="20"/>
          <w:highlight w:val="white"/>
        </w:rPr>
        <w:t>Performance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the Company granted performance share awards associated with the Company’s Class A common stock to certain senior officers. The payment of performance share awards, which will be satisfied with the issuance of shares out of treasury stock, is contingent upon the achievement of specific revenue growth and earnings before interest, taxes, depreciation and amortization ("EBITDA") margin performance goals ("financial measure performance share awards") over a stated period of time. The maximum number of performance shares that may be earned is 200% of the target shares originally granted. These awards have three one-year performance periods: 2022, 2023 and 2024, with the payout for each performance period based on separate financial measure goals that are set in February of each of the three performance periods. Earned shares during each performance period will cliff vest in February 2025 after approval of the financial results by the Compensation Committee, if not forfeited by the recipient. No dividends are paid on these performance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all nonvested performance shares at target as of first quarter-end 2022 and changes during this period is presented as follows below (in thousands of shares except per share data). The vesting adjustment in the table below represents the 2019 and a portion of the 2021 financial measure performance shares that did not vest because actual achievement was below the threshold level and resulted in no payout.</w:t>
      </w:r>
    </w:p>
    <w:tbl>
      <w:tblPr>
        <w:tblW w:w="7981" w:type="dxa"/>
        <w:jc w:val="left"/>
        <w:tblInd w:w="0" w:type="dxa"/>
        <w:tblCellMar>
          <w:top w:w="28" w:type="dxa"/>
          <w:left w:w="28" w:type="dxa"/>
          <w:bottom w:w="28" w:type="dxa"/>
          <w:right w:w="28" w:type="dxa"/>
        </w:tblCellMar>
      </w:tblPr>
      <w:tblGrid>
        <w:gridCol w:w="1081"/>
        <w:gridCol w:w="949"/>
        <w:gridCol w:w="955"/>
        <w:gridCol w:w="269"/>
        <w:gridCol w:w="271"/>
        <w:gridCol w:w="211"/>
        <w:gridCol w:w="115"/>
        <w:gridCol w:w="115"/>
        <w:gridCol w:w="115"/>
        <w:gridCol w:w="771"/>
        <w:gridCol w:w="2251"/>
        <w:gridCol w:w="397"/>
        <w:gridCol w:w="109"/>
        <w:gridCol w:w="109"/>
        <w:gridCol w:w="109"/>
        <w:gridCol w:w="154"/>
      </w:tblGrid>
      <w:tr>
        <w:trPr/>
        <w:tc>
          <w:tcPr>
            <w:tcW w:w="108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Measure </w:t>
              <w:br/>
              <w:t>Performance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year-end 2021</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3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adjustment</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3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first quarter-end 2022</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nonvested restricted stock as of first quarter-end 2022 and changes during this period is presented as follows below (in thousands of shares except per share data).</w:t>
      </w:r>
    </w:p>
    <w:tbl>
      <w:tblPr>
        <w:tblW w:w="7454" w:type="dxa"/>
        <w:jc w:val="left"/>
        <w:tblInd w:w="0" w:type="dxa"/>
        <w:tblCellMar>
          <w:top w:w="28" w:type="dxa"/>
          <w:left w:w="28" w:type="dxa"/>
          <w:bottom w:w="28" w:type="dxa"/>
          <w:right w:w="28" w:type="dxa"/>
        </w:tblCellMar>
      </w:tblPr>
      <w:tblGrid>
        <w:gridCol w:w="1081"/>
        <w:gridCol w:w="949"/>
        <w:gridCol w:w="955"/>
        <w:gridCol w:w="233"/>
        <w:gridCol w:w="233"/>
        <w:gridCol w:w="211"/>
        <w:gridCol w:w="109"/>
        <w:gridCol w:w="109"/>
        <w:gridCol w:w="109"/>
        <w:gridCol w:w="745"/>
        <w:gridCol w:w="2176"/>
        <w:gridCol w:w="544"/>
      </w:tblGrid>
      <w:tr>
        <w:trPr/>
        <w:tc>
          <w:tcPr>
            <w:tcW w:w="108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year-end 2021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5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5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5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first quarter-end 2022</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65"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65"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65"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180"/>
        <w:rPr/>
      </w:pPr>
      <w:r>
        <w:rPr>
          <w:rFonts w:ascii="Times New Roman;sans-serif" w:hAnsi="Times New Roman;sans-serif"/>
          <w:b/>
          <w:color w:val="000000"/>
          <w:sz w:val="20"/>
        </w:rPr>
        <w:t>13.  Other Income (Expense), Net</w:t>
      </w:r>
      <w:r>
        <w:rPr>
          <w:color w:val="000000"/>
        </w:rPr>
        <w:t xml:space="preserv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Included in other income (expense), net for the first quarter 2022 and 2021 are the following:</w:t>
      </w:r>
    </w:p>
    <w:tbl>
      <w:tblPr>
        <w:tblW w:w="5094" w:type="dxa"/>
        <w:jc w:val="left"/>
        <w:tblInd w:w="0" w:type="dxa"/>
        <w:tblCellMar>
          <w:top w:w="28" w:type="dxa"/>
          <w:left w:w="28" w:type="dxa"/>
          <w:bottom w:w="28" w:type="dxa"/>
          <w:right w:w="28" w:type="dxa"/>
        </w:tblCellMar>
      </w:tblPr>
      <w:tblGrid>
        <w:gridCol w:w="978"/>
        <w:gridCol w:w="857"/>
        <w:gridCol w:w="864"/>
        <w:gridCol w:w="218"/>
        <w:gridCol w:w="420"/>
        <w:gridCol w:w="112"/>
        <w:gridCol w:w="112"/>
        <w:gridCol w:w="112"/>
        <w:gridCol w:w="112"/>
        <w:gridCol w:w="218"/>
        <w:gridCol w:w="498"/>
        <w:gridCol w:w="112"/>
        <w:gridCol w:w="109"/>
        <w:gridCol w:w="109"/>
        <w:gridCol w:w="109"/>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c>
          <w:tcPr>
            <w:tcW w:w="481" w:type="dxa"/>
            <w:gridSpan w:val="4"/>
            <w:tcBorders/>
            <w:shd w:fill="auto" w:val="clea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gains (losses)</w:t>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Included in foreign exchange gains (losses) for the first quarter of 2022 is a $5.5 million foreign exchange gain on a U.S. dollar-denominated cash balance held by the Company's Japan entity (see Investment in Persol Holdings footnote). Included in Other for the first quarter of 2021 is a loss from the sale of the assets related to our minority investment in Kenzie Academy (see Fair Value Measurements footnote) and transaction-related expenses from the April 2021 acquisition of Softworld (see Acquisitions footnote).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Income tax benefit was $13.0 million for the first quarter of 2022 and income tax expense was $10.5 million for the first quarter of 2021. These amounts were impacted by changes in the fair value of the Company's investment in Persol Holdings, which resulted in a benefit of $18.4 million and a charge of $9.2 million for the first quarter of 2022 and 2021, respectively. The quarterly amounts are also impacted by changes in earnings from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changes in the fair value of the Company's investment in Persol Holdings, which are treated as discrete since they cannot be estimated.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provides valuation allowances against deferred tax assets when it is more likely than not that some portion or all of the deferred tax asset will not be realized. At this time, we have no valuation allowance against our Mexican deferred tax asset of $3.9 million, though it is possible this may change as we continue to assess the impacts of the new labor laws effective as of the third quarter of 2021 on our Mexican business operations throughout the remainder of the year.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15.  Contingencies</w:t>
      </w:r>
      <w:r>
        <w:rPr>
          <w:color w:val="000000"/>
        </w:rPr>
        <w:t xml:space="preserv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At first quarter-end 2022 and year-end 2021, the gross accrual for litigation costs amounted to $1.8 million and $1.4 million,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in the consolidated balance sheet. At first quarter-end 2022, the related insurance receivables amounted to $0.6 million. At year-end 2021, there were no related insurance receivables.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aggregate range of reasonably possible losses, in excess of amounts accrued, is $0.5 million to $9.1 million as of first quarter-end 2022.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we are currently able to estimate a range of loss and does not represent our maximum loss exposure. The estimated range is subject to significant judgment and a variety of assumptions and only based upon currently available information. For other matters, we are currently not able to estimate the reasonably possible loss or range of loss.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the ultimate outcome of these matters cannot be predicted with certainty, we believe that the resolution of any such proceedings will not have a material adverse effect on our financial condition, results of operations or cash flows.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16.  Segment Disclosures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Company’s operating segments, which also represent its reporting segments, are based on the organizational structure for which financial results are regularly evaluated by the Company’s chief operating decision-maker ("CODM", the Company’s CEO) to determine resource allocation and assess performance. The Company’s five reportable segments, (1) Professional &amp; Industrial, (2) Science, Engineering &amp; Technology, (3) Education, (4) Outsourcing &amp; Consulting, and (5) International, reflect the specialty services the Company provides to customers and represent how the business is organized internally. Intersegment revenue represents revenue earned between the reportable segments and is eliminated from total segment revenue from services.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information about the reported revenue from services and gross profit of the Company by reportable segment, along with a reconciliation to earnings (loss) before taxes and equity in net earnings (loss) of affiliate, for the first quarter 2022 and 2021. Asset information by reportable segment is not presented, since the Company does not produce such information internally nor does it use such information to manage its business. </w:t>
      </w:r>
    </w:p>
    <w:tbl>
      <w:tblPr>
        <w:tblW w:w="6054" w:type="dxa"/>
        <w:jc w:val="left"/>
        <w:tblInd w:w="0" w:type="dxa"/>
        <w:tblCellMar>
          <w:top w:w="28" w:type="dxa"/>
          <w:left w:w="28" w:type="dxa"/>
          <w:bottom w:w="28" w:type="dxa"/>
          <w:right w:w="28" w:type="dxa"/>
        </w:tblCellMar>
      </w:tblPr>
      <w:tblGrid>
        <w:gridCol w:w="1111"/>
        <w:gridCol w:w="980"/>
        <w:gridCol w:w="983"/>
        <w:gridCol w:w="211"/>
        <w:gridCol w:w="766"/>
        <w:gridCol w:w="109"/>
        <w:gridCol w:w="109"/>
        <w:gridCol w:w="109"/>
        <w:gridCol w:w="109"/>
        <w:gridCol w:w="211"/>
        <w:gridCol w:w="766"/>
        <w:gridCol w:w="109"/>
        <w:gridCol w:w="109"/>
        <w:gridCol w:w="109"/>
        <w:gridCol w:w="109"/>
        <w:gridCol w:w="154"/>
      </w:tblGrid>
      <w:tr>
        <w:trPr/>
        <w:tc>
          <w:tcPr>
            <w:tcW w:w="111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c>
          <w:tcPr>
            <w:tcW w:w="481" w:type="dxa"/>
            <w:gridSpan w:val="4"/>
            <w:tcBorders/>
            <w:shd w:fill="auto" w:val="clea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Intersegment revenue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410" w:type="dxa"/>
        <w:jc w:val="left"/>
        <w:tblInd w:w="0" w:type="dxa"/>
        <w:tblCellMar>
          <w:top w:w="28" w:type="dxa"/>
          <w:left w:w="28" w:type="dxa"/>
          <w:bottom w:w="28" w:type="dxa"/>
          <w:right w:w="28" w:type="dxa"/>
        </w:tblCellMar>
      </w:tblPr>
      <w:tblGrid>
        <w:gridCol w:w="2123"/>
        <w:gridCol w:w="1864"/>
        <w:gridCol w:w="1878"/>
        <w:gridCol w:w="211"/>
        <w:gridCol w:w="586"/>
        <w:gridCol w:w="109"/>
        <w:gridCol w:w="109"/>
        <w:gridCol w:w="109"/>
        <w:gridCol w:w="109"/>
        <w:gridCol w:w="211"/>
        <w:gridCol w:w="511"/>
        <w:gridCol w:w="109"/>
        <w:gridCol w:w="109"/>
        <w:gridCol w:w="109"/>
        <w:gridCol w:w="109"/>
        <w:gridCol w:w="154"/>
      </w:tblGrid>
      <w:tr>
        <w:trPr/>
        <w:tc>
          <w:tcPr>
            <w:tcW w:w="2123"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c>
          <w:tcPr>
            <w:tcW w:w="481" w:type="dxa"/>
            <w:gridSpan w:val="4"/>
            <w:tcBorders/>
            <w:shd w:fill="auto" w:val="clea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Operations:</w:t>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 gross profit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 SG&amp;A expenses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 earnings (loss) from operations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 gross profit</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 SG&amp;A expenses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 earnings (loss) from operations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 gross profit</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 SG&amp;A expenses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 earnings (loss) from operations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 gross profit</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 SG&amp;A expenses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 earnings (loss) from operations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gross profit</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SG&amp;A expenses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earnings (loss) from operations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 in Persol Holdings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currency translation from liquidation of subsidiary</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taxes and equity in net earnings (loss) of affiliate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included in SG&amp;A expenses by segment above are as follows:</w:t>
      </w:r>
    </w:p>
    <w:p>
      <w:pPr>
        <w:pStyle w:val="TextBody"/>
        <w:spacing w:before="0" w:after="0"/>
        <w:rPr/>
      </w:pPr>
      <w:r>
        <w:rPr/>
      </w:r>
    </w:p>
    <w:tbl>
      <w:tblPr>
        <w:tblW w:w="5471" w:type="dxa"/>
        <w:jc w:val="left"/>
        <w:tblInd w:w="0" w:type="dxa"/>
        <w:tblCellMar>
          <w:top w:w="28" w:type="dxa"/>
          <w:left w:w="28" w:type="dxa"/>
          <w:bottom w:w="28" w:type="dxa"/>
          <w:right w:w="28" w:type="dxa"/>
        </w:tblCellMar>
      </w:tblPr>
      <w:tblGrid>
        <w:gridCol w:w="1113"/>
        <w:gridCol w:w="980"/>
        <w:gridCol w:w="982"/>
        <w:gridCol w:w="227"/>
        <w:gridCol w:w="438"/>
        <w:gridCol w:w="117"/>
        <w:gridCol w:w="117"/>
        <w:gridCol w:w="117"/>
        <w:gridCol w:w="117"/>
        <w:gridCol w:w="227"/>
        <w:gridCol w:w="438"/>
        <w:gridCol w:w="117"/>
        <w:gridCol w:w="109"/>
        <w:gridCol w:w="109"/>
        <w:gridCol w:w="109"/>
        <w:gridCol w:w="154"/>
      </w:tblGrid>
      <w:tr>
        <w:trPr/>
        <w:tc>
          <w:tcPr>
            <w:tcW w:w="1113"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of dollars)</w:t>
            </w:r>
          </w:p>
        </w:tc>
        <w:tc>
          <w:tcPr>
            <w:tcW w:w="481" w:type="dxa"/>
            <w:gridSpan w:val="4"/>
            <w:tcBorders/>
            <w:shd w:fill="auto" w:val="clea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pPr>
      <w:r>
        <w:rPr>
          <w:rFonts w:ascii="Times New Roman;sans-serif" w:hAnsi="Times New Roman;sans-serif"/>
          <w:b/>
          <w:color w:val="000000"/>
          <w:sz w:val="20"/>
        </w:rPr>
        <w:t>17. </w:t>
      </w:r>
      <w:r>
        <w:rPr>
          <w:color w:val="000000"/>
        </w:rPr>
        <w:t xml:space="preserve"> </w:t>
      </w:r>
      <w:r>
        <w:rPr>
          <w:rFonts w:ascii="Times New Roman;sans-serif" w:hAnsi="Times New Roman;sans-serif"/>
          <w:b/>
          <w:color w:val="000000"/>
          <w:sz w:val="20"/>
        </w:rPr>
        <w:t>New Accounting Pronouncements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Recently Adopted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Accounting Standards Update ("ASU") 2021-08, Business Combinations (Topic 805): Accounting for Contract Assets and Contract Liabilities from Contracts with Customers, to require that an acquirer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The amendments in this update are effective for fiscal years beginning after December 15, 2022, including interim periods within those fiscal years and should be applied prospectively to business combinations that occur after the effective date. We early adopted this standard in the first quarter of 2022 and the adoption did not have a material impact to our consolidated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Reference Rate Reform (Topic 848) - Facilitation of the Effects of Reference Rate Reform on Financial Reporting. ASU 2020-04 provides optional expedients and exceptions for applying GAAP to contracts, hedging relationships and other transactions affected by reference rate reform if certain criteria are met. The amendments in this update apply only to contracts, hedging relationships and other transactions that reference LIBOR or another reference rate expected to be discontinued because of reference rate reform. ASU 2020-04 was effective for the Company in the first quarter of fiscal 2021. The adoption of this standard did not have a material impact to our consolidated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January 2020, the FASB issued ASU 2020-01 which clarifies the interaction of rules for equity securities, the equity method of accounting, and forward contracts and purchase options on certain types of securities. The guidance clarifies how to account for the transition into and out of the equity method of accounting when considering observable transactions under the measurement alternative. The ASU is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2019, the FASB issued ASU 2019-12 simplifying various aspects related to the accounting for income taxes. The guidance removes exceptions to the general principles in Topic 740 related to the approach for intraperiod tax allocation, the methodology for calculating income taxes in an interim period and the recognition of deferred tax liabilities for outside basis differences. The ASU is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 Yet Adopted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other recently issued accounting pronouncements and does not believe that any of these pronouncements will have a significant impact on our consolidated financial statements and related disclosures.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SERVICES,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2, 2022, the Company acquired 100% of the membership interests of Pediatric Therapeutic Services for $82.1 million of cash, subject to working capital adjustments. Pediatric Therapeutic Services is a specialty firm that provides and manages various state and federally mandated in-school therapy services and will be included in our Education segment. The related acquisition costs incurred through the end of the first quarter, which are included in other income (expense), net in the consolidated statements of earnings, were $0.3 million. The initial accounting for the business combination is incomplete at the time of this filing due to the limited amount of time since the acquisition date and the ongoing status of the valuation. Therefore, it is impracticable for the Company to provide the major classes of assets acquired and liabilities assumed or pro forma revenue and earnings.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Subsequent to the end of the first quarter, Management initiated plans to actively explore an orderly transition of our operations in Russia in full compliance with International and Russian law. Such a transition may result in a loss up to the carrying value of our net assets in Russia.</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As of the end of the first quarter of 2022, assets in Russia totaled $28.4 million, liabilities totaled $13.0 million and accumulated other comprehensive loss totaled $10.1 million. For the year ended January 2, 2022, revenue in Russia was $132.2 million and earnings from operations were $5.3 million.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72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Kelly’s strategy and actions are guided by our simple yet powerful Noble Purpose: “We connect people to work in ways that enrich their lives.” We are committed to being a leading talent solutions provider among the talent with whom we choose to specialize and in the global markets in which we choose to compete. As we navigate the post-pandemic landscape, we will continue to demonstrate our expected behaviors and actions: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Employ a talent-first mentality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Relentlessly deliver for customers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Grow through discipline and focus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Deliver efficiency and effectiveness in everything we do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By aligning ourselves with our Noble Purpose and executing against these behaviors, we are becoming a more agile and focused organization, prepared to achieve new levels of growth and profitability as we develop and reshape our portfolio of businesses.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The Talent Solutions Industry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Even before the COVID-19 pandemic, labor markets were in the midst of change due to automation, secular shifts in labor supply and demand and skills gaps. Global demographic trends are reshaping and redefining the way in which companies find and use talent, and the COVID-19 pandemic changed where and how companies expect work to be performed—a shift we expect will carry over into the future. In response, the talent solutions industry is adjusting how it sources, recruits, trains and places talent.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industry is evolving to meet businesses’ growing demand for specialized talent, whether delivered as a single individual or as part of a total workforce solution. Companies in our industry are using novel sourcing approaches—including gig platforms, independent contractors and other talent pools—to create customized workforce solutions that are flexible and responsive to the labor market.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today’s companies are elevating their commitment to talent, with the growing realization that meeting the changing needs and requirements of talent is essential to remain competitive. The ways in which people view, find and conduct work are undergoing fundamental shifts. And as the demand for skilled talent continues to climb, workers’ changing ideas about the integration of work into life are becoming more important. 2021 saw record-breaking employee resignations in the U.S. as workers opted out of jobs that did not align with their needs. In this increasingly talent-driven market, a diverse set of workers, empowered by technology, is seeking to take even greater control over their career trajectories. Kelly is proud to be a career partner of choice for workers in search of a better way to work.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Kelly is a talent and global workforce solutions company serving customers of all sizes in a variety of industries. We offer innovative outsourcing and consulting services, as well as staffing on a temporary and direct-hire basis. In 2020, we adopted a new operating model and realigned our business into five specialty business units, which are also our reportable segments.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Professional &amp; Industrial – delivers staffing, outcome-based and direct-hire services focused on office, professional, light industrial and contact center specialties in the U.S. and Canada, including our KellyConnect and Skilled Professional Solutions products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Science, Engineering &amp; Technology – delivers staffing, outcome-based and direct-hire services focused on science and clinical research, engineering, technology and telecommunications specialties predominantly in the U.S. and Canada and includes our NextGen and Global Technology Associates subsidiaries, as well as Softworld, a technology staffing and workforce solutions company acquired in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Education – delivers staffing, direct-hire and executive search services across the full education spectrum from early childhood to higher education in the U.S., and includes Teachers On Call and Greenwood/Asher &amp; Associates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Outsourcing &amp; Consulting – delivers Master Service Provider ("MSP"), Recruitment Process Outsourcing ("RPO"), which includes our March 2022 acquisition of RocketPower, Payroll Process Outsourcing ("PPO") and Talent Advisory Services to customers on a global basis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International – delivers staffing, RPO and direct-hire services in 15 countries in Europe, as well as services in Mexico delivered in accordance with recent changes in labor market regulations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we hold a minority interest in PersolKelly Pte. Ltd. ("PersolKelly"), which provides staffing and direct hire services to customers in the Asia-Pacific region.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earn revenues from customers that procure the services of our temporary employees on a time and materials basis, that use us to recruit permanent employees, and that rely on our talent advisory and outsourcing services. Our working capital requirements are primarily generated from temporary employee payroll and customer accounts receivable. The nature of our business is such that trade accounts receivable are our most significant asset. Average days sales outstanding varies within and outside the U.S. and was 62 days on a global basis as of the end of the first quarter of 2022 and 60 days as of the end of the first quarter of 2021. Since receipts from customers generally lag temporary employee payroll, working capital requirements increase substantially in periods of growth and decline in periods of economic contraction.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Perspective and Outlook on Growth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entered 2022 having shifted from recovery from the COVID-19 pandemic to growth. Even with the economic uncertainty created by events in Ukraine and a continuation of inflation, particularly in the U.S., demand for our services remains strong. Our permanent placement fee growth points toward our customers’ investments in their future workforce, and increased demand in our staffing and outcome-based businesses reflects strong market demand for the specialty solutions we provide. Our business is arranged around specialties that target these areas of strong demand, promising growth opportunities, and Kelly’s proven ability to win. Our segments also reflect our intent to shift our portfolio toward high-margin, higher-value specialties that deliver a competitive edge and increased shareholder value. We believe that an aggressive inorganic growth strategy will accelerate the achievement of these goals.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our strategic growth journey in the year ahead, we will also invest in key value drivers.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are mapping our digital transformation journey, building a technology foundation to optimize our business, personalize the talent journey and improve the client experience. For example, in 2021 we launched Helix UX, an industry-leading talent management tool that is enabling our customers to better manage their global workforce across temporary, full-time and cloud-based talent pools.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are consistently striving to better understand and support our talent and their shifting needs. We have reallocated resources to be solely focused on the temporary worker experience, and our Equity@Work initiative is designed to break down long-standing, systemic barriers that make it difficult for many people to participate in the labor market.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are investing in the talent experience of our full-time employees, taking action to ensure we have the people coaches and performance management systems that will help our employees thrive in their Kelly careers. We know that our success is powered by our people, and we are aiming for industry-leading results.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we execute our specialty growth strategy, we are focused on both the speed and scope of change. To that end, in February 2022 we completed transactions that have allowed us to strategically re-deploy resources to accelerate our growth in high-margin, high-growth specialties. Specifically, we unwound our cross-ownership with Persol Holdings and reduced our ownership interest in our APAC joint venture, PersolKelly. Monetizing our investments in Persol Holdings and PersolKelly provides us with additional capital, which we have already begun to use to accelerate our specialty growth strategy. In March 2022, we completed the acquisition of RocketPower, a business that diversifies and strengthens Kelly’s RPO business and opens new access to the fast-growing high-tech market. And in May 2022, we completed the acquisition of Pediatric Therapeutic Services, a specialty firm that expands our K-12 leadership position and provides in-school services for occupational, physical, speech and behavioral health therapies. Both acquisitions expand Kelly’s presence in high-growth, high margin specialties. As we move forward, we will continue to look for opportunities to grow both organically and inorganically in 2022 and beyond.</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Financial Measures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constant currency (“CC”) change amounts refer to the year-over-year percentage changes resulting from translating 2022 financial data into U.S. dollars using the same foreign currency exchange rates used to translate financial data for 2021. We believe that CC measurements are a useful measure, indicating the actual trends of our operations without distortion due to currency fluctuations. We use CC results when analyzing the performance of our segments and measuring our results against those of our competitors. Additionally, substantially all of our foreign subsidiaries derive revenues and incur cost of services and selling, general and administrative (“SG&amp;A”) expenses within a single country and currency which, as a result, provides a natural hedge against currency risks in connection with their normal business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CC measures are non-GAAP (Generally Accepted Accounting Principles) measures and are used to supplement measures in accordance with GAAP.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Reported and CC percentage changes were computed based on actual amounts in thousands of dollars.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Return on sales (earnings from operations divided by revenue from services) and conversion rate (earnings from operations divided by gross profit) are ratios used to measure the Company’s operating efficiency.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EBITDA (earnings before interest, taxes, depreciation and amortization) and EBITDA margin (EBITDA divided by revenue from services) are measures used for understanding the Company's ability to generate cash flow and for judging overall operating performance.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(not meaningful) in the following tables is used in place of percentage changes where: the change is in excess of 500%, the change involves a comparison between earnings and loss amounts, or the comparison amount is zero.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Total Company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10205" w:type="dxa"/>
        <w:jc w:val="center"/>
        <w:tblInd w:w="0" w:type="dxa"/>
        <w:tblCellMar>
          <w:top w:w="28" w:type="dxa"/>
          <w:left w:w="28" w:type="dxa"/>
          <w:bottom w:w="28" w:type="dxa"/>
          <w:right w:w="28" w:type="dxa"/>
        </w:tblCellMar>
      </w:tblPr>
      <w:tblGrid>
        <w:gridCol w:w="1616"/>
        <w:gridCol w:w="1372"/>
        <w:gridCol w:w="1377"/>
        <w:gridCol w:w="211"/>
        <w:gridCol w:w="766"/>
        <w:gridCol w:w="109"/>
        <w:gridCol w:w="109"/>
        <w:gridCol w:w="109"/>
        <w:gridCol w:w="109"/>
        <w:gridCol w:w="109"/>
        <w:gridCol w:w="109"/>
        <w:gridCol w:w="109"/>
        <w:gridCol w:w="211"/>
        <w:gridCol w:w="766"/>
        <w:gridCol w:w="109"/>
        <w:gridCol w:w="109"/>
        <w:gridCol w:w="109"/>
        <w:gridCol w:w="109"/>
        <w:gridCol w:w="109"/>
        <w:gridCol w:w="109"/>
        <w:gridCol w:w="109"/>
        <w:gridCol w:w="333"/>
        <w:gridCol w:w="337"/>
        <w:gridCol w:w="165"/>
        <w:gridCol w:w="165"/>
        <w:gridCol w:w="165"/>
        <w:gridCol w:w="166"/>
        <w:gridCol w:w="109"/>
        <w:gridCol w:w="109"/>
        <w:gridCol w:w="109"/>
        <w:gridCol w:w="109"/>
        <w:gridCol w:w="109"/>
        <w:gridCol w:w="109"/>
        <w:gridCol w:w="109"/>
        <w:gridCol w:w="109"/>
        <w:gridCol w:w="157"/>
      </w:tblGrid>
      <w:tr>
        <w:trPr/>
        <w:tc>
          <w:tcPr>
            <w:tcW w:w="1616"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1"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gridSpan w:val="7"/>
            <w:tcBorders/>
            <w:shd w:fill="auto" w:val="clea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SG&amp;A expenses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 in Persol Holdings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currency translation from liquidation of subsidiary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taxes and equity in net earnings (loss) of affiliate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earnings (loss) of affiliate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rate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First Quarter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from services in the first quarter increased 7.5% on a reported basis and 9.0% on a constant currency basis, and reflects revenue increases in Education, Science, Engineering &amp; Technology, and Outsourcing &amp; Consulting operating segments, partially offset by declines in Professional &amp; Industrial and International segments. Our acquisition of Softworld, a technology staffing and solutions firm in the second quarter of 2021, added approximately 310 basis points to the revenue growth rate. Compared to the first quarter of 2021, revenue from staffing services increased 5.9% and revenue from outcome-based services increased 7.9%. Permanent placement revenue, which is included in revenue from services, increased 66.2% from the prior year.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Gross profit increased 21.2% on a reported basis and 22.6% on a constant currency basis on higher revenue volume, combined with an increase in the gross profit rate. The gross profit rate increased 220 basis points due primarily to the impact of higher permanent placement income and the acquisition of Softworld, which generates higher gross profit rates, coupled with lower employee-related costs and favorable product mix. The gross profit rate increased in all operating segments, with the exception of Education, which declined slightly. Included in gross profit for the first quarter of 2022 is a one-time permanent placement fee from a large customer, as well as an adjustment to prior periods worker’s compensation expenses, resulting in 40 basis points of favorable impact. Permanent placement revenue, which is included in revenue from services and has very low direct costs of services, has a disproportionate impact on gross profit rates.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SG&amp;A expenses increased 16.0% on a reported basis and 17.2% on a constant currency basis. SG&amp;A expenses related to Softworld, including amortization of intangibles and other operating expenses, accounted for approximately 500 basis points of the year-over-year increase. The increase in SG&amp;A expenses also reflects increases in performance-based incentive compensation expenses and higher salary and related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from operations for the first quarter of 2022 totaled $23.4 million, compared to earnings of $10.6 million in the first quarter of 2021. Included in total earnings from operations in the first quarter of 2022 is approximately $3.5 million related to Softworld earnings from operations, inclusive of amortization of intangibles.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loss on investment in Persol Holdings in the first quarter of 2022 represented the $52.4 million loss resulting from changes in the market price of our investment in the common stock of Persol Holdings up until the date of the transaction and the $14.8 million loss on sale, including transaction costs from the sale of the investment in an open-market transaction. The gain on the investment in Persol Holdings in the first quarter of 2021 resulted from changes in the quoted market price of the Persol Holdings common stock.</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Loss on currency translation from liquidation of subsidiary represents the impact of the substantial liquidation of our Kelly Japan subsidiary following the sale of the company’s investment in Persol Holdings and the return of capital through a dividend payment to its U.S-based parent, Kelly Services, Inc.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 in Other income (expense), net is primarily the result of $5.5 million of foreign exchange gains related to U.S.-denominated cash equivalents held by our Kelly Japan subsidiary following the sale of the Persol Holdings shares and prior to its dividend payment to the U.S. parent in the first quarter of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Income tax benefit was $13.0 million for the first quarter of 2022 and income tax expense was $10.5 million for the first quarter of 2021. These amounts were impacted by changes in the fair value of the Company's investment in Persol Holdings, which resulted in a benefit of $18.4 million and a charge of $9.2 million for the first quarter of 2022 and 2021,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changes in the fair value of the Company’s investment in Persol Holdings, which are treated as discrete since they cannot be estimated.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net loss for the period was $47.6 million, compared to net earnings of $25.6 million from the first quarter of 2021. This change was due to the Persol Holdings investment, including the first quarter 2022 sale and related impacts, partially offset by improved operating earnings in the first quarter of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2022 events in Ukraine have contributed to additional economic uncertainty in Europe. The Company does not have operations in Ukraine and we did not experience any material impact on our revenues or earnings in the first quarter. Subsequent to the end of the first quarter, Management initiated plans to actively explore an orderly transition of our operations in Russia in full compliance with International and Russian law. We expect that revenues and earnings in the International segment will be unfavorably impacted beginning in the second quarter of 2022 and that we may recognize a loss upon the completion of a transition.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Results By Segment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8098" w:type="dxa"/>
        <w:jc w:val="left"/>
        <w:tblInd w:w="0" w:type="dxa"/>
        <w:tblCellMar>
          <w:top w:w="28" w:type="dxa"/>
          <w:left w:w="28" w:type="dxa"/>
          <w:bottom w:w="28" w:type="dxa"/>
          <w:right w:w="28" w:type="dxa"/>
        </w:tblCellMar>
      </w:tblPr>
      <w:tblGrid>
        <w:gridCol w:w="1111"/>
        <w:gridCol w:w="980"/>
        <w:gridCol w:w="983"/>
        <w:gridCol w:w="211"/>
        <w:gridCol w:w="766"/>
        <w:gridCol w:w="109"/>
        <w:gridCol w:w="109"/>
        <w:gridCol w:w="109"/>
        <w:gridCol w:w="109"/>
        <w:gridCol w:w="211"/>
        <w:gridCol w:w="766"/>
        <w:gridCol w:w="109"/>
        <w:gridCol w:w="109"/>
        <w:gridCol w:w="109"/>
        <w:gridCol w:w="109"/>
        <w:gridCol w:w="254"/>
        <w:gridCol w:w="257"/>
        <w:gridCol w:w="165"/>
        <w:gridCol w:w="165"/>
        <w:gridCol w:w="165"/>
        <w:gridCol w:w="166"/>
        <w:gridCol w:w="109"/>
        <w:gridCol w:w="109"/>
        <w:gridCol w:w="109"/>
        <w:gridCol w:w="109"/>
        <w:gridCol w:w="109"/>
        <w:gridCol w:w="109"/>
        <w:gridCol w:w="109"/>
        <w:gridCol w:w="109"/>
        <w:gridCol w:w="154"/>
      </w:tblGrid>
      <w:tr>
        <w:trPr/>
        <w:tc>
          <w:tcPr>
            <w:tcW w:w="111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8"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Services: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Intersegment revenue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First Quarter Results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&amp; Industrial revenue from services decreased 5.0%. The decrease was due primarily to a 9.9% decline in revenue from outcome-based services due to lower demand for our call center specialty, partially offset by growth in other specialties. Revenue from staffing services also declined by 3.5% resulting from lower hours volume, partially offset by higher bill rates.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Science, Engineering &amp; Technology revenue from services increased 24.5% on a reported basis, which includes revenues from the acquisition of Softworld in the second quarter of 2021. On an organic basis, the revenue growth was 9.6%, which was driven by increases in our outcome-based services as well as increases in bill rates and permanent placement income in our staffing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Education revenue from services increased 55.4%, reflecting the return to in-school instruction, resulting in increased demand for our services as compared to a year ago, as well as the impact of new customer wins and an increased fill rate of the demand of existing customers.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Outsourcing &amp; Consulting revenue from services increased 9.8% due primarily to strong demand for RPO services coupled with revenue growth in MSP, partially offset by declines in PPO revenue.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International revenue from services decreased 7.4% on a reported basis and decreased 1.0% in constant currency. The decrease was primarily the result of revenue declines in Mexico due to the impact of legislation enacted in the third quarter of 2021, which placed restrictions on the staffing industry. Revenue in Europe increased 1.7% on a reported basis and increased 9.0% in constant currency with growth in most geographies.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Results By Segment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7435" w:type="dxa"/>
        <w:jc w:val="left"/>
        <w:tblInd w:w="0" w:type="dxa"/>
        <w:tblCellMar>
          <w:top w:w="28" w:type="dxa"/>
          <w:left w:w="28" w:type="dxa"/>
          <w:bottom w:w="28" w:type="dxa"/>
          <w:right w:w="28" w:type="dxa"/>
        </w:tblCellMar>
      </w:tblPr>
      <w:tblGrid>
        <w:gridCol w:w="1114"/>
        <w:gridCol w:w="977"/>
        <w:gridCol w:w="983"/>
        <w:gridCol w:w="211"/>
        <w:gridCol w:w="616"/>
        <w:gridCol w:w="109"/>
        <w:gridCol w:w="109"/>
        <w:gridCol w:w="109"/>
        <w:gridCol w:w="109"/>
        <w:gridCol w:w="211"/>
        <w:gridCol w:w="616"/>
        <w:gridCol w:w="109"/>
        <w:gridCol w:w="109"/>
        <w:gridCol w:w="109"/>
        <w:gridCol w:w="109"/>
        <w:gridCol w:w="255"/>
        <w:gridCol w:w="256"/>
        <w:gridCol w:w="125"/>
        <w:gridCol w:w="129"/>
        <w:gridCol w:w="129"/>
        <w:gridCol w:w="133"/>
        <w:gridCol w:w="109"/>
        <w:gridCol w:w="109"/>
        <w:gridCol w:w="109"/>
        <w:gridCol w:w="109"/>
        <w:gridCol w:w="109"/>
        <w:gridCol w:w="109"/>
        <w:gridCol w:w="154"/>
      </w:tblGrid>
      <w:tr>
        <w:trPr/>
        <w:tc>
          <w:tcPr>
            <w:tcW w:w="111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3"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Rate: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827"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First Quarter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Professional &amp; Industrial segment increased due to an increase in the gross profit rate, partially offset by lower revenue volume. In comparison to the prior year, the gross profit rate increased 250 basis points. This increase reflects higher permanent placement income, including one-time conversion fees for staffing talent hired directly by a large customer, lower employee-related costs and improved business mix.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Science, Engineering &amp; Technology gross profit increased on higher revenue volume and an increase in the gross profit rate. The gross profit rate increased 240 basis points due to increased permanent placement income and improved specialty mix, including the acquisition of Softworld which generates higher gross profit margins, partially offset by higher employee-related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Gross profit for the Education segment increased on higher revenue volume. The gross profit rate decreased 10 basis points due primarily to unfavorable customer mix, partially offset by higher permanent placement income and lower employee-related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Outsourcing &amp; Consulting gross profit increased on higher revenue volume, combined with an increase in the gross profit rate. The gross profit rate increased 270 basis points primarily due to a change in product mix within this segment. Growth in RPO and MSP with higher margins was coupled with decreased revenues in our PPO product, which generates lower profit margins.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International gross profit increased due to an increase in the gross profit rate, partially offset by lower revenue volume. In comparison to the prior year, the gross profit rate increased 190 basis points primarily due to customer mix and higher permanent placement income.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Operating Results By Segment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7581" w:type="dxa"/>
        <w:jc w:val="center"/>
        <w:tblInd w:w="0" w:type="dxa"/>
        <w:tblCellMar>
          <w:top w:w="28" w:type="dxa"/>
          <w:left w:w="28" w:type="dxa"/>
          <w:bottom w:w="28" w:type="dxa"/>
          <w:right w:w="28" w:type="dxa"/>
        </w:tblCellMar>
      </w:tblPr>
      <w:tblGrid>
        <w:gridCol w:w="1112"/>
        <w:gridCol w:w="981"/>
        <w:gridCol w:w="982"/>
        <w:gridCol w:w="211"/>
        <w:gridCol w:w="616"/>
        <w:gridCol w:w="109"/>
        <w:gridCol w:w="109"/>
        <w:gridCol w:w="109"/>
        <w:gridCol w:w="109"/>
        <w:gridCol w:w="211"/>
        <w:gridCol w:w="616"/>
        <w:gridCol w:w="109"/>
        <w:gridCol w:w="109"/>
        <w:gridCol w:w="109"/>
        <w:gridCol w:w="109"/>
        <w:gridCol w:w="255"/>
        <w:gridCol w:w="256"/>
        <w:gridCol w:w="165"/>
        <w:gridCol w:w="165"/>
        <w:gridCol w:w="165"/>
        <w:gridCol w:w="166"/>
        <w:gridCol w:w="109"/>
        <w:gridCol w:w="109"/>
        <w:gridCol w:w="109"/>
        <w:gridCol w:w="109"/>
        <w:gridCol w:w="109"/>
        <w:gridCol w:w="109"/>
        <w:gridCol w:w="154"/>
      </w:tblGrid>
      <w:tr>
        <w:trPr/>
        <w:tc>
          <w:tcPr>
            <w:tcW w:w="1112"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8"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SG&amp;A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307" w:type="dxa"/>
            <w:gridSpan w:val="16"/>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4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First Quarter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SG&amp;A expenses in Professional &amp; Industrial increased 2.8% from the prior year, primarily due to higher performance-based incentive compensation expenses.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SG&amp;A expenses in Science, Engineering &amp; Technology increased 49.0% from the prior year, and includes the impact of the acquisition of Softworld in the second quarter of 2021. On an organic basis, SG&amp;A expenses increased 20.4% from the prior year. The increase in organic SG&amp;A expenses are due primarily to higher performance-based incentive compensation expense and higher salary-related costs from increasing headcount.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SG&amp;A expenses in Education increased 31.2% from the prior year, primarily due to higher salary related expenses as headcount has increased as revenues have grown.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SG&amp;A expenses in Outsourcing &amp; Consulting increased 20.5% from the prior year, primarily due to higher salary-related expenses as a result of headcount and salary increases.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SG&amp;A expenses in International increased 0.4% on a reported basis and increased 6.6% on a constant currency basis. This increase was due to higher salary-related expenses driven by an increase in headcount, reflecting improving revenue in Europe.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Corporate expenses increased 11.9% primarily due to higher performance-based incentive compensation expense.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Results By Segment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7476" w:type="dxa"/>
        <w:jc w:val="center"/>
        <w:tblInd w:w="0" w:type="dxa"/>
        <w:tblCellMar>
          <w:top w:w="28" w:type="dxa"/>
          <w:left w:w="28" w:type="dxa"/>
          <w:bottom w:w="28" w:type="dxa"/>
          <w:right w:w="28" w:type="dxa"/>
        </w:tblCellMar>
      </w:tblPr>
      <w:tblGrid>
        <w:gridCol w:w="1113"/>
        <w:gridCol w:w="978"/>
        <w:gridCol w:w="984"/>
        <w:gridCol w:w="211"/>
        <w:gridCol w:w="511"/>
        <w:gridCol w:w="109"/>
        <w:gridCol w:w="109"/>
        <w:gridCol w:w="109"/>
        <w:gridCol w:w="109"/>
        <w:gridCol w:w="211"/>
        <w:gridCol w:w="511"/>
        <w:gridCol w:w="109"/>
        <w:gridCol w:w="109"/>
        <w:gridCol w:w="109"/>
        <w:gridCol w:w="109"/>
        <w:gridCol w:w="307"/>
        <w:gridCol w:w="309"/>
        <w:gridCol w:w="165"/>
        <w:gridCol w:w="165"/>
        <w:gridCol w:w="165"/>
        <w:gridCol w:w="166"/>
        <w:gridCol w:w="109"/>
        <w:gridCol w:w="109"/>
        <w:gridCol w:w="109"/>
        <w:gridCol w:w="109"/>
        <w:gridCol w:w="109"/>
        <w:gridCol w:w="109"/>
        <w:gridCol w:w="154"/>
      </w:tblGrid>
      <w:tr>
        <w:trPr/>
        <w:tc>
          <w:tcPr>
            <w:tcW w:w="111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3" w:type="dxa"/>
            <w:gridSpan w:val="18"/>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from Operations: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Science, Engineering &amp; Technology</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Outsourcing &amp; Consulting</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First Quarter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Professional &amp; Industrial reported earnings of $11.7 million for the quarter, a 79.6% increase from a year ago. The increase in earnings was primarily due to improved gross profit, including conversion fees related to a large customer.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Science, Engineering &amp; Technology reported earnings of $20.6 million for the quarter, an 18.0% increase from a year ago. The increase in earnings was primarily due to the impact of the Softworld acquisition. Increases in organic staffing and permanent placement revenues in most of our specialties within the SET business unit were partially offset by increases in certain expenses, including those related to additional full-time employees and increased performance-based incentive compensation.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Education reported earnings of $8.0 million for the quarter, compared to earnings of $3.0 million a year ago. The change was primarily due to the increase in revenue, reflecting the return to in-school instruction, resulting in increased demand for our services as compared to a year ago, coupled with good cost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Outsourcing &amp; Consulting reported earnings of $3.0 million for the quarter, a 4.3% increase from a year ago. The increase in earnings was primarily due to the impact of increased revenue volumes within the segment, partially offset by increased costs related to additional full-time employees.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International reported earnings of $4.6 million for the quarter, compared to earnings of $2.6 million a year ago. The increase in earnings was primarily due to improving revenue in Europe.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right"/>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through cash generated by operating activities and access to credit markets. Our working capital requirements are primarily generated from temporary employee payroll, which is generally paid weekly or monthly, and customer accounts receivable, which is generally outstanding for longer periods. Since receipts from customers lag payroll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 The impact of the COVID-19 crisis on our business began in March 2020. While we have yet to return to pre-crisis revenue levels, we have experienced improving demand for our services and expect a sustained recovery throughout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highlighted in the consolidated statements of cash flows, our liquidity and available capital resources are impacted by four key components: cash, cash equivalents and restricted cash, operating activities, investing activities and financing activities.</w:t>
      </w:r>
    </w:p>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totaled $238.1 million at the end of the first quarter of 2022 and $119.5 million at year-end 2021. As further described below, we used $106.1 million of cash for operating activities, generated $257.1 million of cash from investing activities and used $30.7 million of cash for financing activities.</w:t>
      </w:r>
    </w:p>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first three months of 2022, we used $106.1 million of net cash for operating activities, as compared to generating $10.5 million in the first three months of 2021, primarily due to increased working capital requirements as revenue levels continue to recover or surpass pre-COVID levels in certain segments and as a result, in increasing days sales outstanding due to customer payment terms.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totaled $1.5 billion at the end of the first quarter of 2022. Global DSO was 62 days at the end of the first quarter of 2022, 60 days at year-end 2021 and 60 days at the end of the first quarter of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working capital position (total current assets less total current liabilities) was $630.0 million at the end of the first quarter of 2022, an increase of $136.5 million from year-end 2021. Excluding the increase in cash, working capital increased $18.9 million from year-end 2021. The current ratio (total current assets divided by total current liabilities) was 1.5 at the end of the first quarter of 2022 and at year-end 2021.</w:t>
      </w:r>
    </w:p>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first three months of 2022, we generated $257.1 million of cash from investing activities, as compared to generating $7.9 million in the first three months of 2021. Included in cash generated from investing activities in the first three months of 2022 is $196.9 million of proceeds from the sale of the investment in Persol Holdings and $119.5 million of proceeds from the sale of almost all of the Company's shares in our equity investment in PersolKelly Pte. Ltd. This was partially offset by $58.3 million of cash used for the acquisition of RocketPower in March 2022, net of cash received. Included in cash generated from investing activities in the first three months of 2021 is $10.4 million of proceeds from company-owned life insurance.</w:t>
      </w:r>
    </w:p>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first three months of 2022, we used $30.7 million of cash for financing activities, as compared to generating $0.1 million in the first three months of 2021. The change in cash used for financing activities was primarily related to the buyback of the Company's common shares held by Persol Holdings for $27.2 million in the first three months of 2022 and the year-over-year change in dividend payments. Dividends paid per common share were $0.05 in the first three months of 2022 and $0.00 in first three months of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Changes in net cash used for financing activities are also impacted by short-term borrowing activities. The change in short-term borrowings in the first three months of 2022 and the first three months of 2021 was primarily due to borrowings on local lines of credit. Debt totaled $0.2 million at the end of the first quarter of 2022, which represented local borrowings, compared to no debt at year-end 2021. Debt-to-total capital (total debt reported in the consolidated balance sheet divided by total debt plus stockholders’ equity) is a common ratio to measure the relative capital structure and leverage of the Company. Our ratio of debt-to-total capital was 0.0% at the end of the first quarter of 2022 and at year-end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right"/>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See New Accounting Pronouncements footnote in the Notes to Consolidated Financial Statements of this Quarterly Report on Form 10-Q for a description of new accounting pronouncements.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critical accounting estimates, see “Management’s Discussion and Analysis of Financial Condition and Results of Operations” in our 2021 Form 10-K.</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Contractual Obligations and Commercial Commitments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to our contractual obligations and commercial commitments from those disclosed in the section “Management’s Discussion and Analysis of Financial Condition and Results of Operations” in our 2021 Form 10-K. We have no material unrecorded commitments, losses, contingencies or guarantees associated with any related parties or unconsolidated entities.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right"/>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expect to meet our ongoing short-term and long-term cash requirements principally through cash generated from operations, available cash and equivalents, securitization of customer receivables and committed unused credit facilities. Additional funding sources could include asset-based lending, additional bank facilities or sale of non-core assets. To meet significant cash requirements related to our nonqualified retirement plan, we may utilize proceeds from Company-owned life insurance policies. During 2020, cash generated from operations was supplemented by the deferral of payments of the Company's U.S. social security taxes as allowed by the Coronavirus Aid, Relief, and Economic Security Act. The remaining deferrals of $57.6 million are required to be repaid by January 3, 2023.</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As of the end of the first quarter of 2022, these reviews have not resulted in plans to repatriate foreign subsidiary cash. We expect much of our international cash will be needed to fund working capital growth in our local operations as working capital needs, primarily trade accounts receivable, increase during periods of growth. A cash pooling arrangement (the “Cash Pool”) is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the first quarter of 2022, we had $200.0 million of available capacity on our $200.0 million revolving credit facility and $97.0 million of available capacity on our $150.0 million securitization facility. The securitization facility carried no short-term borrowings and $53.0 million of standby letters of credit related to workers’ compensation. Together, the revolving credit and securitization facilities provide the Company with committed funding capacity that may be used for general corporate purposes subject to financial covenants and restrictions. While we believe these facilities will cover our working capital needs over the short term, if economic conditions or operating results change significantly from our current expectations, we may need to seek additional sources of funds. As of the end of the first quarter of 2022, we met the debt covenants related to our revolving credit facility and securitization facility.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historically managed our cash and debt closely to optimize our capital structure. As our cash balances build, we tend to pay down debt as appropriate. Conversely, when working capital needs grow, we tend to use corporate cash and cash available in the Cash Pool first, and then access our borrowing facilities. We expect our working capital requirements to increase over the next several quarters if demand for our services continues to increase and to pay the deferred payroll tax balances, of which $29.5 million was paid on January 3, 2022 and another $57.6 million is due on January 3,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February 2022, we completed transactions to monetize a substantial portion of our assets in the Asia-Pacific region which will allow us to strategically redeploy resources to accelerate our growth. Specifically, we unwound our cross-shareholding arrangement with Persol Holdings and reduced our ownership interest in PersolKelly, our APAC joint venture. We sold our investment in Persol Holdings common stock in an open-market transaction. We repurchased the 1.6 million Kelly Class A and 1,475 Kelly Class B common shares owned by Persol Holdings at a price based on the last five trading days prior to the transaction. We sold almost all of our ownership interest in PersolKelly to our joint venture partner. The payment of income taxes due as a result of the sale of the Persol Holdings shares of approximately $50 million will be made by the end of 2022.</w:t>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monitor the credit ratings of our major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right"/>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contained in this report and in our investor conference call related to these results are “forward-looking” statements within the meaning of the applicable securities laws and regulations.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changing market and economic conditions, the impact of the novel coronavirus (COVID-19) outbreak, competitive market pressures including pricing and technology introductions and disruptions, disruption in the labor market and weakened demand for human capital resulting from technological advances, competition law risks, the impact of changes in laws and regulations (including federal, state and international tax laws), unexpected changes in claim trends on workers’ compensation, unemployment, disability and medical benefit plans, or the risk of additional tax liabilities in excess of our estimates, our ability to achieve our business strategy, our ability to successfully develop new service offerings, material changes in demand from or loss of large corporate customers as well as changes in their buying practices, risks particular to doing business with government or government contractors, the risk of damage to our brand, our exposure to risks associated with services outside traditional staffing, including business process outsourcing, services of licensed professionals and services connecting talent to independent work, our increasing dependency on third parties for the execution of critical functions, our ability to effectively implement and manage our information technology strategy, the risks associated with past and future acquisitions, including risk of related impairment of goodwill and intangible assets, risks associated with conducting business in foreign countries, including foreign currency fluctuations, risks associated with violations of anticorruption, trade protection and other laws and regulations, availability of qualified full-time employees, availability of temporary workers with appropriate skills required by customers, liabilities for employment-related claims and losses, including class action lawsuits and collective actions, our ability to sustain critical business applications through our key data centers, risks arising from failure to preserve the privacy of information entrusted to us or to meet our obligations under global privacy laws, the risk of cyberattacks or other breaches of network or information technology security, our ability to realize value from our tax credit and net operating loss carryforwards, our ability to maintain specified financial covenants in our bank facilities to continue to access credit markets, and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to conform the statement to actual results or changes in the Company’s expectations. Certain risk factors are discussed more fully under “Risk Factors” in Part I, Item 1A of the Company’s Annual Report on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jc w:val="right"/>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euro or Swiss franc generally do not impact local cash flows. Intercompany transactions which create foreign currency risk include services, royalties, loans, contributions and distributions.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we are exposed to interest rate risks through our use of the multi-currency line of credit and other borrowings. A hypothetical fluctuation of 10% of market interest rates would not have had a material impact on 2022 first quarter earnings.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Based on their evaluation as of the end of the period covered by this Form 10-Q, the Company’s Chief Executive Officer and Chief Financial Officer have concluded that the Company’s disclosure controls and procedures (as defined in Rules 13a-15(e) and 15d-15(e) under the Securities Exchange Act of 1934) are effective at a reasonable assurance level.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On March 7, 2022, we completed the acquisition of RocketPower (see Acquisitions footnote). Under guidelines established by the SEC, companies are permitted to exclude acquisitions from their assessment of internal control over financial reporting during the first year of an acquisition while integrating the acquired company. Accordingly, we intend to exclude the acquired RocketPower business from our assessment and report on internal control over financial reporting for the year ending January 1, 2023. We are in the process of integrating RocketPower into our system of internal control over financial reporting.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Except as noted above, there was no change in the Company’s internal control over financial reporting that occurred during the Company’s most recent fiscal quarter that have materially affected, or are reasonably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jc w:val="right"/>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PART II. OTHER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continuously engaged in litigation, threatened ligation,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The Company maintains insurance coverage which may cover certain claims. When claims exceed the applicable policy deductible and realization of recovery of the claim from existing insurance policies is deemed probable, the Company records receivables from the insurance company for the excess amount, which are included in prepaid expenses and other current assets in the consolidated balance sheet.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the outcome of these matters currently pending cannot be predicted with certainty, we believe that the resolution of any such proceedings will not have a material adverse effect on our financial condition, results of operations or cash flows.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January 2018, the Hungarian Competition Authority initiated proceedings against the Company, along with a local industry trade association and its members, due to alleged infringement of national competition regulations. The Authority announced its decision on December 18, 2020, levying a fine against the trade association with joint and several secondary liabilities placed on the 20 member companies. Our apportioned secondary liability as a member company is approximately $300,000. The matter is still pending. Certain member companies exercised their right to challenge the decision, which could impact the apportionment. The Company does not believe that resolution of this matter will have a material adverse effect upon the Company’s competitive position, results of operations, cash flows or financial position.</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risk factors previously disclosed in Part I, Item 1A of the Company's Annual Report filed on Form 10-K for the year ended January 2,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jc w:val="right"/>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Sales of Equity Securities Not Registered Under the Securities Exchange Act of 1933</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 Issuer Repurchases of Equity Securities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we reacquired shares of our common stock as follows:</w:t>
      </w:r>
    </w:p>
    <w:tbl>
      <w:tblPr>
        <w:tblW w:w="10205" w:type="dxa"/>
        <w:jc w:val="left"/>
        <w:tblInd w:w="0" w:type="dxa"/>
        <w:tblCellMar>
          <w:top w:w="28" w:type="dxa"/>
          <w:left w:w="28" w:type="dxa"/>
          <w:bottom w:w="28" w:type="dxa"/>
          <w:right w:w="28" w:type="dxa"/>
        </w:tblCellMar>
      </w:tblPr>
      <w:tblGrid>
        <w:gridCol w:w="1128"/>
        <w:gridCol w:w="991"/>
        <w:gridCol w:w="1002"/>
        <w:gridCol w:w="109"/>
        <w:gridCol w:w="109"/>
        <w:gridCol w:w="109"/>
        <w:gridCol w:w="427"/>
        <w:gridCol w:w="418"/>
        <w:gridCol w:w="420"/>
        <w:gridCol w:w="109"/>
        <w:gridCol w:w="109"/>
        <w:gridCol w:w="109"/>
        <w:gridCol w:w="221"/>
        <w:gridCol w:w="646"/>
        <w:gridCol w:w="114"/>
        <w:gridCol w:w="109"/>
        <w:gridCol w:w="109"/>
        <w:gridCol w:w="109"/>
        <w:gridCol w:w="554"/>
        <w:gridCol w:w="534"/>
        <w:gridCol w:w="525"/>
        <w:gridCol w:w="109"/>
        <w:gridCol w:w="109"/>
        <w:gridCol w:w="109"/>
        <w:gridCol w:w="523"/>
        <w:gridCol w:w="1005"/>
        <w:gridCol w:w="389"/>
      </w:tblGrid>
      <w:tr>
        <w:trPr/>
        <w:tc>
          <w:tcPr>
            <w:tcW w:w="112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31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w:t>
              <w:br/>
              <w:t>of Shares</w:t>
              <w:br/>
              <w:t>(or Units)</w:t>
              <w:br/>
              <w:t>Purchased</w:t>
              <w:b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Price Paid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 Share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w:t>
              <w:br/>
              <w:t>of Shares (or</w:t>
              <w:br/>
              <w:t>Units) Purchased</w:t>
              <w:br/>
              <w:t>as Part of Publicly</w:t>
              <w:br/>
              <w:t>Announced Plans</w:t>
              <w:br/>
              <w:t>or Programs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Maximum Number</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 Approximate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Dollar Value) of</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 (or Units)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That May Yet Be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Purchased Under the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Plans or Programs</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millions of dollars)</w:t>
            </w:r>
          </w:p>
        </w:tc>
      </w:tr>
      <w:tr>
        <w:trPr/>
        <w:tc>
          <w:tcPr>
            <w:tcW w:w="31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 2022 through February 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2022 through March 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1,577,614 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2022 through April 3,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40,134 </w:t>
            </w:r>
          </w:p>
        </w:tc>
        <w:tc>
          <w:tcPr>
            <w:tcW w:w="42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1,577,614 </w:t>
            </w:r>
          </w:p>
        </w:tc>
        <w:tc>
          <w:tcPr>
            <w:tcW w:w="52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We may reacquire shares sold to cover employee tax withholdings due upon the vesting of restricted stock and performance shares held by employees. Accordingly, 40,134 shares were reacquired in transactions during the quarter.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On February 14, 2022, the Board of Directors of the Company authorized a stock repurchase from Persol Holdings as part of a publicly announced plan between the Company and Persol Holdings to mutually discontinue their cross-shareholding. 1,576,139 shares of the Company's Class A common stock and 1,475 shares of its Class B common stock were repurchased in an open-market transaction on February 14, 2022 and subsequently retired and returned to unauthorized status.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0"/>
        <w:rPr/>
      </w:pPr>
      <w:r>
        <w:rPr>
          <w:rFonts w:ascii="Times New Roman;sans-serif" w:hAnsi="Times New Roman;sans-serif"/>
          <w:b w:val="false"/>
          <w:color w:val="000000"/>
          <w:sz w:val="20"/>
        </w:rPr>
        <w:t>Not applicable.</w:t>
      </w:r>
      <w:r>
        <w:rPr>
          <w:color w:val="000000"/>
        </w:rPr>
        <w:t> </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180"/>
        <w:rPr/>
      </w:pPr>
      <w:r>
        <w:rPr>
          <w:rFonts w:ascii="Times New Roman;sans-serif" w:hAnsi="Times New Roman;sans-serif"/>
          <w:b w:val="false"/>
          <w:color w:val="000000"/>
          <w:sz w:val="20"/>
        </w:rPr>
        <w:t>Not applicable.</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rPr/>
      </w:pPr>
      <w:r>
        <w:rPr>
          <w:rFonts w:ascii="Times New Roman;sans-serif" w:hAnsi="Times New Roman;sans-serif"/>
          <w:b w:val="false"/>
          <w:color w:val="000000"/>
          <w:sz w:val="20"/>
        </w:rPr>
        <w:t>Not applicable.</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See Index to Exhibits required by Item 601, Regulation S-K, set forth on page 44 of this filing.</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INDEX TO EXHIBITS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REQUIRED BY ITEM 601,</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REGULATION S-K</w:t>
      </w:r>
    </w:p>
    <w:tbl>
      <w:tblPr>
        <w:tblW w:w="10205" w:type="dxa"/>
        <w:jc w:val="left"/>
        <w:tblInd w:w="0" w:type="dxa"/>
        <w:tblCellMar>
          <w:top w:w="28" w:type="dxa"/>
          <w:left w:w="28" w:type="dxa"/>
          <w:bottom w:w="28" w:type="dxa"/>
          <w:right w:w="28" w:type="dxa"/>
        </w:tblCellMar>
      </w:tblPr>
      <w:tblGrid>
        <w:gridCol w:w="336"/>
        <w:gridCol w:w="295"/>
        <w:gridCol w:w="297"/>
        <w:gridCol w:w="109"/>
        <w:gridCol w:w="109"/>
        <w:gridCol w:w="109"/>
        <w:gridCol w:w="2680"/>
        <w:gridCol w:w="2594"/>
        <w:gridCol w:w="3676"/>
      </w:tblGrid>
      <w:tr>
        <w:trPr/>
        <w:tc>
          <w:tcPr>
            <w:tcW w:w="3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0"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20403-10qxexh108.htm">
              <w:r>
                <w:rPr>
                  <w:rStyle w:val="InternetLink"/>
                  <w:rFonts w:ascii="Times New Roman;sans-serif" w:hAnsi="Times New Roman;sans-serif"/>
                  <w:b w:val="false"/>
                  <w:color w:val="0000FF"/>
                  <w:sz w:val="20"/>
                  <w:u w:val="single"/>
                </w:rPr>
                <w:t>10.8*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between Kelly Services Management Sarl and Olivier Thirot.</w:t>
            </w:r>
          </w:p>
        </w:tc>
      </w:tr>
      <w:tr>
        <w:trPr/>
        <w:tc>
          <w:tcPr>
            <w:tcW w:w="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20403-10qxexh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 13a-14(a)/15d-14(a) of the Securities Exchange Act, as amended.</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20403-10qxexh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 13a-14(a)/15d-14(a) of the Securities Exchange Act, as amended.</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20403-10qxexh321.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20403-10qxexh322.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tc>
      </w:tr>
      <w:tr>
        <w:trPr/>
        <w:tc>
          <w:tcPr>
            <w:tcW w:w="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jc w:val="right"/>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274" w:type="dxa"/>
        <w:jc w:val="left"/>
        <w:tblInd w:w="0" w:type="dxa"/>
        <w:tblCellMar>
          <w:top w:w="28" w:type="dxa"/>
          <w:left w:w="28" w:type="dxa"/>
          <w:bottom w:w="28" w:type="dxa"/>
          <w:right w:w="28" w:type="dxa"/>
        </w:tblCellMar>
      </w:tblPr>
      <w:tblGrid>
        <w:gridCol w:w="629"/>
        <w:gridCol w:w="554"/>
        <w:gridCol w:w="557"/>
        <w:gridCol w:w="741"/>
        <w:gridCol w:w="741"/>
        <w:gridCol w:w="1052"/>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SERVICES, INC.</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Olivier G. Thirot</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Olivier G. Thirot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tbl>
      <w:tblPr>
        <w:tblW w:w="4845" w:type="dxa"/>
        <w:jc w:val="left"/>
        <w:tblInd w:w="0" w:type="dxa"/>
        <w:tblCellMar>
          <w:top w:w="28" w:type="dxa"/>
          <w:left w:w="28" w:type="dxa"/>
          <w:bottom w:w="28" w:type="dxa"/>
          <w:right w:w="28" w:type="dxa"/>
        </w:tblCellMar>
      </w:tblPr>
      <w:tblGrid>
        <w:gridCol w:w="629"/>
        <w:gridCol w:w="554"/>
        <w:gridCol w:w="557"/>
        <w:gridCol w:w="908"/>
        <w:gridCol w:w="908"/>
        <w:gridCol w:w="1289"/>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S. Lockhart</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S. Lockhart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Corporate Controller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Chief Accounting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spacing w:before="0" w:after="18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10.8</w:t>
      </w:r>
    </w:p>
    <w:p>
      <w:pPr>
        <w:pStyle w:val="TextBody"/>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EMPLOYMENT AGREEMENT</w:t>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between</w:t>
      </w:r>
    </w:p>
    <w:p>
      <w:pPr>
        <w:pStyle w:val="TextBody"/>
        <w:spacing w:before="0" w:after="0"/>
        <w:jc w:val="both"/>
        <w:rPr/>
      </w:pPr>
      <w:r>
        <w:rPr/>
      </w:r>
    </w:p>
    <w:p>
      <w:pPr>
        <w:pStyle w:val="TextBody"/>
        <w:spacing w:lineRule="auto" w:line="240" w:before="0" w:after="0"/>
        <w:jc w:val="center"/>
        <w:rPr/>
      </w:pPr>
      <w:r>
        <w:rPr>
          <w:rFonts w:ascii="Times New Roman;sans-serif" w:hAnsi="Times New Roman;sans-serif"/>
          <w:b w:val="false"/>
          <w:color w:val="000000"/>
          <w:sz w:val="24"/>
        </w:rPr>
        <w:t>Kelly Services Management Sarl (hereinafter “</w:t>
      </w:r>
      <w:r>
        <w:rPr>
          <w:rFonts w:ascii="Times New Roman;sans-serif" w:hAnsi="Times New Roman;sans-serif"/>
          <w:b/>
          <w:color w:val="000000"/>
          <w:sz w:val="24"/>
        </w:rPr>
        <w:t>the Company</w:t>
      </w:r>
      <w:r>
        <w:rPr>
          <w:color w:val="000000"/>
        </w:rPr>
        <w:t>”</w:t>
      </w:r>
      <w:r>
        <w:rPr>
          <w:rFonts w:ascii="Times New Roman;sans-serif" w:hAnsi="Times New Roman;sans-serif"/>
          <w:b w:val="false"/>
          <w:color w:val="000000"/>
          <w:sz w:val="24"/>
        </w:rPr>
        <w:t>)</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before="0" w:after="0"/>
        <w:jc w:val="center"/>
        <w:rPr/>
      </w:pPr>
      <w:r>
        <w:rPr/>
      </w:r>
    </w:p>
    <w:p>
      <w:pPr>
        <w:pStyle w:val="TextBody"/>
        <w:spacing w:lineRule="auto" w:line="240" w:before="0" w:after="0"/>
        <w:jc w:val="center"/>
        <w:rPr/>
      </w:pPr>
      <w:r>
        <w:rPr>
          <w:rFonts w:ascii="Times New Roman;sans-serif" w:hAnsi="Times New Roman;sans-serif"/>
          <w:b w:val="false"/>
          <w:color w:val="000000"/>
          <w:sz w:val="24"/>
        </w:rPr>
        <w:t>Olivier Thirot, 34 Chemin de la Montagne, 1224 Chêne-Bougeries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Switzerland</w:t>
      </w:r>
    </w:p>
    <w:p>
      <w:pPr>
        <w:pStyle w:val="TextBody"/>
        <w:spacing w:before="0" w:after="0"/>
        <w:jc w:val="center"/>
        <w:rPr/>
      </w:pPr>
      <w:r>
        <w:rPr/>
      </w:r>
    </w:p>
    <w:p>
      <w:pPr>
        <w:pStyle w:val="TextBody"/>
        <w:spacing w:lineRule="auto" w:line="240" w:before="0" w:after="0"/>
        <w:jc w:val="center"/>
        <w:rPr/>
      </w:pPr>
      <w:r>
        <w:rPr>
          <w:rFonts w:ascii="Times New Roman;sans-serif" w:hAnsi="Times New Roman;sans-serif"/>
          <w:b w:val="false"/>
          <w:color w:val="000000"/>
          <w:sz w:val="24"/>
        </w:rPr>
        <w:t>(hereinafter "</w:t>
      </w:r>
      <w:r>
        <w:rPr>
          <w:rFonts w:ascii="Times New Roman;sans-serif" w:hAnsi="Times New Roman;sans-serif"/>
          <w:b/>
          <w:color w:val="000000"/>
          <w:sz w:val="24"/>
        </w:rPr>
        <w:t>the Employee</w:t>
      </w:r>
      <w:r>
        <w:rPr>
          <w:rFonts w:ascii="Times New Roman;sans-serif" w:hAnsi="Times New Roman;sans-serif"/>
          <w:b w:val="false"/>
          <w:color w:val="000000"/>
          <w:sz w:val="24"/>
        </w:rPr>
        <w:t>").</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Company, a subsidiary of Kelly Services, Inc., a Delaware corporation (“</w:t>
      </w:r>
      <w:r>
        <w:rPr>
          <w:rFonts w:ascii="Times New Roman;sans-serif" w:hAnsi="Times New Roman;sans-serif"/>
          <w:b/>
          <w:color w:val="000000"/>
          <w:sz w:val="24"/>
        </w:rPr>
        <w:t>Kelly Services</w:t>
      </w:r>
      <w:r>
        <w:rPr>
          <w:color w:val="000000"/>
        </w:rPr>
        <w:t>”</w:t>
      </w:r>
      <w:r>
        <w:rPr>
          <w:rFonts w:ascii="Times New Roman;sans-serif" w:hAnsi="Times New Roman;sans-serif"/>
          <w:b w:val="false"/>
          <w:color w:val="000000"/>
          <w:sz w:val="24"/>
        </w:rPr>
        <w:t>), desires to employ the Employee and the Employee desires to accept such employment in accordance with the terms and conditions of this. This Employment agreement cancels and replaces all prior agreements and understandings (whether written or oral) relating to the Employee’s employment by the Company or any of the Company’s affiliated companies relating to the subject matter herein.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the Parties hereto agree as follows:</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1</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DURATION</w:t>
      </w:r>
    </w:p>
    <w:p>
      <w:pPr>
        <w:pStyle w:val="TextBody"/>
        <w:spacing w:before="0" w:after="0"/>
        <w:jc w:val="both"/>
        <w:rPr/>
      </w:pPr>
      <w:r>
        <w:rPr/>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1.1This Agreement is concluded for an indefinite term, to take effect as from 27 December 2021 and shall continue until either party gives notice of termination in accordance with the terms herein. The calculation of the Employee’s years of service will include Employee’s prior full-time employment with the Company and the Company’s affiliated companies; provided that there has not been a break in employment.</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1.2Subject to Article 11, during the term of this Agreement the Employee will receive severance benefits from the Company equivalent to that of a Tier 2 Participant under the Senior Executive Severance Plan approved by the Board of Directors of Kelly Services, from time to time (the “Plan”) in the event of termination of the Employee’s employment: (i) by the Company other than for Cause, Disability or death, other than by reason of termination in connection with the sale or transfer of any portion of the Company’s assets (not constituting a Change in Control) provided the Employee is offered employment with comparable base pay with the purchaser or transferee thereof and is offered a new severance agreement with the new employer; or (ii) for Good Reason by the Employee in connection with a Change in Control as set forth within the Plan. “Cause”, “Change of Control”. “Disability”, “Good Reason” and “Tier 2 Participant” as used in this paragraph shall have the same meanings as the meanings set forth in such Plan.  For the avoidance of doubt, the Employee is not a participant in the Plan due to his employment by the Company, however the addition of this clause is designed to provide for financial protection in the event of unexpected job loss, in order to encourage the continued attention of participants who are expected to make substantial contributions to the success of the Company and therefore provide for stability and continuity of management. </w:t>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ind w:left="0" w:right="0" w:hanging="4"/>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2</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OBLIGATIONS DURING EMPLOYMENT</w:t>
      </w:r>
    </w:p>
    <w:p>
      <w:pPr>
        <w:pStyle w:val="TextBody"/>
        <w:spacing w:before="0" w:after="0"/>
        <w:jc w:val="both"/>
        <w:rPr/>
      </w:pPr>
      <w:r>
        <w:rPr/>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2.1The Company agrees to employ the Employee, and the Employee agrees to serve as Chief Financial Officer, and his duties will consist, without limitations, of those duties set out by the President &amp; Chief Executive Officer of Kelly Services to whom the Employee will report in solid line (herein after the “Supervisor”), or by a designee (the “Director”) of the Board of Directors of the Company. The Employee shall faithfully and diligently perform the duties and exercise the powers which the Supervisor or anyone authorized by the Chairman of the Board may from time to time properly assign to or confer upon the Employee.</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2.2If and so long as the Director so directs, the Employee shall perform and exercise the said duties and powers on behalf of any Affiliate (as defined in paragraph 17.1 below).</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2.3At all times and in all respects, the Employee shall conform to and comply with the lawful and reasonable directions of the Supervisor or anyone authorized by the Chairman of the Board.</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2.4Unless prevented by sickness, injury or other incapacity or as otherwise agreed by the Director, the Employee shall devote the whole of his time, attention and abilities during his hours of work (which shall be normal business hours and such additional hours as may be necessary for the proper performance of his duties) to the business and affairs of the Company and any Affiliate for which he is required to perform duties.</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2.5While working for the Company, the Employee shall be domiciled in Chêne-Bougeries, Switzerland and the Employee may voluntarily work from home or work from such other place of business of the Company, which the Supervisor or its designee may reasonably require for the proper performance and exercise of his duties and powers, and to travel on the business of the Company and any Affiliate for which he is required to perform duties. Company will ensure that work space is available to Employee on the premises of the Company or of the Company’s affiliated companies.</w:t>
      </w:r>
    </w:p>
    <w:p>
      <w:pPr>
        <w:pStyle w:val="TextBody"/>
        <w:spacing w:lineRule="auto" w:line="240" w:before="0" w:after="120"/>
        <w:ind w:left="0" w:right="0" w:hanging="720"/>
        <w:jc w:val="both"/>
        <w:rPr/>
      </w:pPr>
      <w:r>
        <w:rPr>
          <w:rFonts w:ascii="Times New Roman;sans-serif" w:hAnsi="Times New Roman;sans-serif"/>
          <w:b w:val="false"/>
          <w:color w:val="000000"/>
          <w:sz w:val="24"/>
        </w:rPr>
        <w:t xml:space="preserve">2.6The Employee shall comply with the Standards of Business Conduct set forth in </w:t>
      </w:r>
      <w:r>
        <w:rPr>
          <w:rFonts w:ascii="Times New Roman;sans-serif" w:hAnsi="Times New Roman;sans-serif"/>
          <w:b/>
          <w:color w:val="000000"/>
          <w:sz w:val="24"/>
        </w:rPr>
        <w:t>Exhibit A</w:t>
      </w:r>
      <w:r>
        <w:rPr>
          <w:color w:val="000000"/>
        </w:rPr>
        <w:t xml:space="preserve"> </w:t>
      </w:r>
      <w:r>
        <w:rPr>
          <w:rFonts w:ascii="Times New Roman;sans-serif" w:hAnsi="Times New Roman;sans-serif"/>
          <w:b w:val="false"/>
          <w:color w:val="000000"/>
          <w:sz w:val="24"/>
        </w:rPr>
        <w:t>attached on our global webpage.</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2.7During the term of this Agreement, the Employee shall not take on any work for third parties (whether remunerated or not) without prior consent from the Board of Kelly Services Management Sárl or Director, as applicable. Further, a position as a director of a board or other trustee positions outside of the Company shall not be taken on by the Employee without such consent, even if no remuneration is given for the position.</w:t>
      </w:r>
    </w:p>
    <w:p>
      <w:pPr>
        <w:pStyle w:val="TextBody"/>
        <w:spacing w:lineRule="auto" w:line="240" w:before="0" w:after="120"/>
        <w:ind w:left="0" w:right="0" w:hanging="72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highlight w:val="white"/>
        </w:rPr>
        <w:t>The Company agrees to arrange to allow the Employee to benefit from any director and officer liability insurance coverage policy carried by the Company or Kelly Services. In addition, the Company shall provide Employee with indemnification at least as favorable as that provided to other officers and directors of Kelly Services pursuant to Article VIII of its bylaws.</w:t>
      </w:r>
    </w:p>
    <w:p>
      <w:pPr>
        <w:pStyle w:val="TextBody"/>
        <w:spacing w:before="0" w:after="12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3</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COMPENSATION</w:t>
      </w:r>
    </w:p>
    <w:p>
      <w:pPr>
        <w:pStyle w:val="TextBody"/>
        <w:spacing w:before="0" w:after="0"/>
        <w:jc w:val="both"/>
        <w:rPr/>
      </w:pPr>
      <w:r>
        <w:rPr/>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3.1The gross salary of the Employee for the period from the date of this Employment Agreement shall be CHF 570’900 per year, payable in twelve (12) monthly installments or as otherwise prescribed by law. Such compensation covers all work and services performed by the Employee for the Company, its Affiliates and/or Kelly Services, including, without limitation, any services performed by the Employee in relation to his appointment as an officer or director of any Affiliates or subsidiaries of the Company or Kelly Services. </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v:textbox>
              </v:rect>
            </w:pict>
          </mc:Fallback>
        </mc:AlternateConten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3.2The Employee's salary will be reviewed and adjusted periodically at the Company’s discretion. The Director or its designee will determine the Employee’s base salary.</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3.3Provided that it is not prohibited or restricted under applicable law, the Employee shall participate in the incentive plan that is applicable to his position as Chief Financial Officer. The Employee understands and expressly accepts that the Company unilaterally establishes the incentive plan each year, based on financial and/or performance measures that the Company determines at its sole discretion and that may result in fundamental changes (including its termination) to the incentive plan. Further details relative to the applicable incentive plan will be provided to the Employee under separate cover.</w:t>
      </w:r>
    </w:p>
    <w:p>
      <w:pPr>
        <w:pStyle w:val="TextBody"/>
        <w:spacing w:before="0" w:after="120"/>
        <w:jc w:val="both"/>
        <w:rPr/>
      </w:pPr>
      <w:r>
        <w:rPr/>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payments mentioned in paragraphs 3.1 through 3.3 above shall be subject to the legal and statutory deductions for old age and survivors insurance (AVS), disability insurance (AI), unemployment insurance (AC), loss of gain insurance (APG), occupational pension (LPP) and any additional legal or statutory deduction that may be introduced during the period of the employment relationship.</w: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4</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COMPANY LEASE CAR/CAR ALLOWANCE</w:t>
      </w:r>
    </w:p>
    <w:p>
      <w:pPr>
        <w:pStyle w:val="TextBody"/>
        <w:spacing w:before="0" w:after="0"/>
        <w:jc w:val="both"/>
        <w:rPr/>
      </w:pPr>
      <w:r>
        <w:rPr/>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Employee will be eligible to a car allowance of CHF twenty thousand and four hundred (20,400) per year.</w:t>
      </w:r>
    </w:p>
    <w:p>
      <w:pPr>
        <w:pStyle w:val="TextBody"/>
        <w:spacing w:before="0" w:after="120"/>
        <w:jc w:val="both"/>
        <w:rPr/>
      </w:pPr>
      <w:r>
        <w:rPr/>
      </w:r>
    </w:p>
    <w:p>
      <w:pPr>
        <w:pStyle w:val="TextBody"/>
        <w:spacing w:before="0" w:after="12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5</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BENEFITS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Employee shall be eligible to participate in benefit plans offered by the Company which may include medical, life insurance, disability and retirement plans, subject to the terms and conditions of such plans. The Company reserves the right to modify or discontinue such plans or benefits at any time at its sole discretion.</w:t>
      </w:r>
    </w:p>
    <w:p>
      <w:pPr>
        <w:pStyle w:val="TextBody"/>
        <w:spacing w:before="0" w:after="0"/>
        <w:ind w:left="0" w:right="0" w:hanging="720"/>
        <w:jc w:val="both"/>
        <w:rPr/>
      </w:pPr>
      <w:r>
        <w:rPr/>
      </w:r>
    </w:p>
    <w:p>
      <w:pPr>
        <w:pStyle w:val="TextBody"/>
        <w:spacing w:before="0" w:after="0"/>
        <w:jc w:val="center"/>
        <w:rPr/>
      </w:pPr>
      <w:r>
        <w:rPr/>
      </w:r>
    </w:p>
    <w:p>
      <w:pPr>
        <w:pStyle w:val="TextBody"/>
        <w:spacing w:before="0" w:after="0"/>
        <w:jc w:val="both"/>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6</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EXPENSES</w:t>
      </w:r>
    </w:p>
    <w:p>
      <w:pPr>
        <w:pStyle w:val="TextBody"/>
        <w:spacing w:before="0" w:after="0"/>
        <w:jc w:val="both"/>
        <w:rPr/>
      </w:pPr>
      <w:r>
        <w:rPr/>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Apart from the compensation as per Article 3 above, the Employee shall be entitled to the refund, upon the submission of adequate written receipts and expense reports, of the actual and reasonable expenses incurred by him on behalf of the Company in the performance of his duties under this Agreement, such expenses including, but not limited to, travel, hotel, meals, and other business expenses approved by the Company. </w:t>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7</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WORKING HOURS</w:t>
      </w:r>
    </w:p>
    <w:p>
      <w:pPr>
        <w:pStyle w:val="TextBody"/>
        <w:spacing w:before="0" w:after="0"/>
        <w:jc w:val="both"/>
        <w:rPr/>
      </w:pPr>
      <w:r>
        <w:rPr/>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7.1The Employee shall work on a full time basis for and devote his full time to the Company.</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7.2The compensation fixed under Article 3 above takes into consideration that the Employee may be asked from time to time to perform overtime or excessive time work, in accordance with his position described in Article 2 above. Compensation for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any overtime or excessive time work is included in the base salary amount stipulated under Article 3.</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8</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HOLIDAYS</w:t>
      </w:r>
    </w:p>
    <w:p>
      <w:pPr>
        <w:pStyle w:val="TextBody"/>
        <w:spacing w:before="0" w:after="0"/>
        <w:jc w:val="both"/>
        <w:rPr/>
      </w:pPr>
      <w:r>
        <w:rPr/>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8.1The Employee shall be entitled to 25 business days paid vacation during each calendar year, which shall accrue on a pro rata basis each year. After 3 years of employment holidays will be determined as outlined in the Swiss Framework Contract (Art.13).</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8.2The Employee shall inform the Supervisor or his designee of any planned vacation and shall obtain prior approval of the Supervisor or his designee of any vacation extending beyond five (5) working days.</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8.3In case of termination of this employment relationship, the Company shall pay on a pro rata basis the accrued vacation not taken by the Employee during the current year, or the Employee shall refund to the Company the vacation already taken by exceeding his pro rata accrual during the current year.</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8.4In addition to the vacation provided above, the Employee shall be entitled to all public holidays applicable in the canton of Geneva.</w:t>
      </w:r>
    </w:p>
    <w:p>
      <w:pPr>
        <w:pStyle w:val="TextBody"/>
        <w:spacing w:before="0" w:after="12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9</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INTELLECTUAL PROPERTY</w:t>
      </w:r>
    </w:p>
    <w:p>
      <w:pPr>
        <w:pStyle w:val="TextBody"/>
        <w:spacing w:before="0" w:after="0"/>
        <w:jc w:val="both"/>
        <w:rPr/>
      </w:pPr>
      <w:r>
        <w:rPr/>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9.1If at any time while performing his employment activities and regardless of whether he is performing his contractual duties, the Employee makes or discovers or participates in the making or discovery of any Intellectual Property relating to or capable of being used in the business of the Company or any Affiliate, he shall immediately disclose the full details of such Intellectual Property to the Company and, at the request and expense of the Company, he shall do all things which may be necessary or desirable for obtaining appropriate forms of protection for the Intellectual Property in such parts of the world as may be specified by the Company and for vesting all rights in the same in the Company or its nominee.</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9.2The Employee hereby irrevocably appoints the Company to be his attorney, in his name and on his behalf, to sign and execute any instrument and to do anything and generally to use his name for the purpose of giving to the Company or its nominee the full benefit of the provisions of this Article 9.</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9.3The Employee hereby expressly waives all of his right and interest in and to the Intellectual Property, subject to section 332 subparagraph 3 CO.</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9.4If the invention is not released to the Employee, the employer shall pay the Employee a special appropriate compensation which shall be determined by taking into account all circumstances, such as the economic value of the invention, the employer’s participation, the use of his staff and operational facilities, as well as the Employee’s expenses and his position in the company (art. 332 par. 4 CO).</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9.5All rights and obligations under this Article in respect of Intellectual Property made or discovered by the Employee during his employment shall continue in full and force and effect after the termination of his employment and shall be binding upon the Employee's personal representatives.</w:t>
      </w:r>
    </w:p>
    <w:p>
      <w:pPr>
        <w:pStyle w:val="TextBody"/>
        <w:spacing w:before="0" w:after="12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v:textbox>
              </v:rect>
            </w:pict>
          </mc:Fallback>
        </mc:AlternateConten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10</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SECRECY OBLIGATION</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10.1During the entire duration of this Agreement as well as after the end of the employment relationship, the Employee shall keep strictly secret, and not disclose or communicate to third parties, any documents or information of a confidential nature relating to the business and operations of the Company or Kelly Services or any of its subsidiaries including any company in the same group as Kelly Services.</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10.2Furthermore, the Employee shall keep strictly secret, and not disclose to any third party, any documents or information of a confidential nature entrusted by clients or other third parties or of which the Employee became aware through other channels.</w:t>
      </w:r>
    </w:p>
    <w:p>
      <w:pPr>
        <w:pStyle w:val="TextBody"/>
        <w:spacing w:before="0" w:after="120"/>
        <w:jc w:val="center"/>
        <w:rPr/>
      </w:pPr>
      <w:r>
        <w:rPr/>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11</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TERMINATION</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11.1The parties agree that the employment relationship ends, without having to provide notice of termination on the day which the Employee attains the retirement age in effect at the respective time pursuant to social security law. </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11.2The employment relationship can be terminated by either party as of the end of a month by giving the other with written notice of 6 months.</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11.2.1Notice in writing of termination by the Employee and by the Company is outlined in Art.29 of the attached and applicable Swiss Framework Contract ; however, such notice may be waived by mutual consent; </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11.3The Employee’s employment may, at the option of the Company, be terminated in the event of the Employee is prevent from performing his work by no fault of his own due to illness or accident, whether total or partial, if such results in his inability to render the services under this Agreement and continues for more than 30 days during his first year of employment, 90 days during any 12 month period during his second through fifth year of employment, or 180 days during any 12 month period during his sixth or any later year of employment. </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11.4Any other provisions herein notwithstanding, this Agreement may also be terminated by either party before the expiration of the contractual term for cause in the meaning of Article 337 Swiss Code of Obligations.</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11.5Upon the termination of his employment (for whatever reason and howsoever arising) the Employee:</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11.5.1Shall not take away, conceal or destroy but shall immediately deliver to the Company all documents (which expression shall include, without limitation, notes, software, memoranda, correspondence, drawings, sketches, plans, designs and any other material upon which data or information is recorded or stored) relating to the business or affairs of the Company or any Affiliate or any of their customers, shareholders, directors, employees, officers, suppliers, distributors and agents (and the Employee shall not be entitled to retain any copies or reproductions of any such documents) together with any other property belonging to the Company or any Affiliate which may then be in his/her possession or under his control;</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11.5.2Shall at the request of the Director or its designee immediately resign, without claim for compensation, from any office as a director of the Company and any Affiliate and from any other office held by him in the Company or any Affiliate. In the event of his failure to do so, the Company and its shareholders are hereby irrevocably authorized immediately to remove him therefrom;</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11.5.3Shall not at any time thereafter make any untrue or misleading oral or written statement concerning the business and affairs of the Company or any Affiliate nor represent himself or permit himself to be held out as being in any way connected with or interested in the business of the Company or any Affiliate (except as a former </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employee for the purpose of communicating with prospective employers or complying with any applicable statutory requirements); and</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11.5.4Shall immediately repay all outstanding debts or other amounts due to the Company or any Affiliate, and the Company is hereby authorized to deduct from any wages or accrued benefits of the Employee a sum in repayment of all or any part of any such debts, or other amounts due.</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11.5.5Upon termination of the Agreement, the Employee shall also resign from the boards of directors of the Company and any of its subsidiaries.</w:t>
      </w:r>
    </w:p>
    <w:p>
      <w:pPr>
        <w:pStyle w:val="TextBody"/>
        <w:spacing w:lineRule="auto" w:line="240" w:before="0" w:after="120"/>
        <w:ind w:left="0" w:right="0" w:hanging="720"/>
        <w:jc w:val="both"/>
        <w:rPr/>
      </w:pPr>
      <w:r>
        <w:rPr>
          <w:rFonts w:ascii="Times New Roman;sans-serif" w:hAnsi="Times New Roman;sans-serif"/>
          <w:b w:val="false"/>
          <w:color w:val="000000"/>
          <w:sz w:val="24"/>
        </w:rPr>
        <w:t>11.5.6</w:t>
      </w:r>
      <w:r>
        <w:rPr>
          <w:rFonts w:ascii="Times New Roman;sans-serif" w:hAnsi="Times New Roman;sans-serif"/>
          <w:b w:val="false"/>
          <w:color w:val="000000"/>
          <w:sz w:val="24"/>
          <w:highlight w:val="white"/>
        </w:rPr>
        <w:t>The Company shall not be obligated to pay the Employee any of the severance payments under Section 1.2 unless and until the Employee has executed (without revocation) a timely release of claims in a form that is acceptable to the Company, and which includes standard and reasonable terms regarding items such as mutual non-disparagement, confidentiality, cooperation and the like, which must be provided to the Employee after thirty (30) days following separation from service, and must be effective and irrevocable prior to the 60th day following the Employee’s separation from service (the “</w:t>
      </w:r>
      <w:r>
        <w:rPr>
          <w:rFonts w:ascii="Times New Roman;sans-serif" w:hAnsi="Times New Roman;sans-serif"/>
          <w:b/>
          <w:color w:val="000000"/>
          <w:sz w:val="24"/>
          <w:highlight w:val="white"/>
        </w:rPr>
        <w:t>Review Period</w:t>
      </w:r>
      <w:r>
        <w:rPr>
          <w:color w:val="000000"/>
          <w:highlight w:val="white"/>
        </w:rPr>
        <w:t>”</w:t>
      </w:r>
      <w:r>
        <w:rPr>
          <w:rFonts w:ascii="Times New Roman;sans-serif" w:hAnsi="Times New Roman;sans-serif"/>
          <w:b w:val="false"/>
          <w:color w:val="000000"/>
          <w:sz w:val="24"/>
          <w:highlight w:val="white"/>
        </w:rPr>
        <w:t>), and which shall include a general release of claims against Company and its affiliated entities and each of their officers, directors, employees and others associated with the Company and its affiliated entities. If the Employee fails or refuses to return such agreement, or revokes the agreement, within the Review Period, the Employee’s severance payments hereunder and benefits shall be forfeited</w:t>
      </w:r>
    </w:p>
    <w:p>
      <w:pPr>
        <w:pStyle w:val="TextBody"/>
        <w:spacing w:before="0" w:after="120"/>
        <w:jc w:val="center"/>
        <w:rPr/>
      </w:pPr>
      <w:r>
        <w:rPr/>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12</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NON-COMPETITION / NON-SOLICITATION</w:t>
      </w:r>
    </w:p>
    <w:p>
      <w:pPr>
        <w:pStyle w:val="TextBody"/>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12.1For the purposes of this Article 12 the following expressions have the following respective meanings:</w:t>
      </w:r>
    </w:p>
    <w:p>
      <w:pPr>
        <w:pStyle w:val="TextBody"/>
        <w:spacing w:lineRule="auto" w:line="240" w:before="0" w:after="240"/>
        <w:ind w:left="0" w:right="0" w:hanging="720"/>
        <w:jc w:val="both"/>
        <w:rPr/>
      </w:pPr>
      <w:r>
        <w:rPr>
          <w:rFonts w:ascii="Times New Roman;sans-serif" w:hAnsi="Times New Roman;sans-serif"/>
          <w:b w:val="false"/>
          <w:color w:val="000000"/>
          <w:sz w:val="24"/>
        </w:rPr>
        <w:t xml:space="preserve">12.1.1the </w:t>
      </w:r>
      <w:r>
        <w:rPr>
          <w:rFonts w:ascii="Times New Roman;sans-serif" w:hAnsi="Times New Roman;sans-serif"/>
          <w:b/>
          <w:color w:val="000000"/>
          <w:sz w:val="24"/>
        </w:rPr>
        <w:t>"Termination Date"</w:t>
      </w:r>
      <w:r>
        <w:rPr>
          <w:color w:val="000000"/>
        </w:rPr>
        <w:t xml:space="preserve"> </w:t>
      </w:r>
      <w:r>
        <w:rPr>
          <w:rFonts w:ascii="Times New Roman;sans-serif" w:hAnsi="Times New Roman;sans-serif"/>
          <w:b w:val="false"/>
          <w:color w:val="000000"/>
          <w:sz w:val="24"/>
        </w:rPr>
        <w:t>means the date of termination for any reason of the employment;</w:t>
      </w:r>
    </w:p>
    <w:p>
      <w:pPr>
        <w:pStyle w:val="TextBody"/>
        <w:spacing w:lineRule="auto" w:line="240" w:before="0" w:after="240"/>
        <w:ind w:left="0" w:right="0" w:hanging="720"/>
        <w:jc w:val="both"/>
        <w:rPr/>
      </w:pPr>
      <w:r>
        <w:rPr>
          <w:rFonts w:ascii="Times New Roman;sans-serif" w:hAnsi="Times New Roman;sans-serif"/>
          <w:b w:val="false"/>
          <w:color w:val="000000"/>
          <w:sz w:val="24"/>
        </w:rPr>
        <w:t xml:space="preserve">12.1.2the </w:t>
      </w:r>
      <w:r>
        <w:rPr>
          <w:rFonts w:ascii="Times New Roman;sans-serif" w:hAnsi="Times New Roman;sans-serif"/>
          <w:b/>
          <w:color w:val="000000"/>
          <w:sz w:val="24"/>
        </w:rPr>
        <w:t>"Prior Period"</w:t>
      </w:r>
      <w:r>
        <w:rPr>
          <w:color w:val="000000"/>
        </w:rPr>
        <w:t xml:space="preserve"> </w:t>
      </w:r>
      <w:r>
        <w:rPr>
          <w:rFonts w:ascii="Times New Roman;sans-serif" w:hAnsi="Times New Roman;sans-serif"/>
          <w:b w:val="false"/>
          <w:color w:val="000000"/>
          <w:sz w:val="24"/>
        </w:rPr>
        <w:t>means the period of 12 months immediately preceding the Termination Date.</w:t>
      </w:r>
    </w:p>
    <w:p>
      <w:pPr>
        <w:pStyle w:val="TextBody"/>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12.2The Employee understands and acknowledges that his senior position with the Company and Kelly Services gives him access to and the benefit of confidential information vital to the continued success of the Company and its Affiliates and influence over and connection with the Company's customers, suppliers, distributors, agents, employees and directors and those of its Affiliates in or with which the Employee is engaged or in contact and hereby acknowledges and confirms that he agrees that the provisions appearing in Articles 12.4 and 12.5 below are reasonable in their application to him and necessary but no more than sufficient to protect the interests of the Company and its Affiliates.</w:t>
      </w:r>
    </w:p>
    <w:p>
      <w:pPr>
        <w:pStyle w:val="TextBody"/>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12.3In the event that any restriction contained in Articles 12.4 and 12.5 below shall be found to be void, but would be valid if some part of the relevant restriction were deleted, the relevant restriction shall apply with such modifications as may be necessary to make it valid and effective.</w:t>
      </w:r>
    </w:p>
    <w:p>
      <w:pPr>
        <w:pStyle w:val="TextBody"/>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12.4The Employee shall not without the prior written consent of the Company, during the period of six (6) months from the Termination Date, whether alone or jointly with or as principal, partner, agent, director, employee or consultant of any other person, firm or corporation, and whether directly or indirectly, in competition with any of the businesses of the Company or any Affiliate carried on at the Termination Date:</w:t>
      </w:r>
    </w:p>
    <w:p>
      <w:pPr>
        <w:pStyle w:val="TextBody"/>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12.4.1Solicit the services or customers of, provide services to, or otherwise deal with any person, firm or corporation who or which at any time during the Prior Period was a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customer, client, supplier, agent or distributor of the Company or any Affiliate and with whom or which the Employee was personally concerned during the Prior Period; or</w:t>
      </w:r>
    </w:p>
    <w:p>
      <w:pPr>
        <w:pStyle w:val="TextBody"/>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12.4.2 Entice or endeavor to entice away from the Company or any Affiliate or employ any person whose name is supplied to the Employee on or about the Termination Date being persons employed by the Company or any Affiliate who reported to the Employee or to an employee of the Company or any Affiliate to whom the Employee reported or who was in direct regular contact with the Employee during the Prior Period.</w:t>
      </w:r>
    </w:p>
    <w:p>
      <w:pPr>
        <w:pStyle w:val="TextBody"/>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12.5The Employee shall not without the prior written consent of the Company, during the period of six (6) months from the Termination Date carry on (whether as an individual or otherwise and whether by investing or working or allowing his name to be used or otherwise) any business which materially competes or is liable materially to compete with any business of the Company or any Affiliate carried on at the Termination Date in which the Employee was materially engaged during the Prior Period where the competing business carries on business within Europe (including Switzerland), Middle East and Africa.</w:t>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12.6Upon each breach of the non-competition clause and the non-solicitation clause set out in this Article, the relevant period(s) will be extended by the duration of that breach. For each violation of the covenants set forth in this Article, the Employee shall pay to the Company an amount equal to six (6) months of the Employee's then current salary at the time of termination as liquidated damages, plus such additional damages as may be incurred by the Company. The payment of this sum shall not operate as a waiver of the above obligations. The Company shall, in addition to all other damages, be entitled to obtain a court's order for specific performance, as well as adequate injunctive relief or any other adequate judicial measure, to immediately stop such violation.</w:t>
      </w:r>
    </w:p>
    <w:p>
      <w:pPr>
        <w:pStyle w:val="TextBody"/>
        <w:spacing w:before="0" w:after="0"/>
        <w:rPr/>
      </w:pPr>
      <w:r>
        <w:rPr/>
      </w:r>
    </w:p>
    <w:p>
      <w:pPr>
        <w:pStyle w:val="TextBody"/>
        <w:spacing w:lineRule="auto" w:line="240" w:before="0" w:after="240"/>
        <w:ind w:left="0" w:right="0" w:hanging="709"/>
        <w:jc w:val="both"/>
        <w:rPr>
          <w:rFonts w:ascii="Times New Roman;sans-serif" w:hAnsi="Times New Roman;sans-serif"/>
          <w:b w:val="false"/>
          <w:color w:val="000000"/>
          <w:sz w:val="24"/>
        </w:rPr>
      </w:pPr>
      <w:r>
        <w:rPr>
          <w:rFonts w:ascii="Times New Roman;sans-serif" w:hAnsi="Times New Roman;sans-serif"/>
          <w:b w:val="false"/>
          <w:color w:val="000000"/>
          <w:sz w:val="24"/>
        </w:rPr>
        <w:t>12.7Nothing in this Article 12 shall prevent the Employee holding securities in a company where his holding does not exceed two (2) % of the class of securities concerned.</w:t>
      </w:r>
    </w:p>
    <w:p>
      <w:pPr>
        <w:pStyle w:val="TextBody"/>
        <w:spacing w:lineRule="auto" w:line="240" w:before="0" w:after="120"/>
        <w:jc w:val="both"/>
        <w:rPr>
          <w:color w:val="000000"/>
        </w:rPr>
      </w:pPr>
      <w:r>
        <w:rPr>
          <w:color w:val="000000"/>
        </w:rPr>
        <w:t>    </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Article shall survive any termination of this Agreement by any party for any reason. </w:t>
      </w:r>
    </w:p>
    <w:p>
      <w:pPr>
        <w:pStyle w:val="TextBody"/>
        <w:spacing w:before="0" w:after="12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v:textbox>
              </v:rect>
            </w:pict>
          </mc:Fallback>
        </mc:AlternateConten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13</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REPRESENTATIONS AND WARRANTIES; COVENANTS</w:t>
      </w:r>
    </w:p>
    <w:p>
      <w:pPr>
        <w:pStyle w:val="TextBody"/>
        <w:spacing w:lineRule="auto" w:line="240" w:before="0" w:after="12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13.1The Employee represents and warrants that there are no restrictions or prohibitions that will inhibit him from fully and properly undertaking any of his employment obligations herein, including, but not limited to, a non-competition, non-solicitation, or confidentiality agreement. The Employee acknowledges that if any such restriction or prohibition exists, is enforced, and will prohibit or inhibit him from fully and properly undertaking any of his employment obligations pursuant to this Agreement, such prohibitions or restrictions would constitute just cause for terminating this Agreement.</w:t>
      </w:r>
    </w:p>
    <w:p>
      <w:pPr>
        <w:pStyle w:val="TextBody"/>
        <w:spacing w:lineRule="auto" w:line="240" w:before="0" w:after="12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13.2By entering into this Agreement, the Employee represents and warrants that he is able to perform the contemplated duties of employment without disclosing proprietary or trade secret information of any third party, and that no proprietary or trade secret information of any third party shall be disclosed to the Company.</w:t>
      </w:r>
    </w:p>
    <w:p>
      <w:pPr>
        <w:pStyle w:val="TextBody"/>
        <w:spacing w:lineRule="auto" w:line="240" w:before="0" w:after="12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13.3During the term of this Agreement, the Employee covenants to complete and file in a timely manner all personal tax filings and pay all income taxes related to the compensation and benefits provided hereunder as may be required by applicable law.</w:t>
      </w:r>
    </w:p>
    <w:p>
      <w:pPr>
        <w:pStyle w:val="TextBody"/>
        <w:spacing w:before="0" w:after="120"/>
        <w:jc w:val="center"/>
        <w:rPr/>
      </w:pPr>
      <w:r>
        <w:rPr/>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14</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ENFORCEMENT</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Employee acknowledges that the services to be rendered by his under this Agreement are of a special, unique and extraordinary character and that it would be very difficult or impossible for the Company to replace such services and by reason thereof consents and agrees that if he violates any of the provisions of this Agreement, including without limitation, the provisions with respect to secrecy, non-competition or confidential information, the Company shall be entitled to an injunction to be issued by any court of competent jurisdiction, restraining him from committing or continuing any violations of this Agreement, to damages and all other appropriate relief as may be ordered by the court.</w:t>
      </w:r>
    </w:p>
    <w:p>
      <w:pPr>
        <w:pStyle w:val="TextBody"/>
        <w:spacing w:before="0" w:after="120"/>
        <w:jc w:val="center"/>
        <w:rPr/>
      </w:pPr>
      <w:r>
        <w:rPr/>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15</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NOTICES</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Any notice to be given under this Agreement shall be given in writing and shall be deemed to be sufficiently served by one party on the other if it is delivered personally, by registered or certified mail, postage pre-paid (air-mail if overseas), by commercial express courier or by facsimile addressed as follows: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If to the Company:</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Kelly Services Inc.</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C/o Kelly Services Management Sarl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Av. Edouard-Dubois 20</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CH-2002 Neuchatel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Switzerland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Attn: Chief Executive Officer</w:t>
      </w:r>
    </w:p>
    <w:p>
      <w:pPr>
        <w:pStyle w:val="TextBody"/>
        <w:spacing w:lineRule="auto" w:line="240" w:before="0" w:after="0"/>
        <w:jc w:val="both"/>
        <w:rPr>
          <w:color w:val="000000"/>
        </w:rPr>
      </w:pPr>
      <w:r>
        <w:rPr>
          <w:color w:val="000000"/>
        </w:rPr>
        <w:t>        </w:t>
      </w:r>
    </w:p>
    <w:p>
      <w:pPr>
        <w:pStyle w:val="TextBody"/>
        <w:spacing w:lineRule="auto" w:line="240" w:before="120" w:after="283"/>
        <w:jc w:val="both"/>
        <w:rPr>
          <w:color w:val="000000"/>
        </w:rPr>
      </w:pPr>
      <w:r>
        <w:rPr>
          <w:color w:val="000000"/>
        </w:rPr>
        <w:t>        </w:t>
      </w:r>
    </w:p>
    <w:p>
      <w:pPr>
        <w:pStyle w:val="TextBody"/>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Copy to:</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Kelly Services, Inc.</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999 W. Big Beaver Road</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Troy, Michigan 48084 USA</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Attn: General Counsel</w:t>
      </w:r>
    </w:p>
    <w:p>
      <w:pPr>
        <w:pStyle w:val="TextBody"/>
        <w:spacing w:lineRule="auto" w:line="240" w:before="0" w:after="120"/>
        <w:jc w:val="both"/>
        <w:rPr>
          <w:color w:val="000000"/>
        </w:rPr>
      </w:pPr>
      <w:r>
        <w:rPr>
          <w:color w:val="000000"/>
        </w:rPr>
        <w:t>        </w:t>
      </w:r>
    </w:p>
    <w:p>
      <w:pPr>
        <w:pStyle w:val="TextBody"/>
        <w:spacing w:before="0" w:after="1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v:textbox>
              </v:rect>
            </w:pict>
          </mc:Fallback>
        </mc:AlternateConten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If to the Employee:</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xml:space="preserve">34 Chemin de la Montagne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1224 Chêne-Bougeries</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Switzerland</w:t>
      </w:r>
    </w:p>
    <w:p>
      <w:pPr>
        <w:pStyle w:val="TextBody"/>
        <w:spacing w:before="0" w:after="0"/>
        <w:jc w:val="both"/>
        <w:rPr/>
      </w:pPr>
      <w:r>
        <w:rPr/>
      </w:r>
    </w:p>
    <w:p>
      <w:pPr>
        <w:pStyle w:val="TextBody"/>
        <w:spacing w:lineRule="auto" w:line="240" w:before="0" w:after="120"/>
        <w:jc w:val="both"/>
        <w:rPr>
          <w:color w:val="000000"/>
        </w:rPr>
      </w:pPr>
      <w:r>
        <w:rPr>
          <w:color w:val="000000"/>
        </w:rPr>
        <w:t xml:space="preserve">         </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such other address as shall be furnished in writing by either party to the other. Such notices or other communications shall be deemed received (a) on the date delivered, if delivered personally or by facsimile; (b) three (3) business days after mailing or deposit with an overnight air courier; or (c) ten (10) business days after being sent, if sent by registered or certified mail. </w:t>
      </w:r>
    </w:p>
    <w:p>
      <w:pPr>
        <w:pStyle w:val="TextBody"/>
        <w:spacing w:before="0" w:after="120"/>
        <w:jc w:val="center"/>
        <w:rPr/>
      </w:pPr>
      <w:r>
        <w:rPr/>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16</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GOVERNING LAW AND JURISDICTION</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shall be governed by, and interpreted in accordance with the laws of Switzerland.</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dispute arising out of, or in connection with, this Agreement shall be submitted to the competent courts for either the Employee’s place of work or the place of the Company’s registered office. </w:t>
      </w:r>
    </w:p>
    <w:p>
      <w:pPr>
        <w:pStyle w:val="TextBody"/>
        <w:spacing w:before="0" w:after="120"/>
        <w:jc w:val="center"/>
        <w:rPr/>
      </w:pPr>
      <w:r>
        <w:rPr/>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17</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DEFINITIONS AND INTERPRETATIONS</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In this Agreement, unless the context otherwise requires the following expressions have the following meanings:</w:t>
      </w:r>
    </w:p>
    <w:p>
      <w:pPr>
        <w:pStyle w:val="TextBody"/>
        <w:spacing w:lineRule="auto" w:line="240" w:before="0" w:after="120"/>
        <w:ind w:left="0" w:right="0" w:hanging="720"/>
        <w:jc w:val="both"/>
        <w:rPr/>
      </w:pPr>
      <w:r>
        <w:rPr>
          <w:rFonts w:ascii="Times New Roman;sans-serif" w:hAnsi="Times New Roman;sans-serif"/>
          <w:b w:val="false"/>
          <w:color w:val="000000"/>
          <w:sz w:val="24"/>
        </w:rPr>
        <w:t>17.1</w:t>
      </w:r>
      <w:r>
        <w:rPr>
          <w:color w:val="000000"/>
        </w:rPr>
        <w:t>“</w:t>
      </w:r>
      <w:r>
        <w:rPr>
          <w:rFonts w:ascii="Times New Roman;sans-serif" w:hAnsi="Times New Roman;sans-serif"/>
          <w:b w:val="false"/>
          <w:color w:val="000000"/>
          <w:sz w:val="24"/>
        </w:rPr>
        <w:t>Affiliate” shall mean any company which is under common control, directly or indirectly with the Company or which is controlled, directly or indirectly by the Company.</w:t>
      </w:r>
    </w:p>
    <w:p>
      <w:pPr>
        <w:pStyle w:val="TextBody"/>
        <w:spacing w:lineRule="auto" w:line="240" w:before="0" w:after="120"/>
        <w:ind w:left="0" w:right="0" w:hanging="720"/>
        <w:jc w:val="both"/>
        <w:rPr/>
      </w:pPr>
      <w:r>
        <w:rPr>
          <w:rFonts w:ascii="Times New Roman;sans-serif" w:hAnsi="Times New Roman;sans-serif"/>
          <w:b w:val="false"/>
          <w:color w:val="000000"/>
          <w:sz w:val="24"/>
        </w:rPr>
        <w:t>17.2</w:t>
      </w:r>
      <w:r>
        <w:rPr>
          <w:color w:val="000000"/>
        </w:rPr>
        <w:t>“</w:t>
      </w:r>
      <w:r>
        <w:rPr>
          <w:rFonts w:ascii="Times New Roman;sans-serif" w:hAnsi="Times New Roman;sans-serif"/>
          <w:b w:val="false"/>
          <w:color w:val="000000"/>
          <w:sz w:val="24"/>
        </w:rPr>
        <w:t>Confidential Information” shall mean all written and oral information, without respect to the medium on which such information is recorded, relating to the property, business and affairs of the Company, and Kelly Services and their respective Affiliates, suppliers, and clients, including, but not limited to, information concerning and relating to:</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17.2.1The Company’s and Kelly Services’ and their respective Affiliates’ financing, marketing and business methods, procedures and strategies, fees, wage rates, benefits, cost, clients (including names and addresses), client lists, employee lists, payroll records, financial performance (including billings and profitability), business contacts and referral sources;</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17.2.2The Company’s and Kelly Services’ and their respective Affiliates’ plans for the development of new services or goods, and the plans for the expansion into new areas or markets and other business strategies; and</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17.2.3The Company’s and Kelly Services’ and their respective Affiliates’ business records, contracts, financial information, tax returns, records and statements, results of operations and sales and billings.</w:t>
      </w:r>
    </w:p>
    <w:p>
      <w:pPr>
        <w:pStyle w:val="TextBody"/>
        <w:spacing w:lineRule="auto" w:line="240" w:before="0" w:after="120"/>
        <w:ind w:left="0" w:right="0" w:hanging="720"/>
        <w:jc w:val="both"/>
        <w:rPr/>
      </w:pPr>
      <w:r>
        <w:rPr>
          <w:rFonts w:ascii="Times New Roman;sans-serif" w:hAnsi="Times New Roman;sans-serif"/>
          <w:b w:val="false"/>
          <w:color w:val="000000"/>
          <w:sz w:val="24"/>
        </w:rPr>
        <w:t>17.3</w:t>
      </w:r>
      <w:r>
        <w:rPr>
          <w:color w:val="000000"/>
        </w:rPr>
        <w:t>“</w:t>
      </w:r>
      <w:r>
        <w:rPr>
          <w:rFonts w:ascii="Times New Roman;sans-serif" w:hAnsi="Times New Roman;sans-serif"/>
          <w:b w:val="false"/>
          <w:color w:val="000000"/>
          <w:sz w:val="24"/>
        </w:rPr>
        <w:t>Intellectual Property” shall mean letters, patents, trademarks, service marks, designs, copyrights, design rights, applications for registrations of any of the foregoing and the right to apply for them in any part of the world, inventions, drawings, computer programs, Confidential Information, know-how and rights of like nature arising or subsisting anywhere in the world in relation to all of the foregoing whether registered or unregistered.</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v:textbox>
              </v:rect>
            </w:pict>
          </mc:Fallback>
        </mc:AlternateContent>
      </w:r>
    </w:p>
    <w:p>
      <w:pPr>
        <w:pStyle w:val="TextBody"/>
        <w:spacing w:before="0" w:after="120"/>
        <w:jc w:val="center"/>
        <w:rPr/>
      </w:pPr>
      <w:r>
        <w:rPr/>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Article 18</w:t>
      </w:r>
    </w:p>
    <w:p>
      <w:pPr>
        <w:pStyle w:val="TextBody"/>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MISCELLANEOUS</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18.1This Agreement, together with attached Exhibits, sets forth the entire understanding of the parties and no statement, representation, warranty or covenant either express or implied has been made by the Company except as expressly set forth herein. This Agreement supersedes any existing agreements, arrangements and understandings (written or oral) relating to the employment of the Employee; all of such agreements, arrangements and understandings shall be deemed to have been terminated by mutual consent.</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18.2No provision of this Agreement may be modified, waived or discharged unless agreed to in writing, signed by the Employee and by the undersigned Company representative or his successor.</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18.3The Employee may not assign this Agreement or any interest herein. The Company may assign the Employee and this Agreement to any Affiliate.</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18.4In the event that any provision of the Agreement shall be construed as being invalid or unenforceable, such invalidity or unenforceability shall not affect any of the other provisions in this Agreement which can be given effect without the invalid or unenforceable provision. The parties understand, agree and deem that the consideration exchanged for the various covenants, agreements, and releases contained herein is sufficient and the parties waive any and all rights they may have to assert a claim of lack of sufficient consideration.</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18.5The Employee hereby authorizes the Company, without notice to the Employee, at any time during the Employee's employment to set off and/or make deductions from the Employee's salary or from any other sums due to the Employee from the Company or any Affiliate in respect to any overpayment of any kind made to the Employee in respect to any debt or other sums due from him, subject to article 323b subparagraph 2 CO.</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18.6The headings in this Agreement are for convenience only and shall not affect its construction or interpretation.</w:t>
      </w:r>
    </w:p>
    <w:p>
      <w:pPr>
        <w:pStyle w:val="TextBody"/>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18.7In the event of a conflict between the terms and conditions of this Agreement and Swiss Framework Agreement, the terms and conditions of this Agreement shall prevail.</w:t>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12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1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rPr/>
                      </w:pPr>
                      <w:r>
                        <w:rPr/>
                      </w:r>
                    </w:p>
                  </w:txbxContent>
                </v:textbox>
              </v:rect>
            </w:pict>
          </mc:Fallback>
        </mc:AlternateContent>
      </w:r>
    </w:p>
    <w:p>
      <w:pPr>
        <w:pStyle w:val="TextBody"/>
        <w:spacing w:lineRule="auto" w:line="240" w:before="0" w:after="120"/>
        <w:jc w:val="both"/>
        <w:rPr/>
      </w:pPr>
      <w:r>
        <w:rPr>
          <w:rFonts w:ascii="Times New Roman;sans-serif" w:hAnsi="Times New Roman;sans-serif"/>
          <w:b/>
          <w:color w:val="000000"/>
          <w:sz w:val="24"/>
        </w:rPr>
        <w:t>IN WITNESS WHEREOF,</w:t>
      </w:r>
      <w:r>
        <w:rPr>
          <w:color w:val="000000"/>
        </w:rPr>
        <w:t xml:space="preserve"> </w:t>
      </w:r>
      <w:r>
        <w:rPr>
          <w:rFonts w:ascii="Times New Roman;sans-serif" w:hAnsi="Times New Roman;sans-serif"/>
          <w:b w:val="false"/>
          <w:color w:val="000000"/>
          <w:sz w:val="24"/>
        </w:rPr>
        <w:t>this Agreement has been executed by the parties hereto and is intended to be and is hereby delivered as of this 31st of March 2022</w:t>
      </w:r>
    </w:p>
    <w:p>
      <w:pPr>
        <w:pStyle w:val="TextBody"/>
        <w:spacing w:before="0" w:after="0"/>
        <w:jc w:val="both"/>
        <w:rPr/>
      </w:pPr>
      <w:r>
        <w:rPr/>
      </w:r>
    </w:p>
    <w:p>
      <w:pPr>
        <w:pStyle w:val="TextBody"/>
        <w:spacing w:before="0" w:after="0"/>
        <w:jc w:val="both"/>
        <w:rPr/>
      </w:pPr>
      <w:r>
        <w:rPr/>
      </w:r>
    </w:p>
    <w:tbl>
      <w:tblPr>
        <w:tblW w:w="5699" w:type="dxa"/>
        <w:jc w:val="left"/>
        <w:tblInd w:w="0" w:type="dxa"/>
        <w:tblCellMar>
          <w:top w:w="28" w:type="dxa"/>
          <w:left w:w="28" w:type="dxa"/>
          <w:bottom w:w="28" w:type="dxa"/>
          <w:right w:w="28" w:type="dxa"/>
        </w:tblCellMar>
      </w:tblPr>
      <w:tblGrid>
        <w:gridCol w:w="636"/>
        <w:gridCol w:w="558"/>
        <w:gridCol w:w="561"/>
        <w:gridCol w:w="1154"/>
        <w:gridCol w:w="1154"/>
        <w:gridCol w:w="1636"/>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The Employee</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Kelly Services Management Sarl</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 Olivier Thirot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Dinette Koolhaas</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5040"/>
              <w:jc w:val="left"/>
              <w:rPr>
                <w:rFonts w:ascii="Times New Roman;sans-serif" w:hAnsi="Times New Roman;sans-serif"/>
                <w:b/>
                <w:color w:val="000000"/>
                <w:sz w:val="24"/>
              </w:rPr>
            </w:pPr>
            <w:r>
              <w:rPr>
                <w:rFonts w:ascii="Times New Roman;sans-serif" w:hAnsi="Times New Roman;sans-serif"/>
                <w:b/>
                <w:color w:val="000000"/>
                <w:sz w:val="24"/>
              </w:rPr>
              <w:t>Olivier Thirot</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5040"/>
              <w:jc w:val="left"/>
              <w:rPr>
                <w:rFonts w:ascii="Times New Roman;sans-serif" w:hAnsi="Times New Roman;sans-serif"/>
                <w:b/>
                <w:color w:val="000000"/>
                <w:sz w:val="24"/>
              </w:rPr>
            </w:pPr>
            <w:r>
              <w:rPr>
                <w:rFonts w:ascii="Times New Roman;sans-serif" w:hAnsi="Times New Roman;sans-serif"/>
                <w:b/>
                <w:color w:val="000000"/>
                <w:sz w:val="24"/>
              </w:rPr>
              <w:t>Dinette Koolhaas</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ind w:left="0" w:right="0" w:hanging="5040"/>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Senior Vice President &amp; President,</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Kelly International</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Silvan Hoevenaars</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Silvan Hoevenaars</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Vice President, Finance International</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ind w:left="0" w:right="0" w:firstLine="180"/>
        <w:rPr>
          <w:color w:val="000000"/>
        </w:rPr>
      </w:pPr>
      <w:r>
        <w:rPr>
          <w:color w:val="000000"/>
        </w:rPr>
        <w: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 Peter W. Quigley, certify that: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Kelly Services, Inc.;</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91" w:type="dxa"/>
        <w:jc w:val="left"/>
        <w:tblInd w:w="0" w:type="dxa"/>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605"/>
        <w:gridCol w:w="605"/>
        <w:gridCol w:w="860"/>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W. Quigley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W. Quigley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180"/>
        <w:ind w:left="0" w:right="0" w:firstLine="45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60" w:after="16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160" w:after="160"/>
        <w:rPr>
          <w:rFonts w:ascii="Times New Roman;sans-serif" w:hAnsi="Times New Roman;sans-serif"/>
          <w:b w:val="false"/>
          <w:color w:val="000000"/>
          <w:sz w:val="20"/>
        </w:rPr>
      </w:pPr>
      <w:r>
        <w:rPr>
          <w:rFonts w:ascii="Times New Roman;sans-serif" w:hAnsi="Times New Roman;sans-serif"/>
          <w:b w:val="false"/>
          <w:color w:val="000000"/>
          <w:sz w:val="20"/>
        </w:rPr>
        <w:t>I, Olivier G. Thirot, certify that: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Kelly Services, Inc.;</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56" w:type="dxa"/>
        <w:jc w:val="left"/>
        <w:tblInd w:w="0" w:type="dxa"/>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740"/>
        <w:gridCol w:w="740"/>
        <w:gridCol w:w="105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Olivier G. Thirot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Olivier G. Thirot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br/>
              <w:t>Chief Financial Officer</w:t>
            </w:r>
          </w:p>
        </w:tc>
      </w:tr>
    </w:tbl>
    <w:p>
      <w:pPr>
        <w:pStyle w:val="TextBody"/>
        <w:spacing w:before="0" w:after="180"/>
        <w:ind w:left="0" w:right="0" w:firstLine="18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 PURSUANT TO</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ind w:left="0" w:right="0" w:firstLine="180"/>
        <w:rPr>
          <w:color w:val="000000"/>
        </w:rPr>
      </w:pPr>
      <w:r>
        <w:rPr>
          <w:color w:val="000000"/>
        </w:rPr>
        <w: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Kelly Services, Inc. (the “Company”) on Form 10-Q for the period ended April 3, 2022 as filed with the Securities and Exchange Commission on the date hereof (the “Report”), I, Peter W. Quigley, Chief Executive Officer of the Company, certify, pursuant to 18 U.S.C. Section 1350, as adopted pursuant to Section 906 of the Sarbanes-Oxley Act of 2002, that: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791" w:type="dxa"/>
        <w:jc w:val="left"/>
        <w:tblInd w:w="0" w:type="dxa"/>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605"/>
        <w:gridCol w:w="605"/>
        <w:gridCol w:w="860"/>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W. Quigley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W. Quigley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w:t>
              <w:br/>
              <w:t>Chief Executive Officer</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Kelly Services, Inc. and will be retained by Kelly Services, Inc.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 PURSUANT TO</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Kelly Services, Inc. (the “Company”) on Form 10-Q for the period ended April 3, 2022 as filed with the Securities and Exchange Commission on the date hereof (the “Report”), I, Olivier G. Thirot, Chief Financial Officer of the Company, certify, pursuant to 18 U.S.C. Section 1350, as adopted pursuant to Section 906 of the Sarbanes-Oxley Act of 2002, that: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300" w:type="dxa"/>
        <w:jc w:val="left"/>
        <w:tblInd w:w="0" w:type="dxa"/>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753"/>
        <w:gridCol w:w="753"/>
        <w:gridCol w:w="107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Olivier G. Thirot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Olivier G. Thirot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Kelly Services, Inc. and will be retained by Kelly Services, Inc.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20</Pages>
  <Words>22106</Words>
  <CharactersWithSpaces>143894</CharactersWithSpaces>
  <Paragraphs>2248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