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207"/>
        <w:spacing w:after="0"/>
        <w:rPr>
          <w:sz w:val="20"/>
          <w:szCs w:val="20"/>
          <w:color w:val="auto"/>
        </w:rPr>
      </w:pPr>
      <w:r>
        <w:rPr>
          <w:rFonts w:ascii="Arial" w:cs="Arial" w:eastAsia="Arial" w:hAnsi="Arial"/>
          <w:sz w:val="12"/>
          <w:szCs w:val="12"/>
          <w:b w:val="1"/>
          <w:bCs w:val="1"/>
          <w:color w:val="auto"/>
        </w:rPr>
        <w:t>FORM 8-K</w:t>
      </w:r>
    </w:p>
    <w:p>
      <w:pPr>
        <w:spacing w:after="0" w:line="154" w:lineRule="exact"/>
        <w:rPr>
          <w:sz w:val="24"/>
          <w:szCs w:val="24"/>
          <w:color w:val="auto"/>
        </w:rPr>
      </w:pPr>
    </w:p>
    <w:p>
      <w:pPr>
        <w:jc w:val="center"/>
        <w:ind w:right="-207"/>
        <w:spacing w:after="0"/>
        <w:rPr>
          <w:sz w:val="20"/>
          <w:szCs w:val="20"/>
          <w:color w:val="auto"/>
        </w:rPr>
      </w:pPr>
      <w:r>
        <w:rPr>
          <w:rFonts w:ascii="Arial" w:cs="Arial" w:eastAsia="Arial" w:hAnsi="Arial"/>
          <w:sz w:val="12"/>
          <w:szCs w:val="12"/>
          <w:color w:val="auto"/>
        </w:rPr>
        <w:t>CURRENT REPORT</w:t>
      </w:r>
    </w:p>
    <w:p>
      <w:pPr>
        <w:spacing w:after="0" w:line="15" w:lineRule="exact"/>
        <w:rPr>
          <w:sz w:val="24"/>
          <w:szCs w:val="24"/>
          <w:color w:val="auto"/>
        </w:rPr>
      </w:pPr>
    </w:p>
    <w:p>
      <w:pPr>
        <w:jc w:val="center"/>
        <w:ind w:right="-207"/>
        <w:spacing w:after="0"/>
        <w:rPr>
          <w:sz w:val="20"/>
          <w:szCs w:val="20"/>
          <w:color w:val="auto"/>
        </w:rPr>
      </w:pPr>
      <w:r>
        <w:rPr>
          <w:rFonts w:ascii="Arial" w:cs="Arial" w:eastAsia="Arial" w:hAnsi="Arial"/>
          <w:sz w:val="12"/>
          <w:szCs w:val="12"/>
          <w:color w:val="auto"/>
        </w:rPr>
        <w:t>PURSUANT TO SECTION 13 OR 15(d) OF</w:t>
      </w:r>
    </w:p>
    <w:p>
      <w:pPr>
        <w:spacing w:after="0" w:line="6" w:lineRule="exact"/>
        <w:rPr>
          <w:sz w:val="24"/>
          <w:szCs w:val="24"/>
          <w:color w:val="auto"/>
        </w:rPr>
      </w:pPr>
    </w:p>
    <w:p>
      <w:pPr>
        <w:jc w:val="center"/>
        <w:ind w:right="-207"/>
        <w:spacing w:after="0"/>
        <w:rPr>
          <w:sz w:val="20"/>
          <w:szCs w:val="20"/>
          <w:color w:val="auto"/>
        </w:rPr>
      </w:pPr>
      <w:r>
        <w:rPr>
          <w:rFonts w:ascii="Arial" w:cs="Arial" w:eastAsia="Arial" w:hAnsi="Arial"/>
          <w:sz w:val="12"/>
          <w:szCs w:val="12"/>
          <w:color w:val="auto"/>
        </w:rPr>
        <w:t>THE SECURITIES EXCHANGE ACT OF 1934</w:t>
      </w:r>
    </w:p>
    <w:p>
      <w:pPr>
        <w:spacing w:after="0" w:line="285" w:lineRule="exact"/>
        <w:rPr>
          <w:sz w:val="24"/>
          <w:szCs w:val="24"/>
          <w:color w:val="auto"/>
        </w:rPr>
      </w:pPr>
    </w:p>
    <w:tbl>
      <w:tblPr>
        <w:tblLayout w:type="fixed"/>
        <w:tblInd w:w="1548" w:type="dxa"/>
        <w:tblCellMar>
          <w:top w:w="0" w:type="dxa"/>
          <w:left w:w="0" w:type="dxa"/>
          <w:bottom w:w="0" w:type="dxa"/>
          <w:right w:w="0" w:type="dxa"/>
        </w:tblCellMar>
      </w:tblPr>
      <w:tr>
        <w:trPr>
          <w:trHeight w:val="153"/>
        </w:trPr>
        <w:tc>
          <w:tcPr>
            <w:tcW w:w="1640" w:type="dxa"/>
            <w:vAlign w:val="bottom"/>
          </w:tcPr>
          <w:p>
            <w:pPr>
              <w:spacing w:after="0"/>
              <w:rPr>
                <w:sz w:val="13"/>
                <w:szCs w:val="13"/>
                <w:color w:val="auto"/>
              </w:rPr>
            </w:pPr>
          </w:p>
        </w:tc>
        <w:tc>
          <w:tcPr>
            <w:tcW w:w="5100" w:type="dxa"/>
            <w:vAlign w:val="bottom"/>
          </w:tcPr>
          <w:p>
            <w:pPr>
              <w:jc w:val="center"/>
              <w:spacing w:after="0"/>
              <w:rPr>
                <w:sz w:val="20"/>
                <w:szCs w:val="20"/>
                <w:color w:val="auto"/>
              </w:rPr>
            </w:pPr>
            <w:r>
              <w:rPr>
                <w:rFonts w:ascii="Arial" w:cs="Arial" w:eastAsia="Arial" w:hAnsi="Arial"/>
                <w:sz w:val="12"/>
                <w:szCs w:val="12"/>
                <w:color w:val="auto"/>
                <w:w w:val="90"/>
              </w:rPr>
              <w:t>Date of Report (Date of earliest event reported): February 13, 2020</w:t>
            </w:r>
          </w:p>
        </w:tc>
        <w:tc>
          <w:tcPr>
            <w:tcW w:w="1640" w:type="dxa"/>
            <w:vAlign w:val="bottom"/>
          </w:tcPr>
          <w:p>
            <w:pPr>
              <w:spacing w:after="0"/>
              <w:rPr>
                <w:sz w:val="13"/>
                <w:szCs w:val="13"/>
                <w:color w:val="auto"/>
              </w:rPr>
            </w:pPr>
          </w:p>
        </w:tc>
      </w:tr>
      <w:tr>
        <w:trPr>
          <w:trHeight w:val="423"/>
        </w:trPr>
        <w:tc>
          <w:tcPr>
            <w:tcW w:w="1640" w:type="dxa"/>
            <w:vAlign w:val="bottom"/>
          </w:tcPr>
          <w:p>
            <w:pPr>
              <w:spacing w:after="0"/>
              <w:rPr>
                <w:sz w:val="24"/>
                <w:szCs w:val="24"/>
                <w:color w:val="auto"/>
              </w:rPr>
            </w:pPr>
          </w:p>
        </w:tc>
        <w:tc>
          <w:tcPr>
            <w:tcW w:w="5100" w:type="dxa"/>
            <w:vAlign w:val="bottom"/>
          </w:tcPr>
          <w:p>
            <w:pPr>
              <w:jc w:val="center"/>
              <w:ind w:left="60"/>
              <w:spacing w:after="0"/>
              <w:rPr>
                <w:sz w:val="20"/>
                <w:szCs w:val="20"/>
                <w:color w:val="auto"/>
              </w:rPr>
            </w:pPr>
            <w:r>
              <w:rPr>
                <w:rFonts w:ascii="Arial" w:cs="Arial" w:eastAsia="Arial" w:hAnsi="Arial"/>
                <w:sz w:val="12"/>
                <w:szCs w:val="12"/>
                <w:color w:val="auto"/>
                <w:w w:val="95"/>
              </w:rPr>
              <w:t>KELLY SERVICES, INC.</w:t>
            </w:r>
          </w:p>
        </w:tc>
        <w:tc>
          <w:tcPr>
            <w:tcW w:w="1640" w:type="dxa"/>
            <w:vAlign w:val="bottom"/>
          </w:tcPr>
          <w:p>
            <w:pPr>
              <w:spacing w:after="0"/>
              <w:rPr>
                <w:sz w:val="24"/>
                <w:szCs w:val="24"/>
                <w:color w:val="auto"/>
              </w:rPr>
            </w:pPr>
          </w:p>
        </w:tc>
      </w:tr>
      <w:tr>
        <w:trPr>
          <w:trHeight w:val="144"/>
        </w:trPr>
        <w:tc>
          <w:tcPr>
            <w:tcW w:w="1640" w:type="dxa"/>
            <w:vAlign w:val="bottom"/>
          </w:tcPr>
          <w:p>
            <w:pPr>
              <w:spacing w:after="0"/>
              <w:rPr>
                <w:sz w:val="12"/>
                <w:szCs w:val="12"/>
                <w:color w:val="auto"/>
              </w:rPr>
            </w:pPr>
          </w:p>
        </w:tc>
        <w:tc>
          <w:tcPr>
            <w:tcW w:w="5100" w:type="dxa"/>
            <w:vAlign w:val="bottom"/>
          </w:tcPr>
          <w:p>
            <w:pPr>
              <w:jc w:val="center"/>
              <w:ind w:left="40"/>
              <w:spacing w:after="0"/>
              <w:rPr>
                <w:sz w:val="20"/>
                <w:szCs w:val="20"/>
                <w:color w:val="auto"/>
              </w:rPr>
            </w:pPr>
            <w:r>
              <w:rPr>
                <w:rFonts w:ascii="Arial" w:cs="Arial" w:eastAsia="Arial" w:hAnsi="Arial"/>
                <w:sz w:val="12"/>
                <w:szCs w:val="12"/>
                <w:color w:val="auto"/>
              </w:rPr>
              <w:t>---------------------------------------------------------------------</w:t>
            </w:r>
          </w:p>
        </w:tc>
        <w:tc>
          <w:tcPr>
            <w:tcW w:w="1640" w:type="dxa"/>
            <w:vAlign w:val="bottom"/>
          </w:tcPr>
          <w:p>
            <w:pPr>
              <w:spacing w:after="0"/>
              <w:rPr>
                <w:sz w:val="12"/>
                <w:szCs w:val="12"/>
                <w:color w:val="auto"/>
              </w:rPr>
            </w:pPr>
          </w:p>
        </w:tc>
      </w:tr>
      <w:tr>
        <w:trPr>
          <w:trHeight w:val="153"/>
        </w:trPr>
        <w:tc>
          <w:tcPr>
            <w:tcW w:w="1640" w:type="dxa"/>
            <w:vAlign w:val="bottom"/>
          </w:tcPr>
          <w:p>
            <w:pPr>
              <w:spacing w:after="0"/>
              <w:rPr>
                <w:sz w:val="13"/>
                <w:szCs w:val="13"/>
                <w:color w:val="auto"/>
              </w:rPr>
            </w:pPr>
          </w:p>
        </w:tc>
        <w:tc>
          <w:tcPr>
            <w:tcW w:w="5100" w:type="dxa"/>
            <w:vAlign w:val="bottom"/>
          </w:tcPr>
          <w:p>
            <w:pPr>
              <w:jc w:val="center"/>
              <w:ind w:left="40"/>
              <w:spacing w:after="0"/>
              <w:rPr>
                <w:sz w:val="20"/>
                <w:szCs w:val="20"/>
                <w:color w:val="auto"/>
              </w:rPr>
            </w:pPr>
            <w:r>
              <w:rPr>
                <w:rFonts w:ascii="Arial" w:cs="Arial" w:eastAsia="Arial" w:hAnsi="Arial"/>
                <w:sz w:val="12"/>
                <w:szCs w:val="12"/>
                <w:color w:val="auto"/>
                <w:w w:val="90"/>
              </w:rPr>
              <w:t>(Exact name of Registrant as specified in its charter)</w:t>
            </w:r>
          </w:p>
        </w:tc>
        <w:tc>
          <w:tcPr>
            <w:tcW w:w="1640" w:type="dxa"/>
            <w:vAlign w:val="bottom"/>
          </w:tcPr>
          <w:p>
            <w:pPr>
              <w:spacing w:after="0"/>
              <w:rPr>
                <w:sz w:val="13"/>
                <w:szCs w:val="13"/>
                <w:color w:val="auto"/>
              </w:rPr>
            </w:pPr>
          </w:p>
        </w:tc>
      </w:tr>
      <w:tr>
        <w:trPr>
          <w:trHeight w:val="180"/>
        </w:trPr>
        <w:tc>
          <w:tcPr>
            <w:tcW w:w="1640" w:type="dxa"/>
            <w:vAlign w:val="bottom"/>
          </w:tcPr>
          <w:p>
            <w:pPr>
              <w:jc w:val="center"/>
              <w:ind w:right="840"/>
              <w:spacing w:after="0"/>
              <w:rPr>
                <w:sz w:val="20"/>
                <w:szCs w:val="20"/>
                <w:color w:val="auto"/>
              </w:rPr>
            </w:pPr>
            <w:r>
              <w:rPr>
                <w:rFonts w:ascii="Arial" w:cs="Arial" w:eastAsia="Arial" w:hAnsi="Arial"/>
                <w:sz w:val="12"/>
                <w:szCs w:val="12"/>
                <w:color w:val="auto"/>
                <w:w w:val="90"/>
              </w:rPr>
              <w:t>Delaware</w:t>
            </w:r>
          </w:p>
        </w:tc>
        <w:tc>
          <w:tcPr>
            <w:tcW w:w="5100" w:type="dxa"/>
            <w:vAlign w:val="bottom"/>
          </w:tcPr>
          <w:p>
            <w:pPr>
              <w:jc w:val="center"/>
              <w:spacing w:after="0"/>
              <w:rPr>
                <w:sz w:val="20"/>
                <w:szCs w:val="20"/>
                <w:color w:val="auto"/>
              </w:rPr>
            </w:pPr>
            <w:r>
              <w:rPr>
                <w:rFonts w:ascii="Arial" w:cs="Arial" w:eastAsia="Arial" w:hAnsi="Arial"/>
                <w:sz w:val="12"/>
                <w:szCs w:val="12"/>
                <w:color w:val="auto"/>
                <w:w w:val="90"/>
              </w:rPr>
              <w:t>0-1088</w:t>
            </w:r>
          </w:p>
        </w:tc>
        <w:tc>
          <w:tcPr>
            <w:tcW w:w="1640" w:type="dxa"/>
            <w:vAlign w:val="bottom"/>
          </w:tcPr>
          <w:p>
            <w:pPr>
              <w:jc w:val="center"/>
              <w:ind w:left="840"/>
              <w:spacing w:after="0"/>
              <w:rPr>
                <w:sz w:val="20"/>
                <w:szCs w:val="20"/>
                <w:color w:val="auto"/>
              </w:rPr>
            </w:pPr>
            <w:r>
              <w:rPr>
                <w:rFonts w:ascii="Arial" w:cs="Arial" w:eastAsia="Arial" w:hAnsi="Arial"/>
                <w:sz w:val="12"/>
                <w:szCs w:val="12"/>
                <w:color w:val="auto"/>
                <w:w w:val="90"/>
              </w:rPr>
              <w:t>38-1510762</w:t>
            </w:r>
          </w:p>
        </w:tc>
      </w:tr>
      <w:tr>
        <w:trPr>
          <w:trHeight w:val="180"/>
        </w:trPr>
        <w:tc>
          <w:tcPr>
            <w:tcW w:w="1640" w:type="dxa"/>
            <w:vAlign w:val="bottom"/>
          </w:tcPr>
          <w:p>
            <w:pPr>
              <w:jc w:val="center"/>
              <w:ind w:right="880"/>
              <w:spacing w:after="0"/>
              <w:rPr>
                <w:sz w:val="20"/>
                <w:szCs w:val="20"/>
                <w:color w:val="auto"/>
              </w:rPr>
            </w:pPr>
            <w:r>
              <w:rPr>
                <w:rFonts w:ascii="Arial" w:cs="Arial" w:eastAsia="Arial" w:hAnsi="Arial"/>
                <w:sz w:val="12"/>
                <w:szCs w:val="12"/>
                <w:color w:val="auto"/>
                <w:w w:val="91"/>
              </w:rPr>
              <w:t>(State or other</w:t>
            </w:r>
          </w:p>
        </w:tc>
        <w:tc>
          <w:tcPr>
            <w:tcW w:w="5100" w:type="dxa"/>
            <w:vAlign w:val="bottom"/>
          </w:tcPr>
          <w:p>
            <w:pPr>
              <w:jc w:val="center"/>
              <w:spacing w:after="0"/>
              <w:rPr>
                <w:sz w:val="20"/>
                <w:szCs w:val="20"/>
                <w:color w:val="auto"/>
              </w:rPr>
            </w:pPr>
            <w:r>
              <w:rPr>
                <w:rFonts w:ascii="Arial" w:cs="Arial" w:eastAsia="Arial" w:hAnsi="Arial"/>
                <w:sz w:val="12"/>
                <w:szCs w:val="12"/>
                <w:color w:val="auto"/>
                <w:w w:val="94"/>
              </w:rPr>
              <w:t>(Commission</w:t>
            </w:r>
          </w:p>
        </w:tc>
        <w:tc>
          <w:tcPr>
            <w:tcW w:w="1640" w:type="dxa"/>
            <w:vAlign w:val="bottom"/>
          </w:tcPr>
          <w:p>
            <w:pPr>
              <w:jc w:val="center"/>
              <w:ind w:left="840"/>
              <w:spacing w:after="0"/>
              <w:rPr>
                <w:sz w:val="20"/>
                <w:szCs w:val="20"/>
                <w:color w:val="auto"/>
              </w:rPr>
            </w:pPr>
            <w:r>
              <w:rPr>
                <w:rFonts w:ascii="Arial" w:cs="Arial" w:eastAsia="Arial" w:hAnsi="Arial"/>
                <w:sz w:val="12"/>
                <w:szCs w:val="12"/>
                <w:color w:val="auto"/>
                <w:w w:val="94"/>
              </w:rPr>
              <w:t>(IRS Employer</w:t>
            </w:r>
          </w:p>
        </w:tc>
      </w:tr>
      <w:tr>
        <w:trPr>
          <w:trHeight w:val="180"/>
        </w:trPr>
        <w:tc>
          <w:tcPr>
            <w:tcW w:w="1640" w:type="dxa"/>
            <w:vAlign w:val="bottom"/>
          </w:tcPr>
          <w:p>
            <w:pPr>
              <w:jc w:val="center"/>
              <w:ind w:right="900"/>
              <w:spacing w:after="0"/>
              <w:rPr>
                <w:sz w:val="20"/>
                <w:szCs w:val="20"/>
                <w:color w:val="auto"/>
              </w:rPr>
            </w:pPr>
            <w:r>
              <w:rPr>
                <w:rFonts w:ascii="Arial" w:cs="Arial" w:eastAsia="Arial" w:hAnsi="Arial"/>
                <w:sz w:val="12"/>
                <w:szCs w:val="12"/>
                <w:color w:val="auto"/>
                <w:w w:val="97"/>
              </w:rPr>
              <w:t>jurisdiction of</w:t>
            </w:r>
          </w:p>
        </w:tc>
        <w:tc>
          <w:tcPr>
            <w:tcW w:w="5100" w:type="dxa"/>
            <w:vAlign w:val="bottom"/>
          </w:tcPr>
          <w:p>
            <w:pPr>
              <w:jc w:val="center"/>
              <w:spacing w:after="0"/>
              <w:rPr>
                <w:sz w:val="20"/>
                <w:szCs w:val="20"/>
                <w:color w:val="auto"/>
              </w:rPr>
            </w:pPr>
            <w:r>
              <w:rPr>
                <w:rFonts w:ascii="Arial" w:cs="Arial" w:eastAsia="Arial" w:hAnsi="Arial"/>
                <w:sz w:val="12"/>
                <w:szCs w:val="12"/>
                <w:color w:val="auto"/>
                <w:w w:val="95"/>
              </w:rPr>
              <w:t>File Number)</w:t>
            </w:r>
          </w:p>
        </w:tc>
        <w:tc>
          <w:tcPr>
            <w:tcW w:w="1640" w:type="dxa"/>
            <w:vAlign w:val="bottom"/>
          </w:tcPr>
          <w:p>
            <w:pPr>
              <w:jc w:val="center"/>
              <w:ind w:left="840"/>
              <w:spacing w:after="0"/>
              <w:rPr>
                <w:sz w:val="20"/>
                <w:szCs w:val="20"/>
                <w:color w:val="auto"/>
              </w:rPr>
            </w:pPr>
            <w:r>
              <w:rPr>
                <w:rFonts w:ascii="Arial" w:cs="Arial" w:eastAsia="Arial" w:hAnsi="Arial"/>
                <w:sz w:val="12"/>
                <w:szCs w:val="12"/>
                <w:color w:val="auto"/>
                <w:w w:val="97"/>
              </w:rPr>
              <w:t>Identification</w:t>
            </w:r>
          </w:p>
        </w:tc>
      </w:tr>
      <w:tr>
        <w:trPr>
          <w:trHeight w:val="180"/>
        </w:trPr>
        <w:tc>
          <w:tcPr>
            <w:tcW w:w="1640" w:type="dxa"/>
            <w:vAlign w:val="bottom"/>
          </w:tcPr>
          <w:p>
            <w:pPr>
              <w:jc w:val="center"/>
              <w:ind w:right="880"/>
              <w:spacing w:after="0"/>
              <w:rPr>
                <w:sz w:val="20"/>
                <w:szCs w:val="20"/>
                <w:color w:val="auto"/>
              </w:rPr>
            </w:pPr>
            <w:r>
              <w:rPr>
                <w:rFonts w:ascii="Arial" w:cs="Arial" w:eastAsia="Arial" w:hAnsi="Arial"/>
                <w:sz w:val="12"/>
                <w:szCs w:val="12"/>
                <w:color w:val="auto"/>
                <w:w w:val="95"/>
              </w:rPr>
              <w:t>incorporation)</w:t>
            </w:r>
          </w:p>
        </w:tc>
        <w:tc>
          <w:tcPr>
            <w:tcW w:w="5100" w:type="dxa"/>
            <w:vAlign w:val="bottom"/>
          </w:tcPr>
          <w:p>
            <w:pPr>
              <w:spacing w:after="0"/>
              <w:rPr>
                <w:sz w:val="15"/>
                <w:szCs w:val="15"/>
                <w:color w:val="auto"/>
              </w:rPr>
            </w:pPr>
          </w:p>
        </w:tc>
        <w:tc>
          <w:tcPr>
            <w:tcW w:w="1640" w:type="dxa"/>
            <w:vAlign w:val="bottom"/>
          </w:tcPr>
          <w:p>
            <w:pPr>
              <w:jc w:val="center"/>
              <w:ind w:left="840"/>
              <w:spacing w:after="0"/>
              <w:rPr>
                <w:sz w:val="20"/>
                <w:szCs w:val="20"/>
                <w:color w:val="auto"/>
              </w:rPr>
            </w:pPr>
            <w:r>
              <w:rPr>
                <w:rFonts w:ascii="Arial" w:cs="Arial" w:eastAsia="Arial" w:hAnsi="Arial"/>
                <w:sz w:val="12"/>
                <w:szCs w:val="12"/>
                <w:color w:val="auto"/>
                <w:w w:val="89"/>
              </w:rPr>
              <w:t>Number)</w:t>
            </w:r>
          </w:p>
        </w:tc>
      </w:tr>
      <w:tr>
        <w:trPr>
          <w:trHeight w:val="387"/>
        </w:trPr>
        <w:tc>
          <w:tcPr>
            <w:tcW w:w="1640" w:type="dxa"/>
            <w:vAlign w:val="bottom"/>
          </w:tcPr>
          <w:p>
            <w:pPr>
              <w:spacing w:after="0"/>
              <w:rPr>
                <w:sz w:val="24"/>
                <w:szCs w:val="24"/>
                <w:color w:val="auto"/>
              </w:rPr>
            </w:pPr>
          </w:p>
        </w:tc>
        <w:tc>
          <w:tcPr>
            <w:tcW w:w="5100" w:type="dxa"/>
            <w:vAlign w:val="bottom"/>
          </w:tcPr>
          <w:p>
            <w:pPr>
              <w:jc w:val="center"/>
              <w:ind w:left="60"/>
              <w:spacing w:after="0"/>
              <w:rPr>
                <w:sz w:val="20"/>
                <w:szCs w:val="20"/>
                <w:color w:val="auto"/>
              </w:rPr>
            </w:pPr>
            <w:r>
              <w:rPr>
                <w:rFonts w:ascii="Arial" w:cs="Arial" w:eastAsia="Arial" w:hAnsi="Arial"/>
                <w:sz w:val="12"/>
                <w:szCs w:val="12"/>
                <w:color w:val="auto"/>
                <w:w w:val="90"/>
              </w:rPr>
              <w:t>999 West Big Beaver Road, Troy, Michigan 48084</w:t>
            </w:r>
          </w:p>
        </w:tc>
        <w:tc>
          <w:tcPr>
            <w:tcW w:w="1640" w:type="dxa"/>
            <w:vAlign w:val="bottom"/>
          </w:tcPr>
          <w:p>
            <w:pPr>
              <w:spacing w:after="0"/>
              <w:rPr>
                <w:sz w:val="24"/>
                <w:szCs w:val="24"/>
                <w:color w:val="auto"/>
              </w:rPr>
            </w:pPr>
          </w:p>
        </w:tc>
      </w:tr>
      <w:tr>
        <w:trPr>
          <w:trHeight w:val="144"/>
        </w:trPr>
        <w:tc>
          <w:tcPr>
            <w:tcW w:w="1640" w:type="dxa"/>
            <w:vAlign w:val="bottom"/>
          </w:tcPr>
          <w:p>
            <w:pPr>
              <w:spacing w:after="0"/>
              <w:rPr>
                <w:sz w:val="12"/>
                <w:szCs w:val="12"/>
                <w:color w:val="auto"/>
              </w:rPr>
            </w:pPr>
          </w:p>
        </w:tc>
        <w:tc>
          <w:tcPr>
            <w:tcW w:w="5100" w:type="dxa"/>
            <w:vAlign w:val="bottom"/>
          </w:tcPr>
          <w:p>
            <w:pPr>
              <w:jc w:val="center"/>
              <w:ind w:left="40"/>
              <w:spacing w:after="0"/>
              <w:rPr>
                <w:sz w:val="20"/>
                <w:szCs w:val="20"/>
                <w:color w:val="auto"/>
              </w:rPr>
            </w:pPr>
            <w:r>
              <w:rPr>
                <w:rFonts w:ascii="Arial" w:cs="Arial" w:eastAsia="Arial" w:hAnsi="Arial"/>
                <w:sz w:val="12"/>
                <w:szCs w:val="12"/>
                <w:color w:val="auto"/>
              </w:rPr>
              <w:t>-------------------------------------------------------------------------------</w:t>
            </w:r>
          </w:p>
        </w:tc>
        <w:tc>
          <w:tcPr>
            <w:tcW w:w="1640" w:type="dxa"/>
            <w:vAlign w:val="bottom"/>
          </w:tcPr>
          <w:p>
            <w:pPr>
              <w:spacing w:after="0"/>
              <w:rPr>
                <w:sz w:val="12"/>
                <w:szCs w:val="12"/>
                <w:color w:val="auto"/>
              </w:rPr>
            </w:pPr>
          </w:p>
        </w:tc>
      </w:tr>
      <w:tr>
        <w:trPr>
          <w:trHeight w:val="144"/>
        </w:trPr>
        <w:tc>
          <w:tcPr>
            <w:tcW w:w="1640" w:type="dxa"/>
            <w:vAlign w:val="bottom"/>
          </w:tcPr>
          <w:p>
            <w:pPr>
              <w:spacing w:after="0"/>
              <w:rPr>
                <w:sz w:val="12"/>
                <w:szCs w:val="12"/>
                <w:color w:val="auto"/>
              </w:rPr>
            </w:pPr>
          </w:p>
        </w:tc>
        <w:tc>
          <w:tcPr>
            <w:tcW w:w="5100" w:type="dxa"/>
            <w:vAlign w:val="bottom"/>
          </w:tcPr>
          <w:p>
            <w:pPr>
              <w:jc w:val="center"/>
              <w:ind w:left="60"/>
              <w:spacing w:after="0"/>
              <w:rPr>
                <w:sz w:val="20"/>
                <w:szCs w:val="20"/>
                <w:color w:val="auto"/>
              </w:rPr>
            </w:pPr>
            <w:r>
              <w:rPr>
                <w:rFonts w:ascii="Arial" w:cs="Arial" w:eastAsia="Arial" w:hAnsi="Arial"/>
                <w:sz w:val="12"/>
                <w:szCs w:val="12"/>
                <w:color w:val="auto"/>
                <w:w w:val="92"/>
              </w:rPr>
              <w:t>(Address of principal executive offices)</w:t>
            </w:r>
          </w:p>
        </w:tc>
        <w:tc>
          <w:tcPr>
            <w:tcW w:w="1640" w:type="dxa"/>
            <w:vAlign w:val="bottom"/>
          </w:tcPr>
          <w:p>
            <w:pPr>
              <w:spacing w:after="0"/>
              <w:rPr>
                <w:sz w:val="12"/>
                <w:szCs w:val="12"/>
                <w:color w:val="auto"/>
              </w:rPr>
            </w:pPr>
          </w:p>
        </w:tc>
      </w:tr>
      <w:tr>
        <w:trPr>
          <w:trHeight w:val="153"/>
        </w:trPr>
        <w:tc>
          <w:tcPr>
            <w:tcW w:w="1640" w:type="dxa"/>
            <w:vAlign w:val="bottom"/>
          </w:tcPr>
          <w:p>
            <w:pPr>
              <w:spacing w:after="0"/>
              <w:rPr>
                <w:sz w:val="13"/>
                <w:szCs w:val="13"/>
                <w:color w:val="auto"/>
              </w:rPr>
            </w:pPr>
          </w:p>
        </w:tc>
        <w:tc>
          <w:tcPr>
            <w:tcW w:w="5100" w:type="dxa"/>
            <w:vAlign w:val="bottom"/>
          </w:tcPr>
          <w:p>
            <w:pPr>
              <w:jc w:val="center"/>
              <w:ind w:left="60"/>
              <w:spacing w:after="0"/>
              <w:rPr>
                <w:sz w:val="20"/>
                <w:szCs w:val="20"/>
                <w:color w:val="auto"/>
              </w:rPr>
            </w:pPr>
            <w:r>
              <w:rPr>
                <w:rFonts w:ascii="Arial" w:cs="Arial" w:eastAsia="Arial" w:hAnsi="Arial"/>
                <w:sz w:val="12"/>
                <w:szCs w:val="12"/>
                <w:color w:val="auto"/>
                <w:w w:val="95"/>
              </w:rPr>
              <w:t>(Zip Code)</w:t>
            </w:r>
          </w:p>
        </w:tc>
        <w:tc>
          <w:tcPr>
            <w:tcW w:w="1640" w:type="dxa"/>
            <w:vAlign w:val="bottom"/>
          </w:tcPr>
          <w:p>
            <w:pPr>
              <w:spacing w:after="0"/>
              <w:rPr>
                <w:sz w:val="13"/>
                <w:szCs w:val="13"/>
                <w:color w:val="auto"/>
              </w:rPr>
            </w:pPr>
          </w:p>
        </w:tc>
      </w:tr>
      <w:tr>
        <w:trPr>
          <w:trHeight w:val="279"/>
        </w:trPr>
        <w:tc>
          <w:tcPr>
            <w:tcW w:w="1640" w:type="dxa"/>
            <w:vAlign w:val="bottom"/>
          </w:tcPr>
          <w:p>
            <w:pPr>
              <w:spacing w:after="0"/>
              <w:rPr>
                <w:sz w:val="24"/>
                <w:szCs w:val="24"/>
                <w:color w:val="auto"/>
              </w:rPr>
            </w:pPr>
          </w:p>
        </w:tc>
        <w:tc>
          <w:tcPr>
            <w:tcW w:w="5100" w:type="dxa"/>
            <w:vAlign w:val="bottom"/>
          </w:tcPr>
          <w:p>
            <w:pPr>
              <w:jc w:val="center"/>
              <w:ind w:left="60"/>
              <w:spacing w:after="0"/>
              <w:rPr>
                <w:sz w:val="20"/>
                <w:szCs w:val="20"/>
                <w:color w:val="auto"/>
              </w:rPr>
            </w:pPr>
            <w:r>
              <w:rPr>
                <w:rFonts w:ascii="Arial" w:cs="Arial" w:eastAsia="Arial" w:hAnsi="Arial"/>
                <w:sz w:val="12"/>
                <w:szCs w:val="12"/>
                <w:color w:val="auto"/>
                <w:w w:val="90"/>
              </w:rPr>
              <w:t>(248) 362-4444</w:t>
            </w:r>
          </w:p>
        </w:tc>
        <w:tc>
          <w:tcPr>
            <w:tcW w:w="1640" w:type="dxa"/>
            <w:vAlign w:val="bottom"/>
          </w:tcPr>
          <w:p>
            <w:pPr>
              <w:spacing w:after="0"/>
              <w:rPr>
                <w:sz w:val="24"/>
                <w:szCs w:val="24"/>
                <w:color w:val="auto"/>
              </w:rPr>
            </w:pPr>
          </w:p>
        </w:tc>
      </w:tr>
      <w:tr>
        <w:trPr>
          <w:trHeight w:val="144"/>
        </w:trPr>
        <w:tc>
          <w:tcPr>
            <w:tcW w:w="1640" w:type="dxa"/>
            <w:vAlign w:val="bottom"/>
          </w:tcPr>
          <w:p>
            <w:pPr>
              <w:spacing w:after="0"/>
              <w:rPr>
                <w:sz w:val="12"/>
                <w:szCs w:val="12"/>
                <w:color w:val="auto"/>
              </w:rPr>
            </w:pPr>
          </w:p>
        </w:tc>
        <w:tc>
          <w:tcPr>
            <w:tcW w:w="5100" w:type="dxa"/>
            <w:vAlign w:val="bottom"/>
          </w:tcPr>
          <w:p>
            <w:pPr>
              <w:jc w:val="center"/>
              <w:ind w:left="40"/>
              <w:spacing w:after="0"/>
              <w:rPr>
                <w:sz w:val="20"/>
                <w:szCs w:val="20"/>
                <w:color w:val="auto"/>
              </w:rPr>
            </w:pPr>
            <w:r>
              <w:rPr>
                <w:rFonts w:ascii="Arial" w:cs="Arial" w:eastAsia="Arial" w:hAnsi="Arial"/>
                <w:sz w:val="12"/>
                <w:szCs w:val="12"/>
                <w:color w:val="auto"/>
              </w:rPr>
              <w:t>----------------------------------------------------------------------</w:t>
            </w:r>
          </w:p>
        </w:tc>
        <w:tc>
          <w:tcPr>
            <w:tcW w:w="1640" w:type="dxa"/>
            <w:vAlign w:val="bottom"/>
          </w:tcPr>
          <w:p>
            <w:pPr>
              <w:spacing w:after="0"/>
              <w:rPr>
                <w:sz w:val="12"/>
                <w:szCs w:val="12"/>
                <w:color w:val="auto"/>
              </w:rPr>
            </w:pPr>
          </w:p>
        </w:tc>
      </w:tr>
      <w:tr>
        <w:trPr>
          <w:trHeight w:val="153"/>
        </w:trPr>
        <w:tc>
          <w:tcPr>
            <w:tcW w:w="1640" w:type="dxa"/>
            <w:vAlign w:val="bottom"/>
          </w:tcPr>
          <w:p>
            <w:pPr>
              <w:spacing w:after="0"/>
              <w:rPr>
                <w:sz w:val="13"/>
                <w:szCs w:val="13"/>
                <w:color w:val="auto"/>
              </w:rPr>
            </w:pPr>
          </w:p>
        </w:tc>
        <w:tc>
          <w:tcPr>
            <w:tcW w:w="5100" w:type="dxa"/>
            <w:vAlign w:val="bottom"/>
          </w:tcPr>
          <w:p>
            <w:pPr>
              <w:jc w:val="center"/>
              <w:ind w:left="60"/>
              <w:spacing w:after="0"/>
              <w:rPr>
                <w:sz w:val="20"/>
                <w:szCs w:val="20"/>
                <w:color w:val="auto"/>
              </w:rPr>
            </w:pPr>
            <w:r>
              <w:rPr>
                <w:rFonts w:ascii="Arial" w:cs="Arial" w:eastAsia="Arial" w:hAnsi="Arial"/>
                <w:sz w:val="12"/>
                <w:szCs w:val="12"/>
                <w:color w:val="auto"/>
                <w:w w:val="90"/>
              </w:rPr>
              <w:t>(Registrant's telephone number, including area code)</w:t>
            </w:r>
          </w:p>
        </w:tc>
        <w:tc>
          <w:tcPr>
            <w:tcW w:w="1640" w:type="dxa"/>
            <w:vAlign w:val="bottom"/>
          </w:tcPr>
          <w:p>
            <w:pPr>
              <w:spacing w:after="0"/>
              <w:rPr>
                <w:sz w:val="13"/>
                <w:szCs w:val="13"/>
                <w:color w:val="auto"/>
              </w:rPr>
            </w:pPr>
          </w:p>
        </w:tc>
      </w:tr>
    </w:tbl>
    <w:p>
      <w:pPr>
        <w:spacing w:after="0" w:line="13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68"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330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171"/>
        </w:trPr>
        <w:tc>
          <w:tcPr>
            <w:tcW w:w="4140" w:type="dxa"/>
            <w:vAlign w:val="bottom"/>
          </w:tcPr>
          <w:p>
            <w:pPr>
              <w:jc w:val="center"/>
              <w:ind w:right="260"/>
              <w:spacing w:after="0"/>
              <w:rPr>
                <w:sz w:val="20"/>
                <w:szCs w:val="20"/>
                <w:color w:val="auto"/>
              </w:rPr>
            </w:pPr>
            <w:r>
              <w:rPr>
                <w:rFonts w:ascii="Arial" w:cs="Arial" w:eastAsia="Arial" w:hAnsi="Arial"/>
                <w:sz w:val="12"/>
                <w:szCs w:val="12"/>
                <w:color w:val="auto"/>
                <w:w w:val="94"/>
              </w:rPr>
              <w:t>Title of each</w:t>
            </w:r>
          </w:p>
        </w:tc>
        <w:tc>
          <w:tcPr>
            <w:tcW w:w="3300" w:type="dxa"/>
            <w:vAlign w:val="bottom"/>
          </w:tcPr>
          <w:p>
            <w:pPr>
              <w:jc w:val="center"/>
              <w:ind w:right="40"/>
              <w:spacing w:after="0"/>
              <w:rPr>
                <w:sz w:val="20"/>
                <w:szCs w:val="20"/>
                <w:color w:val="auto"/>
              </w:rPr>
            </w:pPr>
            <w:r>
              <w:rPr>
                <w:rFonts w:ascii="Arial" w:cs="Arial" w:eastAsia="Arial" w:hAnsi="Arial"/>
                <w:sz w:val="12"/>
                <w:szCs w:val="12"/>
                <w:color w:val="auto"/>
                <w:w w:val="88"/>
              </w:rPr>
              <w:t>Trading</w:t>
            </w:r>
          </w:p>
        </w:tc>
        <w:tc>
          <w:tcPr>
            <w:tcW w:w="2740" w:type="dxa"/>
            <w:vAlign w:val="bottom"/>
          </w:tcPr>
          <w:p>
            <w:pPr>
              <w:jc w:val="center"/>
              <w:ind w:left="1440"/>
              <w:spacing w:after="0"/>
              <w:rPr>
                <w:sz w:val="20"/>
                <w:szCs w:val="20"/>
                <w:color w:val="auto"/>
              </w:rPr>
            </w:pPr>
            <w:r>
              <w:rPr>
                <w:rFonts w:ascii="Arial" w:cs="Arial" w:eastAsia="Arial" w:hAnsi="Arial"/>
                <w:sz w:val="12"/>
                <w:szCs w:val="12"/>
                <w:color w:val="auto"/>
                <w:w w:val="89"/>
              </w:rPr>
              <w:t>Name of each exchange</w:t>
            </w:r>
          </w:p>
        </w:tc>
      </w:tr>
      <w:tr>
        <w:trPr>
          <w:trHeight w:val="153"/>
        </w:trPr>
        <w:tc>
          <w:tcPr>
            <w:tcW w:w="4140" w:type="dxa"/>
            <w:vAlign w:val="bottom"/>
          </w:tcPr>
          <w:p>
            <w:pPr>
              <w:jc w:val="center"/>
              <w:ind w:right="260"/>
              <w:spacing w:after="0"/>
              <w:rPr>
                <w:sz w:val="20"/>
                <w:szCs w:val="20"/>
                <w:color w:val="auto"/>
              </w:rPr>
            </w:pPr>
            <w:r>
              <w:rPr>
                <w:rFonts w:ascii="Arial" w:cs="Arial" w:eastAsia="Arial" w:hAnsi="Arial"/>
                <w:sz w:val="12"/>
                <w:szCs w:val="12"/>
                <w:color w:val="auto"/>
                <w:w w:val="80"/>
              </w:rPr>
              <w:t>class</w:t>
            </w:r>
          </w:p>
        </w:tc>
        <w:tc>
          <w:tcPr>
            <w:tcW w:w="3300" w:type="dxa"/>
            <w:vAlign w:val="bottom"/>
          </w:tcPr>
          <w:p>
            <w:pPr>
              <w:jc w:val="center"/>
              <w:ind w:right="60"/>
              <w:spacing w:after="0"/>
              <w:rPr>
                <w:sz w:val="20"/>
                <w:szCs w:val="20"/>
                <w:color w:val="auto"/>
              </w:rPr>
            </w:pPr>
            <w:r>
              <w:rPr>
                <w:rFonts w:ascii="Arial" w:cs="Arial" w:eastAsia="Arial" w:hAnsi="Arial"/>
                <w:sz w:val="12"/>
                <w:szCs w:val="12"/>
                <w:color w:val="auto"/>
                <w:w w:val="91"/>
              </w:rPr>
              <w:t>Symbols</w:t>
            </w:r>
          </w:p>
        </w:tc>
        <w:tc>
          <w:tcPr>
            <w:tcW w:w="2740" w:type="dxa"/>
            <w:vAlign w:val="bottom"/>
          </w:tcPr>
          <w:p>
            <w:pPr>
              <w:jc w:val="center"/>
              <w:ind w:left="1440"/>
              <w:spacing w:after="0"/>
              <w:rPr>
                <w:sz w:val="20"/>
                <w:szCs w:val="20"/>
                <w:color w:val="auto"/>
              </w:rPr>
            </w:pPr>
            <w:r>
              <w:rPr>
                <w:rFonts w:ascii="Arial" w:cs="Arial" w:eastAsia="Arial" w:hAnsi="Arial"/>
                <w:sz w:val="12"/>
                <w:szCs w:val="12"/>
                <w:color w:val="auto"/>
                <w:w w:val="92"/>
              </w:rPr>
              <w:t>on which registered</w:t>
            </w:r>
          </w:p>
        </w:tc>
      </w:tr>
      <w:tr>
        <w:trPr>
          <w:trHeight w:val="180"/>
        </w:trPr>
        <w:tc>
          <w:tcPr>
            <w:tcW w:w="4140" w:type="dxa"/>
            <w:vAlign w:val="bottom"/>
          </w:tcPr>
          <w:p>
            <w:pPr>
              <w:jc w:val="center"/>
              <w:ind w:right="260"/>
              <w:spacing w:after="0"/>
              <w:rPr>
                <w:sz w:val="20"/>
                <w:szCs w:val="20"/>
                <w:color w:val="auto"/>
              </w:rPr>
            </w:pPr>
            <w:r>
              <w:rPr>
                <w:rFonts w:ascii="Arial" w:cs="Arial" w:eastAsia="Arial" w:hAnsi="Arial"/>
                <w:sz w:val="12"/>
                <w:szCs w:val="12"/>
                <w:color w:val="auto"/>
                <w:w w:val="92"/>
              </w:rPr>
              <w:t>Class A Common</w:t>
            </w:r>
          </w:p>
        </w:tc>
        <w:tc>
          <w:tcPr>
            <w:tcW w:w="3300" w:type="dxa"/>
            <w:vAlign w:val="bottom"/>
          </w:tcPr>
          <w:p>
            <w:pPr>
              <w:jc w:val="center"/>
              <w:ind w:right="60"/>
              <w:spacing w:after="0"/>
              <w:rPr>
                <w:sz w:val="20"/>
                <w:szCs w:val="20"/>
                <w:color w:val="auto"/>
              </w:rPr>
            </w:pPr>
            <w:r>
              <w:rPr>
                <w:rFonts w:ascii="Arial" w:cs="Arial" w:eastAsia="Arial" w:hAnsi="Arial"/>
                <w:sz w:val="12"/>
                <w:szCs w:val="12"/>
                <w:color w:val="auto"/>
                <w:w w:val="98"/>
              </w:rPr>
              <w:t>KELYA</w:t>
            </w:r>
          </w:p>
        </w:tc>
        <w:tc>
          <w:tcPr>
            <w:tcW w:w="2740" w:type="dxa"/>
            <w:vAlign w:val="bottom"/>
          </w:tcPr>
          <w:p>
            <w:pPr>
              <w:jc w:val="center"/>
              <w:ind w:left="1440"/>
              <w:spacing w:after="0"/>
              <w:rPr>
                <w:sz w:val="20"/>
                <w:szCs w:val="20"/>
                <w:color w:val="auto"/>
              </w:rPr>
            </w:pPr>
            <w:r>
              <w:rPr>
                <w:rFonts w:ascii="Arial" w:cs="Arial" w:eastAsia="Arial" w:hAnsi="Arial"/>
                <w:sz w:val="12"/>
                <w:szCs w:val="12"/>
                <w:color w:val="auto"/>
                <w:w w:val="96"/>
              </w:rPr>
              <w:t>NASDAQ Global Market</w:t>
            </w:r>
          </w:p>
        </w:tc>
      </w:tr>
      <w:tr>
        <w:trPr>
          <w:trHeight w:val="180"/>
        </w:trPr>
        <w:tc>
          <w:tcPr>
            <w:tcW w:w="4140" w:type="dxa"/>
            <w:vAlign w:val="bottom"/>
          </w:tcPr>
          <w:p>
            <w:pPr>
              <w:jc w:val="center"/>
              <w:ind w:right="260"/>
              <w:spacing w:after="0"/>
              <w:rPr>
                <w:sz w:val="20"/>
                <w:szCs w:val="20"/>
                <w:color w:val="auto"/>
              </w:rPr>
            </w:pPr>
            <w:r>
              <w:rPr>
                <w:rFonts w:ascii="Arial" w:cs="Arial" w:eastAsia="Arial" w:hAnsi="Arial"/>
                <w:sz w:val="12"/>
                <w:szCs w:val="12"/>
                <w:color w:val="auto"/>
                <w:w w:val="92"/>
              </w:rPr>
              <w:t>Class B Common</w:t>
            </w:r>
          </w:p>
        </w:tc>
        <w:tc>
          <w:tcPr>
            <w:tcW w:w="3300" w:type="dxa"/>
            <w:vAlign w:val="bottom"/>
          </w:tcPr>
          <w:p>
            <w:pPr>
              <w:jc w:val="center"/>
              <w:ind w:right="40"/>
              <w:spacing w:after="0"/>
              <w:rPr>
                <w:sz w:val="20"/>
                <w:szCs w:val="20"/>
                <w:color w:val="auto"/>
              </w:rPr>
            </w:pPr>
            <w:r>
              <w:rPr>
                <w:rFonts w:ascii="Arial" w:cs="Arial" w:eastAsia="Arial" w:hAnsi="Arial"/>
                <w:sz w:val="12"/>
                <w:szCs w:val="12"/>
                <w:color w:val="auto"/>
              </w:rPr>
              <w:t>KELYB</w:t>
            </w:r>
          </w:p>
        </w:tc>
        <w:tc>
          <w:tcPr>
            <w:tcW w:w="2740" w:type="dxa"/>
            <w:vAlign w:val="bottom"/>
          </w:tcPr>
          <w:p>
            <w:pPr>
              <w:jc w:val="center"/>
              <w:ind w:left="1440"/>
              <w:spacing w:after="0"/>
              <w:rPr>
                <w:sz w:val="20"/>
                <w:szCs w:val="20"/>
                <w:color w:val="auto"/>
              </w:rPr>
            </w:pPr>
            <w:r>
              <w:rPr>
                <w:rFonts w:ascii="Arial" w:cs="Arial" w:eastAsia="Arial" w:hAnsi="Arial"/>
                <w:sz w:val="12"/>
                <w:szCs w:val="12"/>
                <w:color w:val="auto"/>
                <w:w w:val="96"/>
              </w:rPr>
              <w:t>NASDAQ Global Market</w:t>
            </w:r>
          </w:p>
        </w:tc>
      </w:tr>
    </w:tbl>
    <w:p>
      <w:pPr>
        <w:spacing w:after="0" w:line="243" w:lineRule="exact"/>
        <w:rPr>
          <w:sz w:val="24"/>
          <w:szCs w:val="24"/>
          <w:color w:val="auto"/>
        </w:rPr>
      </w:pPr>
    </w:p>
    <w:p>
      <w:pPr>
        <w:ind w:left="8" w:right="24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231F20"/>
        </w:rPr>
        <w:t>☐</w:t>
      </w:r>
    </w:p>
    <w:p>
      <w:pPr>
        <w:spacing w:after="0" w:line="191"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87"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145415</wp:posOffset>
            </wp:positionV>
            <wp:extent cx="73177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1388"/>
          </w:cols>
          <w:pgMar w:left="212" w:top="712" w:right="299" w:bottom="1440" w:gutter="0" w:footer="0" w:header="0"/>
        </w:sectPr>
      </w:pPr>
    </w:p>
    <w:bookmarkStart w:id="1" w:name="page2"/>
    <w:bookmarkEnd w:id="1"/>
    <w:p>
      <w:pPr>
        <w:ind w:left="100"/>
        <w:spacing w:after="0"/>
        <w:rPr>
          <w:sz w:val="20"/>
          <w:szCs w:val="20"/>
          <w:color w:val="auto"/>
        </w:rPr>
      </w:pPr>
      <w:r>
        <w:rPr>
          <w:rFonts w:ascii="Arial" w:cs="Arial" w:eastAsia="Arial" w:hAnsi="Arial"/>
          <w:sz w:val="12"/>
          <w:szCs w:val="12"/>
          <w:b w:val="1"/>
          <w:bCs w:val="1"/>
          <w:color w:val="auto"/>
        </w:rPr>
        <w:t xml:space="preserve">Item 2.02. </w:t>
      </w:r>
      <w:r>
        <w:rPr>
          <w:rFonts w:ascii="Arial" w:cs="Arial" w:eastAsia="Arial" w:hAnsi="Arial"/>
          <w:sz w:val="12"/>
          <w:szCs w:val="12"/>
          <w:b w:val="1"/>
          <w:bCs w:val="1"/>
          <w:u w:val="single" w:color="auto"/>
          <w:color w:val="auto"/>
        </w:rPr>
        <w:t>Results of Operations and Financial Condition</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Kelly Services, Inc. (the “Company”) today released financial information containing highlighted financial data for the three months and year ended December 29, 2019. A copy of the press release is attached as exhibit 99.1 herein.</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2"/>
          <w:szCs w:val="12"/>
          <w:b w:val="1"/>
          <w:bCs w:val="1"/>
          <w:color w:val="auto"/>
        </w:rPr>
        <w:t xml:space="preserve">Item 9.01. </w:t>
      </w:r>
      <w:r>
        <w:rPr>
          <w:rFonts w:ascii="Arial" w:cs="Arial" w:eastAsia="Arial" w:hAnsi="Arial"/>
          <w:sz w:val="12"/>
          <w:szCs w:val="12"/>
          <w:b w:val="1"/>
          <w:bCs w:val="1"/>
          <w:u w:val="single" w:color="auto"/>
          <w:color w:val="auto"/>
        </w:rPr>
        <w:t>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300" w:type="dxa"/>
            <w:vAlign w:val="bottom"/>
            <w:gridSpan w:val="4"/>
          </w:tcPr>
          <w:p>
            <w:pPr>
              <w:ind w:left="100"/>
              <w:spacing w:after="0"/>
              <w:rPr>
                <w:sz w:val="20"/>
                <w:szCs w:val="20"/>
                <w:color w:val="auto"/>
              </w:rPr>
            </w:pPr>
            <w:r>
              <w:rPr>
                <w:rFonts w:ascii="Arial" w:cs="Arial" w:eastAsia="Arial" w:hAnsi="Arial"/>
                <w:sz w:val="12"/>
                <w:szCs w:val="12"/>
                <w:color w:val="auto"/>
              </w:rPr>
              <w:t>(d) Exhibits</w:t>
            </w: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Exhibit No.</w:t>
            </w:r>
          </w:p>
        </w:tc>
        <w:tc>
          <w:tcPr>
            <w:tcW w:w="10180" w:type="dxa"/>
            <w:vAlign w:val="bottom"/>
            <w:gridSpan w:val="3"/>
          </w:tcPr>
          <w:p>
            <w:pPr>
              <w:ind w:left="42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0" w:type="dxa"/>
            <w:vAlign w:val="bottom"/>
            <w:gridSpan w:val="2"/>
          </w:tcPr>
          <w:p>
            <w:pPr>
              <w:ind w:left="320"/>
              <w:spacing w:after="0"/>
              <w:rPr>
                <w:rFonts w:ascii="Arial" w:cs="Arial" w:eastAsia="Arial" w:hAnsi="Arial"/>
                <w:sz w:val="12"/>
                <w:szCs w:val="12"/>
                <w:color w:val="0000FF"/>
                <w:w w:val="76"/>
              </w:rPr>
            </w:pPr>
            <w:hyperlink w:anchor="page5">
              <w:r>
                <w:rPr>
                  <w:rFonts w:ascii="Arial" w:cs="Arial" w:eastAsia="Arial" w:hAnsi="Arial"/>
                  <w:sz w:val="12"/>
                  <w:szCs w:val="12"/>
                  <w:color w:val="0000FF"/>
                  <w:w w:val="76"/>
                </w:rPr>
                <w:t>99.</w:t>
              </w:r>
              <w:r>
                <w:rPr>
                  <w:rFonts w:ascii="Arial" w:cs="Arial" w:eastAsia="Arial" w:hAnsi="Arial"/>
                  <w:sz w:val="12"/>
                  <w:szCs w:val="12"/>
                  <w:u w:val="single" w:color="auto"/>
                  <w:color w:val="0000FF"/>
                  <w:w w:val="76"/>
                </w:rPr>
                <w:t>1</w:t>
              </w:r>
            </w:hyperlink>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Press Release dated February 13, 2020.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180" w:type="dxa"/>
            <w:vAlign w:val="bottom"/>
            <w:gridSpan w:val="3"/>
            <w:vMerge w:val="restart"/>
          </w:tcPr>
          <w:p>
            <w:pPr>
              <w:ind w:left="420"/>
              <w:spacing w:after="0"/>
              <w:rPr>
                <w:sz w:val="20"/>
                <w:szCs w:val="20"/>
                <w:color w:val="auto"/>
              </w:rPr>
            </w:pPr>
            <w:r>
              <w:rPr>
                <w:rFonts w:ascii="Arial" w:cs="Arial" w:eastAsia="Arial" w:hAnsi="Arial"/>
                <w:sz w:val="12"/>
                <w:szCs w:val="12"/>
                <w:color w:val="auto"/>
              </w:rPr>
              <w:t>Presentation materials for February 13, 2020 conference call.</w:t>
            </w:r>
          </w:p>
        </w:tc>
        <w:tc>
          <w:tcPr>
            <w:tcW w:w="0" w:type="dxa"/>
            <w:vAlign w:val="bottom"/>
          </w:tcPr>
          <w:p>
            <w:pPr>
              <w:spacing w:after="0" w:line="20" w:lineRule="exact"/>
              <w:rPr>
                <w:sz w:val="1"/>
                <w:szCs w:val="1"/>
                <w:color w:val="auto"/>
              </w:rPr>
            </w:pPr>
          </w:p>
        </w:tc>
      </w:tr>
      <w:tr>
        <w:trPr>
          <w:trHeight w:val="160"/>
        </w:trPr>
        <w:tc>
          <w:tcPr>
            <w:tcW w:w="520" w:type="dxa"/>
            <w:vAlign w:val="bottom"/>
            <w:gridSpan w:val="2"/>
          </w:tcPr>
          <w:p>
            <w:pPr>
              <w:ind w:left="320"/>
              <w:spacing w:after="0"/>
              <w:rPr>
                <w:rFonts w:ascii="Arial" w:cs="Arial" w:eastAsia="Arial" w:hAnsi="Arial"/>
                <w:sz w:val="12"/>
                <w:szCs w:val="12"/>
                <w:color w:val="0000FF"/>
                <w:w w:val="76"/>
              </w:rPr>
            </w:pPr>
            <w:hyperlink w:anchor="page20">
              <w:r>
                <w:rPr>
                  <w:rFonts w:ascii="Arial" w:cs="Arial" w:eastAsia="Arial" w:hAnsi="Arial"/>
                  <w:sz w:val="12"/>
                  <w:szCs w:val="12"/>
                  <w:color w:val="0000FF"/>
                  <w:w w:val="76"/>
                </w:rPr>
                <w:t>99.</w:t>
              </w:r>
              <w:r>
                <w:rPr>
                  <w:rFonts w:ascii="Arial" w:cs="Arial" w:eastAsia="Arial" w:hAnsi="Arial"/>
                  <w:sz w:val="12"/>
                  <w:szCs w:val="12"/>
                  <w:u w:val="single" w:color="auto"/>
                  <w:color w:val="0000FF"/>
                  <w:w w:val="76"/>
                </w:rPr>
                <w:t>2</w:t>
              </w:r>
            </w:hyperlink>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2"/>
                <w:szCs w:val="12"/>
                <w:color w:val="auto"/>
              </w:rPr>
              <w:t>101.INS</w:t>
            </w: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2"/>
                <w:szCs w:val="12"/>
                <w:color w:val="auto"/>
              </w:rPr>
              <w:t>101.SCH</w:t>
            </w: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Inline XBRL Taxonomy Extension Schema Document.</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2"/>
                <w:szCs w:val="12"/>
                <w:color w:val="auto"/>
              </w:rPr>
              <w:t>101.CAL</w:t>
            </w: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2"/>
                <w:szCs w:val="12"/>
                <w:color w:val="auto"/>
              </w:rPr>
              <w:t>101.DEF</w:t>
            </w: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2"/>
                <w:szCs w:val="12"/>
                <w:color w:val="auto"/>
              </w:rPr>
              <w:t>101.LAB</w:t>
            </w: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Arial" w:cs="Arial" w:eastAsia="Arial" w:hAnsi="Arial"/>
                <w:sz w:val="12"/>
                <w:szCs w:val="12"/>
                <w:color w:val="auto"/>
              </w:rPr>
              <w:t>101.PRE</w:t>
            </w:r>
          </w:p>
        </w:tc>
        <w:tc>
          <w:tcPr>
            <w:tcW w:w="10180" w:type="dxa"/>
            <w:vAlign w:val="bottom"/>
            <w:gridSpan w:val="3"/>
          </w:tcPr>
          <w:p>
            <w:pPr>
              <w:ind w:left="420"/>
              <w:spacing w:after="0"/>
              <w:rPr>
                <w:sz w:val="20"/>
                <w:szCs w:val="20"/>
                <w:color w:val="auto"/>
              </w:rPr>
            </w:pPr>
            <w:r>
              <w:rPr>
                <w:rFonts w:ascii="Arial" w:cs="Arial" w:eastAsia="Arial" w:hAnsi="Arial"/>
                <w:sz w:val="12"/>
                <w:szCs w:val="12"/>
                <w:color w:val="auto"/>
              </w:rPr>
              <w:t>Inline XBRL Taxonomy Extension Presentation Linkbase Document.</w:t>
            </w:r>
          </w:p>
        </w:tc>
        <w:tc>
          <w:tcPr>
            <w:tcW w:w="0" w:type="dxa"/>
            <w:vAlign w:val="bottom"/>
          </w:tcPr>
          <w:p>
            <w:pPr>
              <w:spacing w:after="0"/>
              <w:rPr>
                <w:sz w:val="1"/>
                <w:szCs w:val="1"/>
                <w:color w:val="auto"/>
              </w:rPr>
            </w:pPr>
          </w:p>
        </w:tc>
      </w:tr>
      <w:tr>
        <w:trPr>
          <w:trHeight w:val="766"/>
        </w:trPr>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180" w:type="dxa"/>
            <w:vAlign w:val="bottom"/>
            <w:gridSpan w:val="3"/>
          </w:tcPr>
          <w:p>
            <w:pPr>
              <w:ind w:left="44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34"/>
        </w:trPr>
        <w:tc>
          <w:tcPr>
            <w:tcW w:w="320" w:type="dxa"/>
            <w:vAlign w:val="bottom"/>
            <w:tcBorders>
              <w:bottom w:val="single" w:sz="8" w:color="9A9A9A"/>
            </w:tcBorders>
          </w:tcPr>
          <w:p>
            <w:pPr>
              <w:spacing w:after="0"/>
              <w:rPr>
                <w:sz w:val="20"/>
                <w:szCs w:val="20"/>
                <w:color w:val="auto"/>
              </w:rPr>
            </w:pPr>
          </w:p>
        </w:tc>
        <w:tc>
          <w:tcPr>
            <w:tcW w:w="200" w:type="dxa"/>
            <w:vAlign w:val="bottom"/>
            <w:tcBorders>
              <w:bottom w:val="single" w:sz="8" w:color="9A9A9A"/>
            </w:tcBorders>
          </w:tcPr>
          <w:p>
            <w:pPr>
              <w:spacing w:after="0"/>
              <w:rPr>
                <w:sz w:val="20"/>
                <w:szCs w:val="20"/>
                <w:color w:val="auto"/>
              </w:rPr>
            </w:pPr>
          </w:p>
        </w:tc>
        <w:tc>
          <w:tcPr>
            <w:tcW w:w="38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420" w:type="dxa"/>
            <w:vAlign w:val="bottom"/>
            <w:tcBorders>
              <w:bottom w:val="single" w:sz="8" w:color="9A9A9A"/>
            </w:tcBorders>
          </w:tcPr>
          <w:p>
            <w:pPr>
              <w:spacing w:after="0"/>
              <w:rPr>
                <w:sz w:val="20"/>
                <w:szCs w:val="20"/>
                <w:color w:val="auto"/>
              </w:rPr>
            </w:pPr>
          </w:p>
        </w:tc>
        <w:tc>
          <w:tcPr>
            <w:tcW w:w="580" w:type="dxa"/>
            <w:vAlign w:val="bottom"/>
            <w:tcBorders>
              <w:bottom w:val="single" w:sz="8" w:color="9A9A9A"/>
            </w:tcBorders>
          </w:tcPr>
          <w:p>
            <w:pPr>
              <w:spacing w:after="0"/>
              <w:rPr>
                <w:sz w:val="20"/>
                <w:szCs w:val="20"/>
                <w:color w:val="auto"/>
              </w:rPr>
            </w:pPr>
          </w:p>
        </w:tc>
        <w:tc>
          <w:tcPr>
            <w:tcW w:w="91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-23495</wp:posOffset>
            </wp:positionV>
            <wp:extent cx="31115"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480"/>
          </w:cols>
          <w:pgMar w:left="220" w:top="640" w:right="199" w:bottom="1440" w:gutter="0" w:footer="0" w:header="0"/>
        </w:sectPr>
      </w:pPr>
    </w:p>
    <w:bookmarkStart w:id="2" w:name="page3"/>
    <w:bookmarkEnd w:id="2"/>
    <w:p>
      <w:pPr>
        <w:ind w:left="5340"/>
        <w:spacing w:after="0"/>
        <w:rPr>
          <w:sz w:val="20"/>
          <w:szCs w:val="20"/>
          <w:color w:val="auto"/>
        </w:rPr>
      </w:pPr>
      <w:r>
        <w:rPr>
          <w:rFonts w:ascii="Arial" w:cs="Arial" w:eastAsia="Arial" w:hAnsi="Arial"/>
          <w:sz w:val="12"/>
          <w:szCs w:val="1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KELLY SERVICES, INC.</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February 13, 2020</w:t>
      </w:r>
    </w:p>
    <w:p>
      <w:pPr>
        <w:spacing w:after="0" w:line="200" w:lineRule="exact"/>
        <w:rPr>
          <w:sz w:val="20"/>
          <w:szCs w:val="20"/>
          <w:color w:val="auto"/>
        </w:rPr>
      </w:pPr>
    </w:p>
    <w:p>
      <w:pPr>
        <w:spacing w:after="0" w:line="202"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/s/ Olivier G. Thirot</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Olivier G. Thirot</w:t>
      </w:r>
    </w:p>
    <w:p>
      <w:pPr>
        <w:spacing w:after="0" w:line="141" w:lineRule="exact"/>
        <w:rPr>
          <w:sz w:val="20"/>
          <w:szCs w:val="20"/>
          <w:color w:val="auto"/>
        </w:rPr>
      </w:pPr>
    </w:p>
    <w:p>
      <w:pPr>
        <w:ind w:left="7040"/>
        <w:spacing w:after="0"/>
        <w:rPr>
          <w:sz w:val="20"/>
          <w:szCs w:val="20"/>
          <w:color w:val="auto"/>
        </w:rPr>
      </w:pPr>
      <w:r>
        <w:rPr>
          <w:rFonts w:ascii="Arial" w:cs="Arial" w:eastAsia="Arial" w:hAnsi="Arial"/>
          <w:sz w:val="11"/>
          <w:szCs w:val="11"/>
          <w:color w:val="auto"/>
        </w:rPr>
        <w:t>Executive Vice President and Chief Financial Officer</w:t>
      </w:r>
    </w:p>
    <w:p>
      <w:pPr>
        <w:spacing w:after="0" w:line="26"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color w:val="auto"/>
        </w:rPr>
        <w:t>February 13, 2020</w:t>
      </w:r>
    </w:p>
    <w:p>
      <w:pPr>
        <w:spacing w:after="0" w:line="393"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/s/ Laura S. Lockhart</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Laura S. Lockhart</w:t>
      </w:r>
    </w:p>
    <w:p>
      <w:pPr>
        <w:spacing w:after="0" w:line="141"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Vice President, Corporate Controller and</w:t>
      </w:r>
    </w:p>
    <w:p>
      <w:pPr>
        <w:spacing w:after="0" w:line="15"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Chief Accounting Officer</w:t>
      </w:r>
    </w:p>
    <w:p>
      <w:pPr>
        <w:spacing w:after="0" w:line="6" w:lineRule="exact"/>
        <w:rPr>
          <w:sz w:val="20"/>
          <w:szCs w:val="20"/>
          <w:color w:val="auto"/>
        </w:rPr>
      </w:pPr>
    </w:p>
    <w:p>
      <w:pPr>
        <w:ind w:left="7040"/>
        <w:spacing w:after="0"/>
        <w:rPr>
          <w:sz w:val="20"/>
          <w:szCs w:val="20"/>
          <w:color w:val="auto"/>
        </w:rPr>
      </w:pPr>
      <w:r>
        <w:rPr>
          <w:rFonts w:ascii="Arial" w:cs="Arial" w:eastAsia="Arial" w:hAnsi="Arial"/>
          <w:sz w:val="12"/>
          <w:szCs w:val="12"/>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145415</wp:posOffset>
            </wp:positionV>
            <wp:extent cx="73177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ectPr>
          <w:pgSz w:w="11900" w:h="16838" w:orient="portrait"/>
          <w:cols w:equalWidth="0" w:num="1">
            <w:col w:w="10239"/>
          </w:cols>
          <w:pgMar w:left="220" w:top="6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780" w:type="dxa"/>
            <w:vAlign w:val="bottom"/>
          </w:tcPr>
          <w:p>
            <w:pPr>
              <w:ind w:left="3160"/>
              <w:spacing w:after="0"/>
              <w:rPr>
                <w:sz w:val="20"/>
                <w:szCs w:val="20"/>
                <w:color w:val="auto"/>
              </w:rPr>
            </w:pPr>
            <w:r>
              <w:rPr>
                <w:rFonts w:ascii="Arial" w:cs="Arial" w:eastAsia="Arial" w:hAnsi="Arial"/>
                <w:sz w:val="12"/>
                <w:szCs w:val="12"/>
                <w:b w:val="1"/>
                <w:bCs w:val="1"/>
                <w:color w:val="auto"/>
              </w:rPr>
              <w:t>EXHIBIT INDEX</w:t>
            </w:r>
          </w:p>
        </w:tc>
      </w:tr>
      <w:tr>
        <w:trPr>
          <w:trHeight w:val="297"/>
        </w:trPr>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2"/>
              </w:rPr>
              <w:t>Exhibit No.</w:t>
            </w:r>
          </w:p>
        </w:tc>
        <w:tc>
          <w:tcPr>
            <w:tcW w:w="96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Description</w:t>
            </w:r>
          </w:p>
        </w:tc>
        <w:tc>
          <w:tcPr>
            <w:tcW w:w="7780" w:type="dxa"/>
            <w:vAlign w:val="bottom"/>
          </w:tcPr>
          <w:p>
            <w:pPr>
              <w:spacing w:after="0"/>
              <w:rPr>
                <w:sz w:val="24"/>
                <w:szCs w:val="24"/>
                <w:color w:val="auto"/>
              </w:rPr>
            </w:pPr>
          </w:p>
        </w:tc>
      </w:tr>
      <w:tr>
        <w:trPr>
          <w:trHeight w:val="367"/>
        </w:trPr>
        <w:tc>
          <w:tcPr>
            <w:tcW w:w="600" w:type="dxa"/>
            <w:vAlign w:val="bottom"/>
          </w:tcPr>
          <w:p>
            <w:pPr>
              <w:spacing w:after="0"/>
              <w:rPr>
                <w:sz w:val="20"/>
                <w:szCs w:val="20"/>
                <w:color w:val="auto"/>
              </w:rPr>
            </w:pPr>
            <w:r>
              <w:rPr>
                <w:rFonts w:ascii="Arial" w:cs="Arial" w:eastAsia="Arial" w:hAnsi="Arial"/>
                <w:sz w:val="12"/>
                <w:szCs w:val="12"/>
                <w:color w:val="auto"/>
              </w:rPr>
              <w:t>99.1</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Press Release dated February 13, 2020.</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99.2</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Presentation materials for February 13, 2020 conference call.</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101.INS</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w w:val="91"/>
              </w:rPr>
              <w:t>Inline XBRL Instance Document - the instance document does not appear in the Interactive Data file because its XBRL tags are embedded within the Inline XBRL document.</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101.SCH</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Inline XBRL Taxonomy Extension Schema Document.</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101.CAL</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Inline XBRL Taxonomy Extension Calculation Linkbase Document.</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101.DEF</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Inline XBRL Taxonomy Extension Definition Linkbase Document.</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101.LAB</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Inline XBRL Taxonomy Extension Label Linkbase Document.</w:t>
            </w:r>
          </w:p>
        </w:tc>
      </w:tr>
      <w:tr>
        <w:trPr>
          <w:trHeight w:val="180"/>
        </w:trPr>
        <w:tc>
          <w:tcPr>
            <w:tcW w:w="600" w:type="dxa"/>
            <w:vAlign w:val="bottom"/>
          </w:tcPr>
          <w:p>
            <w:pPr>
              <w:spacing w:after="0"/>
              <w:rPr>
                <w:sz w:val="20"/>
                <w:szCs w:val="20"/>
                <w:color w:val="auto"/>
              </w:rPr>
            </w:pPr>
            <w:r>
              <w:rPr>
                <w:rFonts w:ascii="Arial" w:cs="Arial" w:eastAsia="Arial" w:hAnsi="Arial"/>
                <w:sz w:val="12"/>
                <w:szCs w:val="12"/>
                <w:color w:val="auto"/>
              </w:rPr>
              <w:t>101.PRE</w:t>
            </w:r>
          </w:p>
        </w:tc>
        <w:tc>
          <w:tcPr>
            <w:tcW w:w="9340" w:type="dxa"/>
            <w:vAlign w:val="bottom"/>
            <w:gridSpan w:val="3"/>
          </w:tcPr>
          <w:p>
            <w:pPr>
              <w:ind w:left="960"/>
              <w:spacing w:after="0"/>
              <w:rPr>
                <w:sz w:val="20"/>
                <w:szCs w:val="20"/>
                <w:color w:val="auto"/>
              </w:rPr>
            </w:pPr>
            <w:r>
              <w:rPr>
                <w:rFonts w:ascii="Arial" w:cs="Arial" w:eastAsia="Arial" w:hAnsi="Arial"/>
                <w:sz w:val="12"/>
                <w:szCs w:val="12"/>
                <w:color w:val="auto"/>
              </w:rPr>
              <w:t>Inline XBRL Taxonomy Extension Presentation Linkbase Document.</w:t>
            </w:r>
          </w:p>
        </w:tc>
      </w:tr>
    </w:tbl>
    <w:p>
      <w:pPr>
        <w:sectPr>
          <w:pgSz w:w="11900" w:h="16838" w:orient="portrait"/>
          <w:cols w:equalWidth="0" w:num="1">
            <w:col w:w="10239"/>
          </w:cols>
          <w:pgMar w:left="220" w:top="802"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1143635" cy="560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635" cy="560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KELLY SERVICES</w:t>
      </w:r>
      <w:r>
        <w:rPr>
          <w:rFonts w:ascii="Arial" w:cs="Arial" w:eastAsia="Arial" w:hAnsi="Arial"/>
          <w:sz w:val="15"/>
          <w:szCs w:val="15"/>
          <w:b w:val="1"/>
          <w:bCs w:val="1"/>
          <w:u w:val="single" w:color="auto"/>
          <w:color w:val="auto"/>
          <w:vertAlign w:val="superscript"/>
        </w:rPr>
        <w:t>®</w:t>
      </w:r>
      <w:r>
        <w:rPr>
          <w:rFonts w:ascii="Arial" w:cs="Arial" w:eastAsia="Arial" w:hAnsi="Arial"/>
          <w:sz w:val="12"/>
          <w:szCs w:val="12"/>
          <w:b w:val="1"/>
          <w:bCs w:val="1"/>
          <w:u w:val="single" w:color="auto"/>
          <w:color w:val="auto"/>
        </w:rPr>
        <w:t xml:space="preserve"> REPORTS</w:t>
      </w:r>
    </w:p>
    <w:p>
      <w:pPr>
        <w:jc w:val="center"/>
        <w:spacing w:after="0"/>
        <w:rPr>
          <w:sz w:val="20"/>
          <w:szCs w:val="20"/>
          <w:color w:val="auto"/>
        </w:rPr>
      </w:pPr>
      <w:r>
        <w:rPr>
          <w:rFonts w:ascii="Arial" w:cs="Arial" w:eastAsia="Arial" w:hAnsi="Arial"/>
          <w:sz w:val="12"/>
          <w:szCs w:val="12"/>
          <w:b w:val="1"/>
          <w:bCs w:val="1"/>
          <w:u w:val="single" w:color="auto"/>
          <w:color w:val="auto"/>
        </w:rPr>
        <w:t>FOURTH QUARTER AND FULL YEAR EARNINGS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Highlights</w:t>
      </w:r>
    </w:p>
    <w:p>
      <w:pPr>
        <w:spacing w:after="0" w:line="13" w:lineRule="exact"/>
        <w:rPr>
          <w:sz w:val="20"/>
          <w:szCs w:val="20"/>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Q4 revenue down 5.4%; down 5.2% in constant currency</w:t>
      </w:r>
    </w:p>
    <w:p>
      <w:pPr>
        <w:ind w:left="420" w:hanging="212"/>
        <w:spacing w:after="0" w:line="234"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Q4 operating earnings of $13.1 million, including a $15.8 million asset impairment charge, compared to $33.1 million last year</w:t>
      </w:r>
    </w:p>
    <w:p>
      <w:pPr>
        <w:ind w:left="420" w:hanging="212"/>
        <w:spacing w:after="0" w:line="234" w:lineRule="auto"/>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Q4 earnings (loss) per share of $0.43, compared to ($0.62) last year or $0.67 compared to $0.87 on an adjusted basis</w:t>
      </w: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Full year 2019 earnings from operations down 6.5% to $81.8 million</w:t>
      </w:r>
    </w:p>
    <w:p>
      <w:pPr>
        <w:spacing w:after="0" w:line="14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 xml:space="preserve">TROY, Mich. (February 13, 2020) -- Kelly Services (Nasdaq: </w:t>
      </w:r>
      <w:r>
        <w:rPr>
          <w:rFonts w:ascii="Arial" w:cs="Arial" w:eastAsia="Arial" w:hAnsi="Arial"/>
          <w:sz w:val="12"/>
          <w:szCs w:val="12"/>
          <w:u w:val="single" w:color="auto"/>
          <w:color w:val="auto"/>
        </w:rPr>
        <w:t>KELYA</w:t>
      </w:r>
      <w:r>
        <w:rPr>
          <w:rFonts w:ascii="Arial" w:cs="Arial" w:eastAsia="Arial" w:hAnsi="Arial"/>
          <w:sz w:val="12"/>
          <w:szCs w:val="12"/>
          <w:color w:val="auto"/>
        </w:rPr>
        <w:t xml:space="preserve">) (Nasdaq: </w:t>
      </w:r>
      <w:r>
        <w:rPr>
          <w:rFonts w:ascii="Arial" w:cs="Arial" w:eastAsia="Arial" w:hAnsi="Arial"/>
          <w:sz w:val="12"/>
          <w:szCs w:val="12"/>
          <w:u w:val="single" w:color="auto"/>
          <w:color w:val="auto"/>
        </w:rPr>
        <w:t>KELYB</w:t>
      </w:r>
      <w:r>
        <w:rPr>
          <w:rFonts w:ascii="Arial" w:cs="Arial" w:eastAsia="Arial" w:hAnsi="Arial"/>
          <w:sz w:val="12"/>
          <w:szCs w:val="12"/>
          <w:color w:val="auto"/>
        </w:rPr>
        <w:t>), a global leader in providing workforce solutions, today announced results for the fourth quarter and full year of 2019.</w:t>
      </w:r>
    </w:p>
    <w:p>
      <w:pPr>
        <w:spacing w:after="0" w:line="16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1"/>
          <w:szCs w:val="11"/>
          <w:color w:val="auto"/>
        </w:rPr>
        <w:t>Peter Quigley, president and chief executive officer, announced revenue for the fourth quarter of 2019 totaled $1.3 billion, a 5.4% decrease, or 5.2% in constant currency, compared to the corresponding quarter of 2018.</w:t>
      </w:r>
    </w:p>
    <w:p>
      <w:pPr>
        <w:spacing w:after="0" w:line="180" w:lineRule="exact"/>
        <w:rPr>
          <w:sz w:val="20"/>
          <w:szCs w:val="20"/>
          <w:color w:val="auto"/>
        </w:rPr>
      </w:pPr>
    </w:p>
    <w:p>
      <w:pPr>
        <w:ind w:right="360" w:firstLine="432"/>
        <w:spacing w:after="0" w:line="276" w:lineRule="auto"/>
        <w:rPr>
          <w:sz w:val="20"/>
          <w:szCs w:val="20"/>
          <w:color w:val="auto"/>
        </w:rPr>
      </w:pPr>
      <w:r>
        <w:rPr>
          <w:rFonts w:ascii="Arial" w:cs="Arial" w:eastAsia="Arial" w:hAnsi="Arial"/>
          <w:sz w:val="12"/>
          <w:szCs w:val="12"/>
          <w:color w:val="auto"/>
        </w:rPr>
        <w:t>Earnings from operations for the fourth quarter of 2019 totaled $13.1 million, compared to the $33.1 million reported for the fourth quarter of 2018. The 2019 fourth quarter results include a $15.8 million impairment charge related to a technology development project.</w:t>
      </w:r>
    </w:p>
    <w:p>
      <w:pPr>
        <w:spacing w:after="0" w:line="133" w:lineRule="exact"/>
        <w:rPr>
          <w:sz w:val="20"/>
          <w:szCs w:val="20"/>
          <w:color w:val="auto"/>
        </w:rPr>
      </w:pPr>
    </w:p>
    <w:p>
      <w:pPr>
        <w:ind w:right="280" w:firstLine="432"/>
        <w:spacing w:after="0" w:line="263" w:lineRule="auto"/>
        <w:rPr>
          <w:sz w:val="20"/>
          <w:szCs w:val="20"/>
          <w:color w:val="auto"/>
        </w:rPr>
      </w:pPr>
      <w:r>
        <w:rPr>
          <w:rFonts w:ascii="Arial" w:cs="Arial" w:eastAsia="Arial" w:hAnsi="Arial"/>
          <w:sz w:val="12"/>
          <w:szCs w:val="12"/>
          <w:color w:val="auto"/>
        </w:rPr>
        <w:t>Diluted earnings per share in the fourth quarter of 2019 were $0.43 compared to a loss per share of $0.62 in the fourth quarter of 2018. Included in the earnings per share in the fourth quarter of 2019 was a $0.30 impairment charge, net of tax and a $0.01 gain, net of tax on Persol Holdings common stock. Included in the loss per share in the fourth quarter of 2018 is the unfavorable impact of $1.49 due to the non-cash after-tax loss on Kelly’s investment in Persol Holdings common stock.</w:t>
      </w:r>
    </w:p>
    <w:p>
      <w:pPr>
        <w:spacing w:after="0" w:line="141"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Diluted earnings per share for the full year 2019 were $2.84 compared to $0.58 for 2018. Full-year earnings per share for 2019 were unfavorably impacted $0.40 by the after-tax impact of asset impairments and restructuring charges, and were favorably impacted $1.08 by the after-tax gain on Persol common stock, the gain on sale of assets, and the impact of recent acquisitions. Full-year earnings per share for 2018 were unfavorably impacted by the $1.69 non-cash after-tax loss on Persol Holdings common stock. On an adjusted basis, diluted earnings per share were $2.16 in 2019 compared to $2.27 in 2018. The impacts of these adjustments are more fully described in the included reconciliation of non-GAAP measures.</w:t>
      </w:r>
    </w:p>
    <w:p>
      <w:pPr>
        <w:spacing w:after="0" w:line="143" w:lineRule="exact"/>
        <w:rPr>
          <w:sz w:val="20"/>
          <w:szCs w:val="20"/>
          <w:color w:val="auto"/>
        </w:rPr>
      </w:pPr>
    </w:p>
    <w:p>
      <w:pPr>
        <w:ind w:right="160" w:firstLine="432"/>
        <w:spacing w:after="0" w:line="257" w:lineRule="auto"/>
        <w:rPr>
          <w:sz w:val="20"/>
          <w:szCs w:val="20"/>
          <w:color w:val="auto"/>
        </w:rPr>
      </w:pPr>
      <w:r>
        <w:rPr>
          <w:rFonts w:ascii="Arial" w:cs="Arial" w:eastAsia="Arial" w:hAnsi="Arial"/>
          <w:sz w:val="12"/>
          <w:szCs w:val="12"/>
          <w:color w:val="auto"/>
        </w:rPr>
        <w:t>“Q4 continued the underlying dynamics we saw in Q3, including a weaker manufacturing sector, economic headwinds in Europe, and disruption from the 2019 restructuring of our U.S. operations,” noted Quigley. “The efficiencies we’ve gained are already bringing us increased agility and we have delivered good GP rate improvement, however, we have not yet delivered on top-line growth.” Quigley has made returning to growth a top priority since becoming CEO, while also taking other significant steps in his first 120 days: the sale and lease-back of the company’s HQ building to free up capital; the acquisition of Insight to further strengthen Kelly Education’s leading U.S. market position; the appointment of Kelly’s first-ever Chief Growth Officer; deployment of new front-office technology in the U.S. and Europe; and other actions designed to accelerate Kelly’s shift toward a more responsive, tech-enabled delivery model.</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Today, Quigley announced three additional changes designed to accelerate growth and intensify Kelly’s specialty focus:</w:t>
      </w:r>
    </w:p>
    <w:p>
      <w:pPr>
        <w:spacing w:after="0" w:line="168" w:lineRule="exact"/>
        <w:rPr>
          <w:sz w:val="20"/>
          <w:szCs w:val="20"/>
          <w:color w:val="auto"/>
        </w:rPr>
      </w:pPr>
    </w:p>
    <w:p>
      <w:pPr>
        <w:ind w:left="420" w:right="400" w:hanging="212"/>
        <w:spacing w:after="0" w:line="276" w:lineRule="auto"/>
        <w:tabs>
          <w:tab w:leader="none" w:pos="417"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company will be managed by specialty: Professional &amp; Industrial (formerly Commercial); Education; STEM (including Science, Engineering, and IT); OCG; and International. Each specialty will be led by a president, reporting directly to Quigley, who will work to accelerate each specialty’s top- and bottom-line results.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644" w:right="199" w:bottom="1440" w:gutter="0" w:footer="0" w:header="0"/>
        </w:sectPr>
      </w:pPr>
    </w:p>
    <w:bookmarkStart w:id="5" w:name="page6"/>
    <w:bookmarkEnd w:id="5"/>
    <w:p>
      <w:pPr>
        <w:ind w:left="428" w:right="60" w:hanging="212"/>
        <w:spacing w:after="0" w:line="276" w:lineRule="auto"/>
        <w:tabs>
          <w:tab w:leader="none" w:pos="425" w:val="left"/>
        </w:tabs>
        <w:numPr>
          <w:ilvl w:val="0"/>
          <w:numId w:val="4"/>
        </w:numPr>
        <w:rPr>
          <w:rFonts w:ascii="Arial" w:cs="Arial" w:eastAsia="Arial" w:hAnsi="Arial"/>
          <w:sz w:val="12"/>
          <w:szCs w:val="12"/>
          <w:color w:val="auto"/>
        </w:rPr>
      </w:pPr>
      <w:r>
        <w:rPr>
          <w:rFonts w:ascii="Arial" w:cs="Arial" w:eastAsia="Arial" w:hAnsi="Arial"/>
          <w:sz w:val="12"/>
          <w:szCs w:val="12"/>
          <w:color w:val="auto"/>
        </w:rPr>
        <w:t>Kelly will accelerate its M&amp;A initiatives as part of an ambitious program to drive financial performance through growth in higher-margin businesses, focusing its capital allocations on investments and acquisitions that align with the company’s specialty solutions strategy.</w:t>
      </w:r>
    </w:p>
    <w:p>
      <w:pPr>
        <w:spacing w:after="0" w:line="132" w:lineRule="exact"/>
        <w:rPr>
          <w:rFonts w:ascii="Arial" w:cs="Arial" w:eastAsia="Arial" w:hAnsi="Arial"/>
          <w:sz w:val="12"/>
          <w:szCs w:val="12"/>
          <w:color w:val="auto"/>
        </w:rPr>
      </w:pPr>
    </w:p>
    <w:p>
      <w:pPr>
        <w:ind w:left="428" w:hanging="212"/>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Kelly will share growth targets via its growth map, providing regular updates on progress against key financial goals the company intends to achieve.</w:t>
      </w:r>
    </w:p>
    <w:p>
      <w:pPr>
        <w:spacing w:after="0" w:line="168" w:lineRule="exact"/>
        <w:rPr>
          <w:sz w:val="20"/>
          <w:szCs w:val="20"/>
          <w:color w:val="auto"/>
        </w:rPr>
      </w:pPr>
    </w:p>
    <w:p>
      <w:pPr>
        <w:ind w:left="8" w:right="140" w:firstLine="216"/>
        <w:spacing w:after="0" w:line="323" w:lineRule="auto"/>
        <w:rPr>
          <w:sz w:val="20"/>
          <w:szCs w:val="20"/>
          <w:color w:val="auto"/>
        </w:rPr>
      </w:pPr>
      <w:r>
        <w:rPr>
          <w:rFonts w:ascii="Arial" w:cs="Arial" w:eastAsia="Arial" w:hAnsi="Arial"/>
          <w:sz w:val="11"/>
          <w:szCs w:val="11"/>
          <w:color w:val="auto"/>
        </w:rPr>
        <w:t>“There’s no question there are a lot of positive changes underway at Kelly,” stated Quigley. “Although they’re at different stages of progress, they are necessary to address market challenges head-on, modernize our delivery models, leverage more agile operations, open new doors for organic and inorganic growth, and put us on a path to becoming a specialty talent company that delivers results for clients, talent, and shareholders.”</w:t>
      </w:r>
    </w:p>
    <w:p>
      <w:pPr>
        <w:spacing w:after="0" w:line="110" w:lineRule="exact"/>
        <w:rPr>
          <w:sz w:val="20"/>
          <w:szCs w:val="20"/>
          <w:color w:val="auto"/>
        </w:rPr>
      </w:pPr>
    </w:p>
    <w:p>
      <w:pPr>
        <w:ind w:left="208"/>
        <w:spacing w:after="0"/>
        <w:rPr>
          <w:sz w:val="20"/>
          <w:szCs w:val="20"/>
          <w:color w:val="auto"/>
        </w:rPr>
      </w:pPr>
      <w:r>
        <w:rPr>
          <w:rFonts w:ascii="Arial" w:cs="Arial" w:eastAsia="Arial" w:hAnsi="Arial"/>
          <w:sz w:val="11"/>
          <w:szCs w:val="11"/>
          <w:color w:val="auto"/>
        </w:rPr>
        <w:t>Kelly also reported that on February 12, its board of directors declared a dividend of $0.075 per share. The dividend is payable March 9, 2020 to shareholders of record as of the close of business on February 24, 2020.</w:t>
      </w:r>
    </w:p>
    <w:p>
      <w:pPr>
        <w:spacing w:after="0" w:line="180"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In conjunction with its fourth quarter and full year earnings release, Kelly Services has published a financial presentation on the Investor Relations page of its public website and will host a conference call at 9:00 a.m. (ET) on</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February 13 to review the results and answer questions. The call may be accessed in one of the following ways:</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Via the Internet:</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kellyservices.com</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Via the Telephone </w:t>
      </w:r>
      <w:r>
        <w:rPr>
          <w:rFonts w:ascii="Arial" w:cs="Arial" w:eastAsia="Arial" w:hAnsi="Arial"/>
          <w:sz w:val="12"/>
          <w:szCs w:val="12"/>
          <w:b w:val="1"/>
          <w:bCs w:val="1"/>
          <w:color w:val="auto"/>
        </w:rPr>
        <w:t>(new process)</w:t>
      </w:r>
    </w:p>
    <w:p>
      <w:pPr>
        <w:spacing w:after="0" w:line="19" w:lineRule="exact"/>
        <w:rPr>
          <w:sz w:val="20"/>
          <w:szCs w:val="20"/>
          <w:color w:val="auto"/>
        </w:rPr>
      </w:pPr>
    </w:p>
    <w:p>
      <w:pPr>
        <w:ind w:left="288" w:hanging="288"/>
        <w:spacing w:after="0"/>
        <w:tabs>
          <w:tab w:leader="none" w:pos="288" w:val="left"/>
        </w:tabs>
        <w:numPr>
          <w:ilvl w:val="0"/>
          <w:numId w:val="5"/>
        </w:numPr>
        <w:rPr>
          <w:rFonts w:ascii="Arial" w:cs="Arial" w:eastAsia="Arial" w:hAnsi="Arial"/>
          <w:sz w:val="12"/>
          <w:szCs w:val="12"/>
          <w:color w:val="auto"/>
        </w:rPr>
      </w:pPr>
      <w:r>
        <w:rPr>
          <w:rFonts w:ascii="Arial" w:cs="Arial" w:eastAsia="Arial" w:hAnsi="Arial"/>
          <w:sz w:val="12"/>
          <w:szCs w:val="12"/>
          <w:color w:val="auto"/>
        </w:rPr>
        <w:t>692-8955 (toll free) or (234) 720-6979 (caller paid)</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b w:val="1"/>
          <w:bCs w:val="1"/>
          <w:color w:val="auto"/>
        </w:rPr>
        <w:t>Enter access code 5728672</w:t>
      </w:r>
    </w:p>
    <w:p>
      <w:pPr>
        <w:spacing w:after="0" w:line="6"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b w:val="1"/>
          <w:bCs w:val="1"/>
          <w:color w:val="auto"/>
        </w:rPr>
        <w:t>After the prompt, please enter “#”</w:t>
      </w:r>
    </w:p>
    <w:p>
      <w:pPr>
        <w:spacing w:after="0" w:line="200" w:lineRule="exact"/>
        <w:rPr>
          <w:sz w:val="20"/>
          <w:szCs w:val="20"/>
          <w:color w:val="auto"/>
        </w:rPr>
      </w:pPr>
    </w:p>
    <w:p>
      <w:pPr>
        <w:spacing w:after="0" w:line="284" w:lineRule="exact"/>
        <w:rPr>
          <w:sz w:val="20"/>
          <w:szCs w:val="20"/>
          <w:color w:val="auto"/>
        </w:rPr>
      </w:pPr>
    </w:p>
    <w:p>
      <w:pPr>
        <w:ind w:left="8"/>
        <w:spacing w:after="0" w:line="288" w:lineRule="auto"/>
        <w:rPr>
          <w:sz w:val="20"/>
          <w:szCs w:val="20"/>
          <w:color w:val="auto"/>
        </w:rPr>
      </w:pPr>
      <w:r>
        <w:rPr>
          <w:rFonts w:ascii="Arial" w:cs="Arial" w:eastAsia="Arial" w:hAnsi="Arial"/>
          <w:sz w:val="10"/>
          <w:szCs w:val="10"/>
          <w:color w:val="auto"/>
        </w:rPr>
        <w:t>This release contains statements that are forward looking in nature and, accordingly, are subject to risks and uncertainties. These factors include, but are not limited to, competitive market pressures including pricing and technology introductions and disruptions, changing market and economic conditions, our ability to achieve our business strategy, the risk of damage to our brand, the risk our intellectual property assets could be infringed upon or compromised, our ability to successfully develop new service offerings, our exposure to risks associated with services outside traditional staffing, including business process outsourcing and services connecting talent to independent work, our increasing dependency on third parties for the execution of critical functions, the risks associated with past and future acquisitions, exposure to risks associated with investments in equity affiliates including PersolKelly Asia Pacific, material changes in demand from or loss of large corporate customers as well as changes in their buying practices, risks particular to doing business with government or government contractors, risks associated with conducting business in foreign countries, including foreign currency fluctuations, the exposure to potential market and currency exchange risks relating to our investment in Persol Holdings, risks associated with violations of anti-corruption, trade protection and other laws and regulations, availability of qualified full-time employees, availability of temporary workers with appropriate skills required by customers, liabilities for employment-related claims and losses, including class action lawsuits and collective actions, risks arising from failure to preserve the privacy of information entrusted to us or to meet our obligations under global privacy laws, the risk of cyberattacks or other breaches of network or information technology security, our ability to sustain critical business applications through our key data centers, our ability to effectively implement and manage our information technology projects, our ability to maintain adequate financial and management processes and controls, risk of potential impairment charges triggered by adverse industry developments or operational circumstances, unexpected changes in claim trends on workers’ compensation, unemployment, disability and medical benefit plans, the impact of changes in laws and regulations (including federal, state and international tax laws), competition law risks, the risk of additional tax or unclaimed property liabilities in excess of our estimates, our ability to realize value from our tax credit and net operating loss carryforwards, our ability to maintain specified financial covenants in our bank facilities to continue to access credit markets, and other risks, uncertainties and factors discussed in this release and in the Company’s filings with the Securities and Exchange Commission. Actual results may differ materially from any forward-looking statements contained herein, and we have no intention to update these statements.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48"/>
          </w:cols>
          <w:pgMar w:left="212" w:top="644" w:right="23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About Kelly Services</w:t>
      </w:r>
      <w:r>
        <w:rPr>
          <w:rFonts w:ascii="Arial" w:cs="Arial" w:eastAsia="Arial" w:hAnsi="Arial"/>
          <w:sz w:val="15"/>
          <w:szCs w:val="15"/>
          <w:b w:val="1"/>
          <w:bCs w:val="1"/>
          <w:color w:val="auto"/>
          <w:vertAlign w:val="superscript"/>
        </w:rPr>
        <w:t>®</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12"/>
          <w:szCs w:val="12"/>
          <w:color w:val="auto"/>
        </w:rPr>
        <w:t>Kelly Services, Inc. (Nasdaq: KELYA, KELYB) connects talented people to companies in need of their skills in areas including Science, Engineering, Education, Office, Contact Center, Light Industrial, and more. We’re always thinking about what’s next in the evolving world of work, and we help people ditch the script on old ways of thinking and embrace the value of all workstyles in the workplace. We directly employ approximately 440,000 people around the world, and we connect thousands more with work through our global network of talent suppliers and partners in our outsourcing and consulting practice. Revenue in 2019 was $5.4 billion. Visit kellyservices.com and let us help with what’s next for you.</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auto"/>
        </w:rPr>
        <w:t>KLYA-FIN</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 # #</w:t>
      </w:r>
    </w:p>
    <w:p>
      <w:pPr>
        <w:sectPr>
          <w:pgSz w:w="11900" w:h="16838" w:orient="portrait"/>
          <w:cols w:equalWidth="0" w:num="1">
            <w:col w:w="11360"/>
          </w:cols>
          <w:pgMar w:left="220" w:top="640" w:right="319" w:bottom="1440" w:gutter="0" w:footer="0" w:header="0"/>
        </w:sectPr>
      </w:pPr>
    </w:p>
    <w:p>
      <w:pPr>
        <w:spacing w:after="0" w:line="366" w:lineRule="exact"/>
        <w:rPr>
          <w:sz w:val="20"/>
          <w:szCs w:val="20"/>
          <w:color w:val="auto"/>
        </w:rPr>
      </w:pPr>
    </w:p>
    <w:p>
      <w:pPr>
        <w:spacing w:after="0"/>
        <w:rPr>
          <w:sz w:val="20"/>
          <w:szCs w:val="20"/>
          <w:color w:val="auto"/>
        </w:rPr>
      </w:pPr>
      <w:r>
        <w:rPr>
          <w:rFonts w:ascii="Arial" w:cs="Arial" w:eastAsia="Arial" w:hAnsi="Arial"/>
          <w:sz w:val="11"/>
          <w:szCs w:val="11"/>
          <w:color w:val="auto"/>
        </w:rPr>
        <w:t>MEDIA CONTACT:</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auto"/>
        </w:rPr>
        <w:t>ANALYST CONTACT:</w:t>
      </w:r>
    </w:p>
    <w:p>
      <w:pPr>
        <w:spacing w:after="0" w:line="54" w:lineRule="exact"/>
        <w:rPr>
          <w:sz w:val="20"/>
          <w:szCs w:val="20"/>
          <w:color w:val="auto"/>
        </w:rPr>
      </w:pPr>
    </w:p>
    <w:p>
      <w:pPr>
        <w:sectPr>
          <w:pgSz w:w="11900" w:h="16838" w:orient="portrait"/>
          <w:cols w:equalWidth="0" w:num="2">
            <w:col w:w="7280" w:space="720"/>
            <w:col w:w="3360"/>
          </w:cols>
          <w:pgMar w:left="220" w:top="640" w:right="319" w:bottom="1440" w:gutter="0" w:footer="0" w:header="0"/>
          <w:type w:val="continuous"/>
        </w:sectPr>
      </w:pPr>
    </w:p>
    <w:p>
      <w:pPr>
        <w:spacing w:after="0"/>
        <w:rPr>
          <w:sz w:val="20"/>
          <w:szCs w:val="20"/>
          <w:color w:val="auto"/>
        </w:rPr>
      </w:pPr>
      <w:r>
        <w:rPr>
          <w:rFonts w:ascii="Arial" w:cs="Arial" w:eastAsia="Arial" w:hAnsi="Arial"/>
          <w:sz w:val="10"/>
          <w:szCs w:val="10"/>
          <w:color w:val="auto"/>
        </w:rPr>
        <w:t>Jane Stehney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James Polehna</w:t>
      </w:r>
    </w:p>
    <w:p>
      <w:pPr>
        <w:spacing w:after="0" w:line="65" w:lineRule="exact"/>
        <w:rPr>
          <w:sz w:val="20"/>
          <w:szCs w:val="20"/>
          <w:color w:val="auto"/>
        </w:rPr>
      </w:pPr>
    </w:p>
    <w:p>
      <w:pPr>
        <w:sectPr>
          <w:pgSz w:w="11900" w:h="16838" w:orient="portrait"/>
          <w:cols w:equalWidth="0" w:num="2">
            <w:col w:w="7280" w:space="720"/>
            <w:col w:w="3360"/>
          </w:cols>
          <w:pgMar w:left="220" w:top="640" w:right="319" w:bottom="1440" w:gutter="0" w:footer="0" w:header="0"/>
          <w:type w:val="continuous"/>
        </w:sectPr>
      </w:pPr>
    </w:p>
    <w:p>
      <w:pPr>
        <w:spacing w:after="0"/>
        <w:rPr>
          <w:sz w:val="20"/>
          <w:szCs w:val="20"/>
          <w:color w:val="auto"/>
        </w:rPr>
      </w:pPr>
      <w:r>
        <w:rPr>
          <w:rFonts w:ascii="Arial" w:cs="Arial" w:eastAsia="Arial" w:hAnsi="Arial"/>
          <w:sz w:val="11"/>
          <w:szCs w:val="11"/>
          <w:color w:val="auto"/>
        </w:rPr>
        <w:t>(248) 574-9800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(248) 244-4586</w:t>
      </w:r>
    </w:p>
    <w:p>
      <w:pPr>
        <w:spacing w:after="0" w:line="65" w:lineRule="exact"/>
        <w:rPr>
          <w:sz w:val="20"/>
          <w:szCs w:val="20"/>
          <w:color w:val="auto"/>
        </w:rPr>
      </w:pPr>
    </w:p>
    <w:p>
      <w:pPr>
        <w:sectPr>
          <w:pgSz w:w="11900" w:h="16838" w:orient="portrait"/>
          <w:cols w:equalWidth="0" w:num="2">
            <w:col w:w="7280" w:space="720"/>
            <w:col w:w="3360"/>
          </w:cols>
          <w:pgMar w:left="220" w:top="640" w:right="319" w:bottom="1440" w:gutter="0" w:footer="0" w:header="0"/>
          <w:type w:val="continuous"/>
        </w:sectPr>
      </w:pPr>
    </w:p>
    <w:p>
      <w:pPr>
        <w:spacing w:after="0"/>
        <w:rPr>
          <w:sz w:val="20"/>
          <w:szCs w:val="20"/>
          <w:color w:val="auto"/>
        </w:rPr>
      </w:pPr>
      <w:r>
        <w:rPr>
          <w:rFonts w:ascii="Arial" w:cs="Arial" w:eastAsia="Arial" w:hAnsi="Arial"/>
          <w:sz w:val="10"/>
          <w:szCs w:val="10"/>
          <w:color w:val="auto"/>
        </w:rPr>
        <w:t>stehnja@kellyservices.com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james.polehna@kellyservices.com</w:t>
      </w:r>
    </w:p>
    <w:p>
      <w:pPr>
        <w:spacing w:after="0" w:line="200" w:lineRule="exact"/>
        <w:rPr>
          <w:sz w:val="20"/>
          <w:szCs w:val="20"/>
          <w:color w:val="auto"/>
        </w:rPr>
      </w:pPr>
    </w:p>
    <w:p>
      <w:pPr>
        <w:sectPr>
          <w:pgSz w:w="11900" w:h="16838" w:orient="portrait"/>
          <w:cols w:equalWidth="0" w:num="2">
            <w:col w:w="7280" w:space="720"/>
            <w:col w:w="3360"/>
          </w:cols>
          <w:pgMar w:left="220" w:top="6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1360"/>
          </w:cols>
          <w:pgMar w:left="220" w:top="640" w:right="3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57"/>
        </w:trPr>
        <w:tc>
          <w:tcPr>
            <w:tcW w:w="4020" w:type="dxa"/>
            <w:vAlign w:val="bottom"/>
          </w:tcPr>
          <w:p>
            <w:pPr>
              <w:spacing w:after="0"/>
              <w:rPr>
                <w:sz w:val="13"/>
                <w:szCs w:val="13"/>
                <w:color w:val="auto"/>
              </w:rPr>
            </w:pPr>
          </w:p>
        </w:tc>
        <w:tc>
          <w:tcPr>
            <w:tcW w:w="2980" w:type="dxa"/>
            <w:vAlign w:val="bottom"/>
            <w:gridSpan w:val="6"/>
          </w:tcPr>
          <w:p>
            <w:pPr>
              <w:jc w:val="center"/>
              <w:ind w:left="400"/>
              <w:spacing w:after="0"/>
              <w:rPr>
                <w:sz w:val="20"/>
                <w:szCs w:val="20"/>
                <w:color w:val="auto"/>
              </w:rPr>
            </w:pPr>
            <w:r>
              <w:rPr>
                <w:rFonts w:ascii="Arial" w:cs="Arial" w:eastAsia="Arial" w:hAnsi="Arial"/>
                <w:sz w:val="12"/>
                <w:szCs w:val="12"/>
                <w:b w:val="1"/>
                <w:bCs w:val="1"/>
                <w:color w:val="auto"/>
                <w:w w:val="99"/>
              </w:rPr>
              <w:t>KELLY SERVICES, INC. AND SUBSIDIARIES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0"/>
        </w:trPr>
        <w:tc>
          <w:tcPr>
            <w:tcW w:w="4020" w:type="dxa"/>
            <w:vAlign w:val="bottom"/>
          </w:tcPr>
          <w:p>
            <w:pPr>
              <w:spacing w:after="0"/>
              <w:rPr>
                <w:sz w:val="15"/>
                <w:szCs w:val="15"/>
                <w:color w:val="auto"/>
              </w:rPr>
            </w:pPr>
          </w:p>
        </w:tc>
        <w:tc>
          <w:tcPr>
            <w:tcW w:w="3240" w:type="dxa"/>
            <w:vAlign w:val="bottom"/>
            <w:gridSpan w:val="7"/>
          </w:tcPr>
          <w:p>
            <w:pPr>
              <w:jc w:val="center"/>
              <w:ind w:left="120"/>
              <w:spacing w:after="0"/>
              <w:rPr>
                <w:sz w:val="20"/>
                <w:szCs w:val="20"/>
                <w:color w:val="auto"/>
              </w:rPr>
            </w:pPr>
            <w:r>
              <w:rPr>
                <w:rFonts w:ascii="Arial" w:cs="Arial" w:eastAsia="Arial" w:hAnsi="Arial"/>
                <w:sz w:val="12"/>
                <w:szCs w:val="12"/>
                <w:b w:val="1"/>
                <w:bCs w:val="1"/>
                <w:color w:val="auto"/>
                <w:w w:val="99"/>
              </w:rPr>
              <w:t>CONSOLIDATED STATEMENTS OF EARNINGS</w:t>
            </w: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8280" w:type="dxa"/>
            <w:vAlign w:val="bottom"/>
            <w:gridSpan w:val="9"/>
          </w:tcPr>
          <w:p>
            <w:pPr>
              <w:jc w:val="center"/>
              <w:ind w:left="3140"/>
              <w:spacing w:after="0"/>
              <w:rPr>
                <w:sz w:val="20"/>
                <w:szCs w:val="20"/>
                <w:color w:val="auto"/>
              </w:rPr>
            </w:pPr>
            <w:r>
              <w:rPr>
                <w:rFonts w:ascii="Arial" w:cs="Arial" w:eastAsia="Arial" w:hAnsi="Arial"/>
                <w:sz w:val="12"/>
                <w:szCs w:val="12"/>
                <w:b w:val="1"/>
                <w:bCs w:val="1"/>
                <w:color w:val="auto"/>
                <w:w w:val="97"/>
              </w:rPr>
              <w:t>FOR THE 13 WEEKS ENDED DECEMBER 29, 2019 AND DECEMBER 30, 2018</w:t>
            </w: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80" w:type="dxa"/>
            <w:vAlign w:val="bottom"/>
            <w:gridSpan w:val="3"/>
          </w:tcPr>
          <w:p>
            <w:pPr>
              <w:jc w:val="center"/>
              <w:ind w:left="520"/>
              <w:spacing w:after="0"/>
              <w:rPr>
                <w:sz w:val="20"/>
                <w:szCs w:val="20"/>
                <w:color w:val="auto"/>
              </w:rPr>
            </w:pPr>
            <w:r>
              <w:rPr>
                <w:rFonts w:ascii="Arial" w:cs="Arial" w:eastAsia="Arial" w:hAnsi="Arial"/>
                <w:sz w:val="12"/>
                <w:szCs w:val="12"/>
                <w:b w:val="1"/>
                <w:bCs w:val="1"/>
                <w:color w:val="auto"/>
              </w:rPr>
              <w:t>(UNAUDITED)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40" w:type="dxa"/>
            <w:vAlign w:val="bottom"/>
            <w:gridSpan w:val="5"/>
          </w:tcPr>
          <w:p>
            <w:pPr>
              <w:jc w:val="center"/>
              <w:ind w:right="200"/>
              <w:spacing w:after="0"/>
              <w:rPr>
                <w:sz w:val="20"/>
                <w:szCs w:val="20"/>
                <w:color w:val="auto"/>
              </w:rPr>
            </w:pPr>
            <w:r>
              <w:rPr>
                <w:rFonts w:ascii="Arial" w:cs="Arial" w:eastAsia="Arial" w:hAnsi="Arial"/>
                <w:sz w:val="12"/>
                <w:szCs w:val="12"/>
                <w:color w:val="auto"/>
                <w:w w:val="91"/>
              </w:rPr>
              <w:t>(In millions of dollars except per share data)</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4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5"/>
                <w:szCs w:val="15"/>
                <w:color w:val="auto"/>
              </w:rPr>
            </w:pPr>
          </w:p>
        </w:tc>
        <w:tc>
          <w:tcPr>
            <w:tcW w:w="1020" w:type="dxa"/>
            <w:vAlign w:val="bottom"/>
          </w:tcPr>
          <w:p>
            <w:pPr>
              <w:jc w:val="right"/>
              <w:ind w:right="280"/>
              <w:spacing w:after="0"/>
              <w:rPr>
                <w:sz w:val="20"/>
                <w:szCs w:val="20"/>
                <w:color w:val="auto"/>
              </w:rPr>
            </w:pPr>
            <w:r>
              <w:rPr>
                <w:rFonts w:ascii="Arial" w:cs="Arial" w:eastAsia="Arial" w:hAnsi="Arial"/>
                <w:sz w:val="12"/>
                <w:szCs w:val="12"/>
                <w:b w:val="1"/>
                <w:bCs w:val="1"/>
                <w:color w:val="auto"/>
              </w:rPr>
              <w:t>CC %</w:t>
            </w:r>
          </w:p>
        </w:tc>
        <w:tc>
          <w:tcPr>
            <w:tcW w:w="360" w:type="dxa"/>
            <w:vAlign w:val="bottom"/>
          </w:tcPr>
          <w:p>
            <w:pPr>
              <w:spacing w:after="0"/>
              <w:rPr>
                <w:sz w:val="15"/>
                <w:szCs w:val="15"/>
                <w:color w:val="auto"/>
              </w:rPr>
            </w:pPr>
          </w:p>
        </w:tc>
      </w:tr>
      <w:tr>
        <w:trPr>
          <w:trHeight w:val="189"/>
        </w:trPr>
        <w:tc>
          <w:tcPr>
            <w:tcW w:w="4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spacing w:after="0"/>
              <w:rPr>
                <w:sz w:val="16"/>
                <w:szCs w:val="16"/>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Change</w:t>
            </w:r>
          </w:p>
        </w:tc>
        <w:tc>
          <w:tcPr>
            <w:tcW w:w="340" w:type="dxa"/>
            <w:vAlign w:val="bottom"/>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Change</w:t>
            </w:r>
          </w:p>
        </w:tc>
        <w:tc>
          <w:tcPr>
            <w:tcW w:w="360" w:type="dxa"/>
            <w:vAlign w:val="bottom"/>
          </w:tcPr>
          <w:p>
            <w:pPr>
              <w:spacing w:after="0"/>
              <w:rPr>
                <w:sz w:val="16"/>
                <w:szCs w:val="16"/>
                <w:color w:val="auto"/>
              </w:rPr>
            </w:pPr>
          </w:p>
        </w:tc>
      </w:tr>
      <w:tr>
        <w:trPr>
          <w:trHeight w:val="133"/>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 from services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1,337.8</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1,414.7</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(76.9)</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r>
      <w:tr>
        <w:trPr>
          <w:trHeight w:val="135"/>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1,092.7</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1,160.3</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(67.6)</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(5.8)</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245.1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254.4</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w:t>
            </w:r>
          </w:p>
        </w:tc>
        <w:tc>
          <w:tcPr>
            <w:tcW w:w="360" w:type="dxa"/>
            <w:vAlign w:val="bottom"/>
            <w:shd w:val="clear" w:color="auto" w:fill="CCEEFF"/>
          </w:tcPr>
          <w:p>
            <w:pPr>
              <w:spacing w:after="0"/>
              <w:rPr>
                <w:sz w:val="15"/>
                <w:szCs w:val="15"/>
                <w:color w:val="auto"/>
              </w:rPr>
            </w:pPr>
          </w:p>
        </w:tc>
      </w:tr>
      <w:tr>
        <w:trPr>
          <w:trHeight w:val="135"/>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216.2</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221.3</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(5.1)</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w:t>
            </w:r>
          </w:p>
        </w:tc>
        <w:tc>
          <w:tcPr>
            <w:tcW w:w="360" w:type="dxa"/>
            <w:vAlign w:val="bottom"/>
            <w:shd w:val="clear" w:color="auto" w:fill="CCEEFF"/>
          </w:tcPr>
          <w:p>
            <w:pPr>
              <w:spacing w:after="0"/>
              <w:rPr>
                <w:sz w:val="15"/>
                <w:szCs w:val="15"/>
                <w:color w:val="auto"/>
              </w:rPr>
            </w:pPr>
          </w:p>
        </w:tc>
      </w:tr>
      <w:tr>
        <w:trPr>
          <w:trHeight w:val="135"/>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Asset impairment charge</w:t>
            </w:r>
          </w:p>
        </w:tc>
        <w:tc>
          <w:tcPr>
            <w:tcW w:w="64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from operations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13.1</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33.1</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(20.0)</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(60.5)</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35"/>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Gain (loss) on investment in Persol Holdings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0.7</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(83.2)</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83.9</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44"/>
        </w:trPr>
        <w:tc>
          <w:tcPr>
            <w:tcW w:w="4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(110.6)</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33"/>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8"/>
              </w:rPr>
              <w:t>Earnings (loss) before taxes and equity in net earnings (loss) of affiliate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13.7</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(48.9)</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62.6</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35"/>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Income tax (benefit) expense</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(5.9)</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(23.8)</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17.9</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75.2</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(loss) before equity in net earnings (loss) of affiliate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19.6</w:t>
            </w: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(25.1)</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44.7</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35"/>
        </w:trPr>
        <w:tc>
          <w:tcPr>
            <w:tcW w:w="4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20" w:type="dxa"/>
            <w:vAlign w:val="bottom"/>
            <w:shd w:val="clear" w:color="auto" w:fill="CCEEFF"/>
          </w:tcPr>
          <w:p>
            <w:pPr>
              <w:spacing w:after="0"/>
              <w:rPr>
                <w:sz w:val="20"/>
                <w:szCs w:val="20"/>
                <w:color w:val="auto"/>
              </w:rPr>
            </w:pPr>
            <w:r>
              <w:rPr>
                <w:rFonts w:ascii="Arial" w:cs="Arial" w:eastAsia="Arial" w:hAnsi="Arial"/>
                <w:sz w:val="12"/>
                <w:szCs w:val="12"/>
                <w:color w:val="auto"/>
              </w:rPr>
              <w:t>Equity in net earnings (loss) of affiliate</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w:t>
            </w:r>
          </w:p>
        </w:tc>
        <w:tc>
          <w:tcPr>
            <w:tcW w:w="2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(3.8)</w:t>
            </w: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96"/>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earnings (loss)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(23.9)</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40.9</w:t>
            </w:r>
          </w:p>
        </w:tc>
        <w:tc>
          <w:tcPr>
            <w:tcW w:w="4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r>
      <w:tr>
        <w:trPr>
          <w:trHeight w:val="117"/>
        </w:trPr>
        <w:tc>
          <w:tcPr>
            <w:tcW w:w="40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earnings (loss) per share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0.43</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(0.62)</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1.05</w:t>
            </w:r>
          </w:p>
        </w:tc>
        <w:tc>
          <w:tcPr>
            <w:tcW w:w="4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b w:val="1"/>
                <w:bCs w:val="1"/>
                <w:color w:val="auto"/>
              </w:rPr>
              <w:t>Diluted earnings (loss) per share</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0.43</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(0.62)</w:t>
            </w:r>
          </w:p>
        </w:tc>
        <w:tc>
          <w:tcPr>
            <w:tcW w:w="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1.05</w:t>
            </w:r>
          </w:p>
        </w:tc>
        <w:tc>
          <w:tcPr>
            <w:tcW w:w="440" w:type="dxa"/>
            <w:vAlign w:val="bottom"/>
          </w:tcPr>
          <w:p>
            <w:pPr>
              <w:spacing w:after="0"/>
              <w:rPr>
                <w:sz w:val="14"/>
                <w:szCs w:val="14"/>
                <w:color w:val="auto"/>
              </w:rPr>
            </w:pPr>
          </w:p>
        </w:tc>
        <w:tc>
          <w:tcPr>
            <w:tcW w:w="1040" w:type="dxa"/>
            <w:vAlign w:val="bottom"/>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08"/>
        </w:trPr>
        <w:tc>
          <w:tcPr>
            <w:tcW w:w="4020" w:type="dxa"/>
            <w:vAlign w:val="bottom"/>
            <w:tcBorders>
              <w:bottom w:val="single" w:sz="8" w:color="auto"/>
            </w:tcBorders>
            <w:shd w:val="clear" w:color="auto" w:fill="CCEEFF"/>
          </w:tcPr>
          <w:p>
            <w:pPr>
              <w:spacing w:after="0"/>
              <w:rPr>
                <w:sz w:val="9"/>
                <w:szCs w:val="9"/>
                <w:color w:val="auto"/>
              </w:rPr>
            </w:pPr>
          </w:p>
        </w:tc>
        <w:tc>
          <w:tcPr>
            <w:tcW w:w="64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02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r>
      <w:tr>
        <w:trPr>
          <w:trHeight w:val="160"/>
        </w:trPr>
        <w:tc>
          <w:tcPr>
            <w:tcW w:w="4020" w:type="dxa"/>
            <w:vAlign w:val="bottom"/>
          </w:tcPr>
          <w:p>
            <w:pPr>
              <w:spacing w:after="0"/>
              <w:rPr>
                <w:sz w:val="20"/>
                <w:szCs w:val="20"/>
                <w:color w:val="auto"/>
              </w:rPr>
            </w:pPr>
            <w:r>
              <w:rPr>
                <w:rFonts w:ascii="Arial" w:cs="Arial" w:eastAsia="Arial" w:hAnsi="Arial"/>
                <w:sz w:val="12"/>
                <w:szCs w:val="12"/>
                <w:b w:val="1"/>
                <w:bCs w:val="1"/>
                <w:color w:val="auto"/>
              </w:rPr>
              <w:t>STATISTICS:</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81"/>
        </w:trPr>
        <w:tc>
          <w:tcPr>
            <w:tcW w:w="40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color w:val="auto"/>
              </w:rPr>
              <w:t>Staffing fee-based income (included in revenue from services)</w:t>
            </w:r>
          </w:p>
        </w:tc>
        <w:tc>
          <w:tcPr>
            <w:tcW w:w="64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13.4</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16.3</w:t>
            </w:r>
          </w:p>
        </w:tc>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(2.9)</w:t>
            </w:r>
          </w:p>
        </w:tc>
        <w:tc>
          <w:tcPr>
            <w:tcW w:w="1480" w:type="dxa"/>
            <w:vAlign w:val="bottom"/>
            <w:gridSpan w:val="2"/>
          </w:tcPr>
          <w:p>
            <w:pPr>
              <w:jc w:val="right"/>
              <w:ind w:right="40"/>
              <w:spacing w:after="0"/>
              <w:rPr>
                <w:sz w:val="20"/>
                <w:szCs w:val="20"/>
                <w:color w:val="auto"/>
              </w:rPr>
            </w:pPr>
            <w:r>
              <w:rPr>
                <w:rFonts w:ascii="Arial" w:cs="Arial" w:eastAsia="Arial" w:hAnsi="Arial"/>
                <w:sz w:val="12"/>
                <w:szCs w:val="12"/>
                <w:color w:val="auto"/>
              </w:rPr>
              <w:t>(17.7)</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(17.2)</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r>
      <w:tr>
        <w:trPr>
          <w:trHeight w:val="144"/>
        </w:trPr>
        <w:tc>
          <w:tcPr>
            <w:tcW w:w="4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color w:val="auto"/>
              </w:rPr>
              <w:t>Gross profit rate</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18.3</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18.0</w:t>
            </w:r>
          </w:p>
        </w:tc>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0.3</w:t>
            </w:r>
          </w:p>
        </w:tc>
        <w:tc>
          <w:tcPr>
            <w:tcW w:w="1480" w:type="dxa"/>
            <w:vAlign w:val="bottom"/>
            <w:gridSpan w:val="2"/>
          </w:tcPr>
          <w:p>
            <w:pPr>
              <w:jc w:val="right"/>
              <w:ind w:right="1240"/>
              <w:spacing w:after="0"/>
              <w:rPr>
                <w:sz w:val="20"/>
                <w:szCs w:val="20"/>
                <w:color w:val="auto"/>
              </w:rPr>
            </w:pPr>
            <w:r>
              <w:rPr>
                <w:rFonts w:ascii="Arial" w:cs="Arial" w:eastAsia="Arial" w:hAnsi="Arial"/>
                <w:sz w:val="12"/>
                <w:szCs w:val="12"/>
                <w:color w:val="auto"/>
                <w:w w:val="82"/>
              </w:rPr>
              <w:t>pts.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3"/>
        </w:trPr>
        <w:tc>
          <w:tcPr>
            <w:tcW w:w="40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color w:val="auto"/>
              </w:rPr>
              <w:t>Conversion rate</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5.3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13.0</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(7.7)</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color w:val="auto"/>
              </w:rPr>
              <w:t>% Return:</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9"/>
        </w:trPr>
        <w:tc>
          <w:tcPr>
            <w:tcW w:w="4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Earnings from operations</w:t>
            </w: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(1.3)</w:t>
            </w: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71"/>
        </w:trPr>
        <w:tc>
          <w:tcPr>
            <w:tcW w:w="4020" w:type="dxa"/>
            <w:vAlign w:val="bottom"/>
          </w:tcPr>
          <w:p>
            <w:pPr>
              <w:ind w:left="80"/>
              <w:spacing w:after="0"/>
              <w:rPr>
                <w:sz w:val="20"/>
                <w:szCs w:val="20"/>
                <w:color w:val="auto"/>
              </w:rPr>
            </w:pPr>
            <w:r>
              <w:rPr>
                <w:rFonts w:ascii="Arial" w:cs="Arial" w:eastAsia="Arial" w:hAnsi="Arial"/>
                <w:sz w:val="12"/>
                <w:szCs w:val="12"/>
                <w:color w:val="auto"/>
              </w:rPr>
              <w:t>Net earnings (loss)</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40"/>
              <w:spacing w:after="0"/>
              <w:rPr>
                <w:sz w:val="20"/>
                <w:szCs w:val="20"/>
                <w:color w:val="auto"/>
              </w:rPr>
            </w:pPr>
            <w:r>
              <w:rPr>
                <w:rFonts w:ascii="Arial" w:cs="Arial" w:eastAsia="Arial" w:hAnsi="Arial"/>
                <w:sz w:val="12"/>
                <w:szCs w:val="12"/>
                <w:color w:val="auto"/>
              </w:rPr>
              <w:t>(1.7)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3.0</w:t>
            </w: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64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(43.2)</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48.8</w:t>
            </w:r>
          </w:p>
        </w:tc>
        <w:tc>
          <w:tcPr>
            <w:tcW w:w="2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(92.0)</w:t>
            </w:r>
          </w:p>
        </w:tc>
        <w:tc>
          <w:tcPr>
            <w:tcW w:w="1480" w:type="dxa"/>
            <w:vAlign w:val="bottom"/>
            <w:gridSpan w:val="2"/>
          </w:tcPr>
          <w:p>
            <w:pPr>
              <w:jc w:val="right"/>
              <w:ind w:right="1240"/>
              <w:spacing w:after="0"/>
              <w:rPr>
                <w:sz w:val="20"/>
                <w:szCs w:val="20"/>
                <w:color w:val="auto"/>
              </w:rPr>
            </w:pPr>
            <w:r>
              <w:rPr>
                <w:rFonts w:ascii="Arial" w:cs="Arial" w:eastAsia="Arial" w:hAnsi="Arial"/>
                <w:sz w:val="12"/>
                <w:szCs w:val="12"/>
                <w:color w:val="auto"/>
                <w:w w:val="82"/>
              </w:rPr>
              <w:t>pts.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20" w:type="dxa"/>
            <w:vAlign w:val="bottom"/>
          </w:tcPr>
          <w:p>
            <w:pPr>
              <w:spacing w:after="0"/>
              <w:rPr>
                <w:sz w:val="20"/>
                <w:szCs w:val="20"/>
                <w:color w:val="auto"/>
              </w:rPr>
            </w:pPr>
            <w:r>
              <w:rPr>
                <w:rFonts w:ascii="Arial" w:cs="Arial" w:eastAsia="Arial" w:hAnsi="Arial"/>
                <w:sz w:val="12"/>
                <w:szCs w:val="12"/>
                <w:color w:val="auto"/>
              </w:rPr>
              <w:t>Average number of shares outstanding (millions):</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9"/>
        </w:trPr>
        <w:tc>
          <w:tcPr>
            <w:tcW w:w="40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w:t>
            </w: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39.1</w:t>
            </w: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38.9</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62"/>
        </w:trPr>
        <w:tc>
          <w:tcPr>
            <w:tcW w:w="4020" w:type="dxa"/>
            <w:vAlign w:val="bottom"/>
          </w:tcPr>
          <w:p>
            <w:pPr>
              <w:ind w:left="160"/>
              <w:spacing w:after="0"/>
              <w:rPr>
                <w:sz w:val="20"/>
                <w:szCs w:val="20"/>
                <w:color w:val="auto"/>
              </w:rPr>
            </w:pPr>
            <w:r>
              <w:rPr>
                <w:rFonts w:ascii="Arial" w:cs="Arial" w:eastAsia="Arial" w:hAnsi="Arial"/>
                <w:sz w:val="12"/>
                <w:szCs w:val="12"/>
                <w:color w:val="auto"/>
              </w:rPr>
              <w:t>Diluted</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39.3</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80"/>
              <w:spacing w:after="0"/>
              <w:rPr>
                <w:sz w:val="20"/>
                <w:szCs w:val="20"/>
                <w:color w:val="auto"/>
              </w:rPr>
            </w:pPr>
            <w:r>
              <w:rPr>
                <w:rFonts w:ascii="Arial" w:cs="Arial" w:eastAsia="Arial" w:hAnsi="Arial"/>
                <w:sz w:val="12"/>
                <w:szCs w:val="12"/>
                <w:color w:val="auto"/>
              </w:rPr>
              <w:t>38.9</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85"/>
        </w:trPr>
        <w:tc>
          <w:tcPr>
            <w:tcW w:w="4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jc w:val="center"/>
              <w:ind w:right="120"/>
              <w:spacing w:after="0"/>
              <w:rPr>
                <w:sz w:val="20"/>
                <w:szCs w:val="20"/>
                <w:color w:val="auto"/>
              </w:rPr>
            </w:pPr>
            <w:r>
              <w:rPr>
                <w:rFonts w:ascii="Arial" w:cs="Arial" w:eastAsia="Arial" w:hAnsi="Arial"/>
                <w:sz w:val="12"/>
                <w:szCs w:val="12"/>
                <w:color w:val="auto"/>
                <w:w w:val="89"/>
              </w:rPr>
              <w:t>4</w:t>
            </w: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80"/>
          </w:cols>
          <w:pgMar w:left="220" w:top="433"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000" w:type="dxa"/>
            <w:vAlign w:val="bottom"/>
          </w:tcPr>
          <w:p>
            <w:pPr>
              <w:spacing w:after="0"/>
              <w:rPr>
                <w:sz w:val="13"/>
                <w:szCs w:val="13"/>
                <w:color w:val="auto"/>
              </w:rPr>
            </w:pPr>
          </w:p>
        </w:tc>
        <w:tc>
          <w:tcPr>
            <w:tcW w:w="3240" w:type="dxa"/>
            <w:vAlign w:val="bottom"/>
            <w:gridSpan w:val="6"/>
          </w:tcPr>
          <w:p>
            <w:pPr>
              <w:jc w:val="center"/>
              <w:ind w:left="180"/>
              <w:spacing w:after="0"/>
              <w:rPr>
                <w:sz w:val="20"/>
                <w:szCs w:val="20"/>
                <w:color w:val="auto"/>
              </w:rPr>
            </w:pPr>
            <w:r>
              <w:rPr>
                <w:rFonts w:ascii="Arial" w:cs="Arial" w:eastAsia="Arial" w:hAnsi="Arial"/>
                <w:sz w:val="12"/>
                <w:szCs w:val="12"/>
                <w:b w:val="1"/>
                <w:bCs w:val="1"/>
                <w:color w:val="auto"/>
                <w:w w:val="99"/>
              </w:rPr>
              <w:t>KELLY SERVICES, INC. AND SUBSIDIARIES</w:t>
            </w: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80"/>
        </w:trPr>
        <w:tc>
          <w:tcPr>
            <w:tcW w:w="4000" w:type="dxa"/>
            <w:vAlign w:val="bottom"/>
          </w:tcPr>
          <w:p>
            <w:pPr>
              <w:spacing w:after="0"/>
              <w:rPr>
                <w:sz w:val="15"/>
                <w:szCs w:val="15"/>
                <w:color w:val="auto"/>
              </w:rPr>
            </w:pPr>
          </w:p>
        </w:tc>
        <w:tc>
          <w:tcPr>
            <w:tcW w:w="3240" w:type="dxa"/>
            <w:vAlign w:val="bottom"/>
            <w:gridSpan w:val="6"/>
          </w:tcPr>
          <w:p>
            <w:pPr>
              <w:jc w:val="center"/>
              <w:ind w:left="160"/>
              <w:spacing w:after="0"/>
              <w:rPr>
                <w:sz w:val="20"/>
                <w:szCs w:val="20"/>
                <w:color w:val="auto"/>
              </w:rPr>
            </w:pPr>
            <w:r>
              <w:rPr>
                <w:rFonts w:ascii="Arial" w:cs="Arial" w:eastAsia="Arial" w:hAnsi="Arial"/>
                <w:sz w:val="12"/>
                <w:szCs w:val="12"/>
                <w:b w:val="1"/>
                <w:bCs w:val="1"/>
                <w:color w:val="auto"/>
                <w:w w:val="99"/>
              </w:rPr>
              <w:t>CONSOLIDATED STATEMENTS OF EARNINGS</w:t>
            </w: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8260" w:type="dxa"/>
            <w:vAlign w:val="bottom"/>
            <w:gridSpan w:val="8"/>
          </w:tcPr>
          <w:p>
            <w:pPr>
              <w:jc w:val="center"/>
              <w:ind w:left="3160"/>
              <w:spacing w:after="0"/>
              <w:rPr>
                <w:sz w:val="20"/>
                <w:szCs w:val="20"/>
                <w:color w:val="auto"/>
              </w:rPr>
            </w:pPr>
            <w:r>
              <w:rPr>
                <w:rFonts w:ascii="Arial" w:cs="Arial" w:eastAsia="Arial" w:hAnsi="Arial"/>
                <w:sz w:val="12"/>
                <w:szCs w:val="12"/>
                <w:b w:val="1"/>
                <w:bCs w:val="1"/>
                <w:color w:val="auto"/>
                <w:w w:val="97"/>
              </w:rPr>
              <w:t>FOR THE 52 WEEKS ENDED DECEMBER 29, 2019 AND DECEMBER 30, 2018</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4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0" w:type="dxa"/>
            <w:vAlign w:val="bottom"/>
            <w:gridSpan w:val="3"/>
          </w:tcPr>
          <w:p>
            <w:pPr>
              <w:jc w:val="center"/>
              <w:ind w:left="540"/>
              <w:spacing w:after="0"/>
              <w:rPr>
                <w:sz w:val="20"/>
                <w:szCs w:val="20"/>
                <w:color w:val="auto"/>
              </w:rPr>
            </w:pPr>
            <w:r>
              <w:rPr>
                <w:rFonts w:ascii="Arial" w:cs="Arial" w:eastAsia="Arial" w:hAnsi="Arial"/>
                <w:sz w:val="12"/>
                <w:szCs w:val="12"/>
                <w:b w:val="1"/>
                <w:bCs w:val="1"/>
                <w:color w:val="auto"/>
              </w:rPr>
              <w:t>(UNAUDITED)</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4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320" w:type="dxa"/>
            <w:vAlign w:val="bottom"/>
            <w:gridSpan w:val="4"/>
          </w:tcPr>
          <w:p>
            <w:pPr>
              <w:jc w:val="center"/>
              <w:ind w:right="80"/>
              <w:spacing w:after="0"/>
              <w:rPr>
                <w:sz w:val="20"/>
                <w:szCs w:val="20"/>
                <w:color w:val="auto"/>
              </w:rPr>
            </w:pPr>
            <w:r>
              <w:rPr>
                <w:rFonts w:ascii="Arial" w:cs="Arial" w:eastAsia="Arial" w:hAnsi="Arial"/>
                <w:sz w:val="12"/>
                <w:szCs w:val="12"/>
                <w:color w:val="auto"/>
                <w:w w:val="91"/>
              </w:rPr>
              <w:t>(In millions of dollars except per share data)</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4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5"/>
                <w:szCs w:val="15"/>
                <w:color w:val="auto"/>
              </w:rPr>
            </w:pPr>
          </w:p>
        </w:tc>
        <w:tc>
          <w:tcPr>
            <w:tcW w:w="1020" w:type="dxa"/>
            <w:vAlign w:val="bottom"/>
          </w:tcPr>
          <w:p>
            <w:pPr>
              <w:jc w:val="right"/>
              <w:ind w:right="280"/>
              <w:spacing w:after="0"/>
              <w:rPr>
                <w:sz w:val="20"/>
                <w:szCs w:val="20"/>
                <w:color w:val="auto"/>
              </w:rPr>
            </w:pPr>
            <w:r>
              <w:rPr>
                <w:rFonts w:ascii="Arial" w:cs="Arial" w:eastAsia="Arial" w:hAnsi="Arial"/>
                <w:sz w:val="12"/>
                <w:szCs w:val="12"/>
                <w:b w:val="1"/>
                <w:bCs w:val="1"/>
                <w:color w:val="auto"/>
              </w:rPr>
              <w:t>CC %</w:t>
            </w:r>
          </w:p>
        </w:tc>
        <w:tc>
          <w:tcPr>
            <w:tcW w:w="360" w:type="dxa"/>
            <w:vAlign w:val="bottom"/>
          </w:tcPr>
          <w:p>
            <w:pPr>
              <w:spacing w:after="0"/>
              <w:rPr>
                <w:sz w:val="15"/>
                <w:szCs w:val="15"/>
                <w:color w:val="auto"/>
              </w:rPr>
            </w:pPr>
          </w:p>
        </w:tc>
      </w:tr>
      <w:tr>
        <w:trPr>
          <w:trHeight w:val="189"/>
        </w:trPr>
        <w:tc>
          <w:tcPr>
            <w:tcW w:w="4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2018</w:t>
            </w:r>
          </w:p>
        </w:tc>
        <w:tc>
          <w:tcPr>
            <w:tcW w:w="280" w:type="dxa"/>
            <w:vAlign w:val="bottom"/>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Change</w:t>
            </w:r>
          </w:p>
        </w:tc>
        <w:tc>
          <w:tcPr>
            <w:tcW w:w="460" w:type="dxa"/>
            <w:vAlign w:val="bottom"/>
          </w:tcPr>
          <w:p>
            <w:pPr>
              <w:spacing w:after="0"/>
              <w:rPr>
                <w:sz w:val="16"/>
                <w:szCs w:val="16"/>
                <w:color w:val="auto"/>
              </w:rPr>
            </w:pPr>
          </w:p>
        </w:tc>
        <w:tc>
          <w:tcPr>
            <w:tcW w:w="10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Change</w:t>
            </w:r>
          </w:p>
        </w:tc>
        <w:tc>
          <w:tcPr>
            <w:tcW w:w="340" w:type="dxa"/>
            <w:vAlign w:val="bottom"/>
          </w:tcPr>
          <w:p>
            <w:pPr>
              <w:spacing w:after="0"/>
              <w:rPr>
                <w:sz w:val="16"/>
                <w:szCs w:val="16"/>
                <w:color w:val="auto"/>
              </w:rPr>
            </w:pPr>
          </w:p>
        </w:tc>
        <w:tc>
          <w:tcPr>
            <w:tcW w:w="102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Change</w:t>
            </w:r>
          </w:p>
        </w:tc>
        <w:tc>
          <w:tcPr>
            <w:tcW w:w="360" w:type="dxa"/>
            <w:vAlign w:val="bottom"/>
          </w:tcPr>
          <w:p>
            <w:pPr>
              <w:spacing w:after="0"/>
              <w:rPr>
                <w:sz w:val="16"/>
                <w:szCs w:val="16"/>
                <w:color w:val="auto"/>
              </w:rPr>
            </w:pPr>
          </w:p>
        </w:tc>
      </w:tr>
      <w:tr>
        <w:trPr>
          <w:trHeight w:val="133"/>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Revenue from services</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5,355.6</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5,513.9</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(158.3)</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(1.9)</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74"/>
              </w:rPr>
              <w:t>%</w:t>
            </w:r>
          </w:p>
        </w:tc>
      </w:tr>
      <w:tr>
        <w:trPr>
          <w:trHeight w:val="135"/>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Cost of services</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4,387.2</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4,541.7</w:t>
            </w:r>
          </w:p>
        </w:tc>
        <w:tc>
          <w:tcPr>
            <w:tcW w:w="2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(154.5)</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(3.4)</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Gross profit</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968.4</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972.2</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(3.8)</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(0.4)</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w:t>
            </w:r>
          </w:p>
        </w:tc>
        <w:tc>
          <w:tcPr>
            <w:tcW w:w="360" w:type="dxa"/>
            <w:vAlign w:val="bottom"/>
            <w:shd w:val="clear" w:color="auto" w:fill="CCEEFF"/>
          </w:tcPr>
          <w:p>
            <w:pPr>
              <w:spacing w:after="0"/>
              <w:rPr>
                <w:sz w:val="15"/>
                <w:szCs w:val="15"/>
                <w:color w:val="auto"/>
              </w:rPr>
            </w:pPr>
          </w:p>
        </w:tc>
      </w:tr>
      <w:tr>
        <w:trPr>
          <w:trHeight w:val="135"/>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Selling, general and administrative expenses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883.1</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884.8</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(0.2)</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0.7</w:t>
            </w:r>
          </w:p>
        </w:tc>
        <w:tc>
          <w:tcPr>
            <w:tcW w:w="360" w:type="dxa"/>
            <w:vAlign w:val="bottom"/>
            <w:shd w:val="clear" w:color="auto" w:fill="CCEEFF"/>
          </w:tcPr>
          <w:p>
            <w:pPr>
              <w:spacing w:after="0"/>
              <w:rPr>
                <w:sz w:val="15"/>
                <w:szCs w:val="15"/>
                <w:color w:val="auto"/>
              </w:rPr>
            </w:pPr>
          </w:p>
        </w:tc>
      </w:tr>
      <w:tr>
        <w:trPr>
          <w:trHeight w:val="135"/>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Gain on sale of assets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(12.3)</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(12.3)</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35"/>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Asset impairment charge</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Earnings from operations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81.8</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87.4</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(5.6)</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(6.5)</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35"/>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Gain (loss) on investment in Persol Holdings</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35.8</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(96.2)</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132.0</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44"/>
        </w:trPr>
        <w:tc>
          <w:tcPr>
            <w:tcW w:w="4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71"/>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(0.6)</w:t>
            </w:r>
          </w:p>
        </w:tc>
        <w:tc>
          <w:tcPr>
            <w:tcW w:w="2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(0.6)</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(86.9)</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w w:val="97"/>
              </w:rPr>
              <w:t>Earnings (loss) before taxes and equity in net earnings (loss) of affiliate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116.4</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(9.4)</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125.8</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35"/>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71"/>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0.4</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(27.1)</w:t>
            </w:r>
          </w:p>
        </w:tc>
        <w:tc>
          <w:tcPr>
            <w:tcW w:w="2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27.5</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101.3</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33"/>
        </w:trPr>
        <w:tc>
          <w:tcPr>
            <w:tcW w:w="40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earnings (loss) before equity in net earnings (loss) of affiliate</w:t>
            </w: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116.0</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17.7</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98.3</w:t>
            </w:r>
          </w:p>
        </w:tc>
        <w:tc>
          <w:tcPr>
            <w:tcW w:w="4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80"/>
        </w:trPr>
        <w:tc>
          <w:tcPr>
            <w:tcW w:w="4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1"/>
        </w:trPr>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Equity in net earnings (loss) of affiliate</w:t>
            </w:r>
          </w:p>
        </w:tc>
        <w:tc>
          <w:tcPr>
            <w:tcW w:w="64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(3.6)</w:t>
            </w:r>
          </w:p>
        </w:tc>
        <w:tc>
          <w:tcPr>
            <w:tcW w:w="2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5.2</w:t>
            </w:r>
          </w:p>
        </w:tc>
        <w:tc>
          <w:tcPr>
            <w:tcW w:w="280" w:type="dxa"/>
            <w:vAlign w:val="bottom"/>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(8.8)</w:t>
            </w:r>
          </w:p>
        </w:tc>
        <w:tc>
          <w:tcPr>
            <w:tcW w:w="46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124"/>
        </w:trPr>
        <w:tc>
          <w:tcPr>
            <w:tcW w:w="4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96"/>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Net earnings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22.9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89.5</w:t>
            </w:r>
          </w:p>
        </w:tc>
        <w:tc>
          <w:tcPr>
            <w:tcW w:w="1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390.2</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r>
      <w:tr>
        <w:trPr>
          <w:trHeight w:val="117"/>
        </w:trPr>
        <w:tc>
          <w:tcPr>
            <w:tcW w:w="40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80"/>
        </w:trPr>
        <w:tc>
          <w:tcPr>
            <w:tcW w:w="4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Basic earnings per share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2.85</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0.59</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2.26</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383.1</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b w:val="1"/>
                <w:bCs w:val="1"/>
                <w:color w:val="auto"/>
              </w:rPr>
              <w:t>Diluted earnings per share</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2.84</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0.58</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2.26</w:t>
            </w:r>
          </w:p>
        </w:tc>
        <w:tc>
          <w:tcPr>
            <w:tcW w:w="1500" w:type="dxa"/>
            <w:vAlign w:val="bottom"/>
            <w:gridSpan w:val="2"/>
          </w:tcPr>
          <w:p>
            <w:pPr>
              <w:jc w:val="right"/>
              <w:ind w:right="80"/>
              <w:spacing w:after="0"/>
              <w:rPr>
                <w:sz w:val="20"/>
                <w:szCs w:val="20"/>
                <w:color w:val="auto"/>
              </w:rPr>
            </w:pPr>
            <w:r>
              <w:rPr>
                <w:rFonts w:ascii="Arial" w:cs="Arial" w:eastAsia="Arial" w:hAnsi="Arial"/>
                <w:sz w:val="12"/>
                <w:szCs w:val="12"/>
                <w:color w:val="auto"/>
              </w:rPr>
              <w:t>389.7</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r>
      <w:tr>
        <w:trPr>
          <w:trHeight w:val="160"/>
        </w:trPr>
        <w:tc>
          <w:tcPr>
            <w:tcW w:w="4000" w:type="dxa"/>
            <w:vAlign w:val="bottom"/>
          </w:tcPr>
          <w:p>
            <w:pPr>
              <w:spacing w:after="0"/>
              <w:rPr>
                <w:sz w:val="20"/>
                <w:szCs w:val="20"/>
                <w:color w:val="auto"/>
              </w:rPr>
            </w:pPr>
            <w:r>
              <w:rPr>
                <w:rFonts w:ascii="Arial" w:cs="Arial" w:eastAsia="Arial" w:hAnsi="Arial"/>
                <w:sz w:val="12"/>
                <w:szCs w:val="12"/>
                <w:b w:val="1"/>
                <w:bCs w:val="1"/>
                <w:color w:val="auto"/>
              </w:rPr>
              <w:t>STATISTICS:</w:t>
            </w:r>
          </w:p>
        </w:tc>
        <w:tc>
          <w:tcPr>
            <w:tcW w:w="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144"/>
        </w:trPr>
        <w:tc>
          <w:tcPr>
            <w:tcW w:w="4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color w:val="auto"/>
              </w:rPr>
              <w:t>Staffing fee-based income (included in revenue from services)</w:t>
            </w:r>
          </w:p>
        </w:tc>
        <w:tc>
          <w:tcPr>
            <w:tcW w:w="6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60.1</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68.6</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(8.5)</w:t>
            </w:r>
          </w:p>
        </w:tc>
        <w:tc>
          <w:tcPr>
            <w:tcW w:w="1500" w:type="dxa"/>
            <w:vAlign w:val="bottom"/>
            <w:gridSpan w:val="2"/>
          </w:tcPr>
          <w:p>
            <w:pPr>
              <w:jc w:val="right"/>
              <w:ind w:right="40"/>
              <w:spacing w:after="0"/>
              <w:rPr>
                <w:sz w:val="20"/>
                <w:szCs w:val="20"/>
                <w:color w:val="auto"/>
              </w:rPr>
            </w:pPr>
            <w:r>
              <w:rPr>
                <w:rFonts w:ascii="Arial" w:cs="Arial" w:eastAsia="Arial" w:hAnsi="Arial"/>
                <w:sz w:val="12"/>
                <w:szCs w:val="12"/>
                <w:color w:val="auto"/>
              </w:rPr>
              <w:t>(12.5)</w:t>
            </w:r>
          </w:p>
        </w:tc>
        <w:tc>
          <w:tcPr>
            <w:tcW w:w="340" w:type="dxa"/>
            <w:vAlign w:val="bottom"/>
          </w:tcPr>
          <w:p>
            <w:pPr>
              <w:jc w:val="right"/>
              <w:ind w:right="160"/>
              <w:spacing w:after="0"/>
              <w:rPr>
                <w:sz w:val="20"/>
                <w:szCs w:val="20"/>
                <w:color w:val="auto"/>
              </w:rPr>
            </w:pPr>
            <w:r>
              <w:rPr>
                <w:rFonts w:ascii="Arial" w:cs="Arial" w:eastAsia="Arial" w:hAnsi="Arial"/>
                <w:sz w:val="12"/>
                <w:szCs w:val="12"/>
                <w:color w:val="auto"/>
                <w:w w:val="93"/>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(10.6)</w:t>
            </w:r>
          </w:p>
        </w:tc>
        <w:tc>
          <w:tcPr>
            <w:tcW w:w="360" w:type="dxa"/>
            <w:vAlign w:val="bottom"/>
          </w:tcPr>
          <w:p>
            <w:pPr>
              <w:jc w:val="right"/>
              <w:ind w:right="200"/>
              <w:spacing w:after="0"/>
              <w:rPr>
                <w:sz w:val="20"/>
                <w:szCs w:val="20"/>
                <w:color w:val="auto"/>
              </w:rPr>
            </w:pPr>
            <w:r>
              <w:rPr>
                <w:rFonts w:ascii="Arial" w:cs="Arial" w:eastAsia="Arial" w:hAnsi="Arial"/>
                <w:sz w:val="12"/>
                <w:szCs w:val="12"/>
                <w:color w:val="auto"/>
                <w:w w:val="74"/>
              </w:rPr>
              <w:t>%</w:t>
            </w:r>
          </w:p>
        </w:tc>
      </w:tr>
      <w:tr>
        <w:trPr>
          <w:trHeight w:val="144"/>
        </w:trPr>
        <w:tc>
          <w:tcPr>
            <w:tcW w:w="4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color w:val="auto"/>
              </w:rPr>
              <w:t>Gross profit rate</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18.1</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17.6</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0.5</w:t>
            </w:r>
          </w:p>
        </w:tc>
        <w:tc>
          <w:tcPr>
            <w:tcW w:w="1500" w:type="dxa"/>
            <w:vAlign w:val="bottom"/>
            <w:gridSpan w:val="2"/>
          </w:tcPr>
          <w:p>
            <w:pPr>
              <w:jc w:val="right"/>
              <w:ind w:right="1260"/>
              <w:spacing w:after="0"/>
              <w:rPr>
                <w:sz w:val="20"/>
                <w:szCs w:val="20"/>
                <w:color w:val="auto"/>
              </w:rPr>
            </w:pPr>
            <w:r>
              <w:rPr>
                <w:rFonts w:ascii="Arial" w:cs="Arial" w:eastAsia="Arial" w:hAnsi="Arial"/>
                <w:sz w:val="12"/>
                <w:szCs w:val="12"/>
                <w:color w:val="auto"/>
                <w:w w:val="82"/>
              </w:rPr>
              <w:t>pts.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53"/>
        </w:trPr>
        <w:tc>
          <w:tcPr>
            <w:tcW w:w="40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color w:val="auto"/>
              </w:rPr>
              <w:t>Conversion rate</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8.4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9.0</w:t>
            </w:r>
          </w:p>
        </w:tc>
        <w:tc>
          <w:tcPr>
            <w:tcW w:w="28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(0.6)</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color w:val="auto"/>
              </w:rPr>
              <w:t>% Return:</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9"/>
        </w:trPr>
        <w:tc>
          <w:tcPr>
            <w:tcW w:w="4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Earnings from operations</w:t>
            </w: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71"/>
        </w:trPr>
        <w:tc>
          <w:tcPr>
            <w:tcW w:w="4000" w:type="dxa"/>
            <w:vAlign w:val="bottom"/>
          </w:tcPr>
          <w:p>
            <w:pPr>
              <w:ind w:left="80"/>
              <w:spacing w:after="0"/>
              <w:rPr>
                <w:sz w:val="20"/>
                <w:szCs w:val="20"/>
                <w:color w:val="auto"/>
              </w:rPr>
            </w:pPr>
            <w:r>
              <w:rPr>
                <w:rFonts w:ascii="Arial" w:cs="Arial" w:eastAsia="Arial" w:hAnsi="Arial"/>
                <w:sz w:val="12"/>
                <w:szCs w:val="12"/>
                <w:color w:val="auto"/>
              </w:rPr>
              <w:t>Net earnings</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2.1</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0.4</w:t>
            </w:r>
          </w:p>
        </w:tc>
        <w:tc>
          <w:tcPr>
            <w:tcW w:w="28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1.7</w:t>
            </w: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0.3</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289.2</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(288.9)</w:t>
            </w:r>
          </w:p>
        </w:tc>
        <w:tc>
          <w:tcPr>
            <w:tcW w:w="1500" w:type="dxa"/>
            <w:vAlign w:val="bottom"/>
            <w:gridSpan w:val="2"/>
          </w:tcPr>
          <w:p>
            <w:pPr>
              <w:jc w:val="right"/>
              <w:ind w:right="1260"/>
              <w:spacing w:after="0"/>
              <w:rPr>
                <w:sz w:val="20"/>
                <w:szCs w:val="20"/>
                <w:color w:val="auto"/>
              </w:rPr>
            </w:pPr>
            <w:r>
              <w:rPr>
                <w:rFonts w:ascii="Arial" w:cs="Arial" w:eastAsia="Arial" w:hAnsi="Arial"/>
                <w:sz w:val="12"/>
                <w:szCs w:val="12"/>
                <w:color w:val="auto"/>
                <w:w w:val="82"/>
              </w:rPr>
              <w:t>pts.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44"/>
        </w:trPr>
        <w:tc>
          <w:tcPr>
            <w:tcW w:w="40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71"/>
        </w:trPr>
        <w:tc>
          <w:tcPr>
            <w:tcW w:w="4000" w:type="dxa"/>
            <w:vAlign w:val="bottom"/>
          </w:tcPr>
          <w:p>
            <w:pPr>
              <w:spacing w:after="0"/>
              <w:rPr>
                <w:sz w:val="20"/>
                <w:szCs w:val="20"/>
                <w:color w:val="auto"/>
              </w:rPr>
            </w:pPr>
            <w:r>
              <w:rPr>
                <w:rFonts w:ascii="Arial" w:cs="Arial" w:eastAsia="Arial" w:hAnsi="Arial"/>
                <w:sz w:val="12"/>
                <w:szCs w:val="12"/>
                <w:color w:val="auto"/>
              </w:rPr>
              <w:t>Average number of shares outstanding (millions):</w:t>
            </w: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89"/>
        </w:trPr>
        <w:tc>
          <w:tcPr>
            <w:tcW w:w="400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w:t>
            </w:r>
          </w:p>
        </w:tc>
        <w:tc>
          <w:tcPr>
            <w:tcW w:w="6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39.1</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38.8</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r>
      <w:tr>
        <w:trPr>
          <w:trHeight w:val="162"/>
        </w:trPr>
        <w:tc>
          <w:tcPr>
            <w:tcW w:w="4000" w:type="dxa"/>
            <w:vAlign w:val="bottom"/>
          </w:tcPr>
          <w:p>
            <w:pPr>
              <w:ind w:left="160"/>
              <w:spacing w:after="0"/>
              <w:rPr>
                <w:sz w:val="20"/>
                <w:szCs w:val="20"/>
                <w:color w:val="auto"/>
              </w:rPr>
            </w:pPr>
            <w:r>
              <w:rPr>
                <w:rFonts w:ascii="Arial" w:cs="Arial" w:eastAsia="Arial" w:hAnsi="Arial"/>
                <w:sz w:val="12"/>
                <w:szCs w:val="12"/>
                <w:color w:val="auto"/>
              </w:rPr>
              <w:t>Diluted</w:t>
            </w:r>
          </w:p>
        </w:tc>
        <w:tc>
          <w:tcPr>
            <w:tcW w:w="640" w:type="dxa"/>
            <w:vAlign w:val="bottom"/>
          </w:tcPr>
          <w:p>
            <w:pPr>
              <w:spacing w:after="0"/>
              <w:rPr>
                <w:sz w:val="14"/>
                <w:szCs w:val="14"/>
                <w:color w:val="auto"/>
              </w:rPr>
            </w:pPr>
          </w:p>
        </w:tc>
        <w:tc>
          <w:tcPr>
            <w:tcW w:w="1020" w:type="dxa"/>
            <w:vAlign w:val="bottom"/>
          </w:tcPr>
          <w:p>
            <w:pPr>
              <w:jc w:val="right"/>
              <w:ind w:right="80"/>
              <w:spacing w:after="0"/>
              <w:rPr>
                <w:sz w:val="20"/>
                <w:szCs w:val="20"/>
                <w:color w:val="auto"/>
              </w:rPr>
            </w:pPr>
            <w:r>
              <w:rPr>
                <w:rFonts w:ascii="Arial" w:cs="Arial" w:eastAsia="Arial" w:hAnsi="Arial"/>
                <w:sz w:val="12"/>
                <w:szCs w:val="12"/>
                <w:color w:val="auto"/>
              </w:rPr>
              <w:t>39.2</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80"/>
              <w:spacing w:after="0"/>
              <w:rPr>
                <w:sz w:val="20"/>
                <w:szCs w:val="20"/>
                <w:color w:val="auto"/>
              </w:rPr>
            </w:pPr>
            <w:r>
              <w:rPr>
                <w:rFonts w:ascii="Arial" w:cs="Arial" w:eastAsia="Arial" w:hAnsi="Arial"/>
                <w:sz w:val="12"/>
                <w:szCs w:val="12"/>
                <w:color w:val="auto"/>
              </w:rPr>
              <w:t>39.1</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85"/>
        </w:trPr>
        <w:tc>
          <w:tcPr>
            <w:tcW w:w="4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jc w:val="center"/>
              <w:ind w:right="80"/>
              <w:spacing w:after="0"/>
              <w:rPr>
                <w:sz w:val="20"/>
                <w:szCs w:val="20"/>
                <w:color w:val="auto"/>
              </w:rPr>
            </w:pPr>
            <w:r>
              <w:rPr>
                <w:rFonts w:ascii="Arial" w:cs="Arial" w:eastAsia="Arial" w:hAnsi="Arial"/>
                <w:sz w:val="12"/>
                <w:szCs w:val="12"/>
                <w:color w:val="auto"/>
                <w:w w:val="89"/>
              </w:rPr>
              <w:t>5</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80"/>
          </w:cols>
          <w:pgMar w:left="220" w:top="433" w:right="19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RESULTS OF OPERATIONS BY SEGMENT</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of dollars)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b w:val="1"/>
                <w:bCs w:val="1"/>
                <w:color w:val="auto"/>
                <w:w w:val="96"/>
              </w:rPr>
              <w:t>Fourth Quarter</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286"/>
        </w:trPr>
        <w:tc>
          <w:tcPr>
            <w:tcW w:w="4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spacing w:after="0"/>
              <w:rPr>
                <w:sz w:val="24"/>
                <w:szCs w:val="24"/>
                <w:color w:val="auto"/>
              </w:rPr>
            </w:pPr>
          </w:p>
        </w:tc>
        <w:tc>
          <w:tcPr>
            <w:tcW w:w="1060" w:type="dxa"/>
            <w:vAlign w:val="bottom"/>
          </w:tcPr>
          <w:p>
            <w:pPr>
              <w:jc w:val="right"/>
              <w:ind w:right="300"/>
              <w:spacing w:after="0"/>
              <w:rPr>
                <w:sz w:val="20"/>
                <w:szCs w:val="20"/>
                <w:color w:val="auto"/>
              </w:rPr>
            </w:pPr>
            <w:r>
              <w:rPr>
                <w:rFonts w:ascii="Arial" w:cs="Arial" w:eastAsia="Arial" w:hAnsi="Arial"/>
                <w:sz w:val="12"/>
                <w:szCs w:val="12"/>
                <w:b w:val="1"/>
                <w:bCs w:val="1"/>
                <w:color w:val="auto"/>
              </w:rPr>
              <w:t>CC %</w:t>
            </w:r>
          </w:p>
        </w:tc>
        <w:tc>
          <w:tcPr>
            <w:tcW w:w="300" w:type="dxa"/>
            <w:vAlign w:val="bottom"/>
          </w:tcPr>
          <w:p>
            <w:pPr>
              <w:spacing w:after="0"/>
              <w:rPr>
                <w:sz w:val="24"/>
                <w:szCs w:val="24"/>
                <w:color w:val="auto"/>
              </w:rPr>
            </w:pPr>
          </w:p>
        </w:tc>
      </w:tr>
      <w:tr>
        <w:trPr>
          <w:trHeight w:val="189"/>
        </w:trPr>
        <w:tc>
          <w:tcPr>
            <w:tcW w:w="424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5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Change</w:t>
            </w:r>
          </w:p>
        </w:tc>
        <w:tc>
          <w:tcPr>
            <w:tcW w:w="5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Change</w:t>
            </w:r>
          </w:p>
        </w:tc>
        <w:tc>
          <w:tcPr>
            <w:tcW w:w="300" w:type="dxa"/>
            <w:vAlign w:val="bottom"/>
            <w:tcBorders>
              <w:bottom w:val="single" w:sz="8" w:color="CCEEFF"/>
            </w:tcBorders>
          </w:tcPr>
          <w:p>
            <w:pPr>
              <w:spacing w:after="0"/>
              <w:rPr>
                <w:sz w:val="16"/>
                <w:szCs w:val="16"/>
                <w:color w:val="auto"/>
              </w:rPr>
            </w:pPr>
          </w:p>
        </w:tc>
      </w:tr>
      <w:tr>
        <w:trPr>
          <w:trHeight w:val="169"/>
        </w:trPr>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Americas Staffing</w:t>
            </w:r>
          </w:p>
        </w:tc>
        <w:tc>
          <w:tcPr>
            <w:tcW w:w="1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Revenue from services</w:t>
            </w:r>
          </w:p>
        </w:tc>
        <w:tc>
          <w:tcPr>
            <w:tcW w:w="1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580.0</w:t>
            </w:r>
          </w:p>
        </w:tc>
        <w:tc>
          <w:tcPr>
            <w:tcW w:w="5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647.6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(10.4)</w:t>
            </w:r>
          </w:p>
        </w:tc>
        <w:tc>
          <w:tcPr>
            <w:tcW w:w="500" w:type="dxa"/>
            <w:vAlign w:val="bottom"/>
          </w:tcPr>
          <w:p>
            <w:pPr>
              <w:jc w:val="right"/>
              <w:ind w:right="340"/>
              <w:spacing w:after="0"/>
              <w:rPr>
                <w:sz w:val="20"/>
                <w:szCs w:val="20"/>
                <w:color w:val="auto"/>
              </w:rPr>
            </w:pPr>
            <w:r>
              <w:rPr>
                <w:rFonts w:ascii="Arial" w:cs="Arial" w:eastAsia="Arial" w:hAnsi="Arial"/>
                <w:sz w:val="12"/>
                <w:szCs w:val="12"/>
                <w:color w:val="auto"/>
                <w:w w:val="74"/>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(10.5)</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w w:val="93"/>
              </w:rPr>
              <w:t>%</w:t>
            </w: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Gross profit</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109.6</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(7.8)</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SG&amp;A expenses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88.6</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(2.0)</w:t>
            </w:r>
          </w:p>
        </w:tc>
        <w:tc>
          <w:tcPr>
            <w:tcW w:w="50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(2.0)</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Restructuring charges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Total SG&amp;A expenses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88.5</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90.4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(2.1)</w:t>
            </w:r>
          </w:p>
        </w:tc>
        <w:tc>
          <w:tcPr>
            <w:tcW w:w="50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(2.1)</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from operations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21.1</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(25.8)</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Earnings from operations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21.0</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(26.2)</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 rate</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18.9</w:t>
            </w:r>
          </w:p>
        </w:tc>
        <w:tc>
          <w:tcPr>
            <w:tcW w:w="540" w:type="dxa"/>
            <w:vAlign w:val="bottom"/>
          </w:tcPr>
          <w:p>
            <w:pPr>
              <w:jc w:val="right"/>
              <w:ind w:right="360"/>
              <w:spacing w:after="0"/>
              <w:rPr>
                <w:sz w:val="20"/>
                <w:szCs w:val="20"/>
                <w:color w:val="auto"/>
              </w:rPr>
            </w:pPr>
            <w:r>
              <w:rPr>
                <w:rFonts w:ascii="Arial" w:cs="Arial" w:eastAsia="Arial" w:hAnsi="Arial"/>
                <w:sz w:val="12"/>
                <w:szCs w:val="12"/>
                <w:color w:val="auto"/>
                <w:w w:val="93"/>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18.3</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0.6</w:t>
            </w:r>
          </w:p>
        </w:tc>
        <w:tc>
          <w:tcPr>
            <w:tcW w:w="500" w:type="dxa"/>
            <w:vAlign w:val="bottom"/>
          </w:tcPr>
          <w:p>
            <w:pPr>
              <w:jc w:val="right"/>
              <w:ind w:right="240"/>
              <w:spacing w:after="0"/>
              <w:rPr>
                <w:sz w:val="20"/>
                <w:szCs w:val="20"/>
                <w:color w:val="auto"/>
              </w:rPr>
            </w:pPr>
            <w:r>
              <w:rPr>
                <w:rFonts w:ascii="Arial" w:cs="Arial" w:eastAsia="Arial" w:hAnsi="Arial"/>
                <w:sz w:val="12"/>
                <w:szCs w:val="12"/>
                <w:color w:val="auto"/>
                <w:w w:val="92"/>
              </w:rPr>
              <w:t>pts.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rate</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19.3</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Conversion rate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19.1</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(4.8)</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Return on sales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3.6</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Return on sales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3.6</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(0.8)</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b w:val="1"/>
                <w:bCs w:val="1"/>
                <w:color w:val="auto"/>
              </w:rPr>
              <w:t>Global Talent Solutions</w:t>
            </w: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Revenue from services</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515.1</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503.3</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w:t>
            </w: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74"/>
              </w:rPr>
              <w:t>%</w:t>
            </w: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93"/>
              </w:rPr>
              <w:t>%</w:t>
            </w: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100.8</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99.3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500" w:type="dxa"/>
            <w:vAlign w:val="bottom"/>
          </w:tcPr>
          <w:p>
            <w:pPr>
              <w:spacing w:after="0"/>
              <w:rPr>
                <w:sz w:val="14"/>
                <w:szCs w:val="14"/>
                <w:color w:val="auto"/>
              </w:rPr>
            </w:pPr>
          </w:p>
        </w:tc>
        <w:tc>
          <w:tcPr>
            <w:tcW w:w="1060" w:type="dxa"/>
            <w:vAlign w:val="bottom"/>
          </w:tcPr>
          <w:p>
            <w:pPr>
              <w:jc w:val="right"/>
              <w:ind w:right="80"/>
              <w:spacing w:after="0"/>
              <w:rPr>
                <w:sz w:val="20"/>
                <w:szCs w:val="20"/>
                <w:color w:val="auto"/>
              </w:rPr>
            </w:pPr>
            <w:r>
              <w:rPr>
                <w:rFonts w:ascii="Arial" w:cs="Arial" w:eastAsia="Arial" w:hAnsi="Arial"/>
                <w:sz w:val="12"/>
                <w:szCs w:val="12"/>
                <w:color w:val="auto"/>
              </w:rPr>
              <w:t>1.7</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SG&amp;A expenses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72.9</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0.6</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Earnings from operations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27.9</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4.2</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 rate</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19.6</w:t>
            </w:r>
          </w:p>
        </w:tc>
        <w:tc>
          <w:tcPr>
            <w:tcW w:w="540" w:type="dxa"/>
            <w:vAlign w:val="bottom"/>
          </w:tcPr>
          <w:p>
            <w:pPr>
              <w:jc w:val="right"/>
              <w:ind w:right="360"/>
              <w:spacing w:after="0"/>
              <w:rPr>
                <w:sz w:val="20"/>
                <w:szCs w:val="20"/>
                <w:color w:val="auto"/>
              </w:rPr>
            </w:pPr>
            <w:r>
              <w:rPr>
                <w:rFonts w:ascii="Arial" w:cs="Arial" w:eastAsia="Arial" w:hAnsi="Arial"/>
                <w:sz w:val="12"/>
                <w:szCs w:val="12"/>
                <w:color w:val="auto"/>
                <w:w w:val="93"/>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19.7</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500" w:type="dxa"/>
            <w:vAlign w:val="bottom"/>
          </w:tcPr>
          <w:p>
            <w:pPr>
              <w:jc w:val="right"/>
              <w:ind w:right="240"/>
              <w:spacing w:after="0"/>
              <w:rPr>
                <w:sz w:val="20"/>
                <w:szCs w:val="20"/>
                <w:color w:val="auto"/>
              </w:rPr>
            </w:pPr>
            <w:r>
              <w:rPr>
                <w:rFonts w:ascii="Arial" w:cs="Arial" w:eastAsia="Arial" w:hAnsi="Arial"/>
                <w:sz w:val="12"/>
                <w:szCs w:val="12"/>
                <w:color w:val="auto"/>
                <w:w w:val="92"/>
              </w:rPr>
              <w:t>pts.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rate</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27.7</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0.7</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Return on sales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5.4</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5.3</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b w:val="1"/>
                <w:bCs w:val="1"/>
                <w:color w:val="auto"/>
              </w:rPr>
              <w:t>International Staffing</w:t>
            </w: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Revenue from services</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246.0</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w:t>
            </w: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74"/>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(7.1)</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93"/>
              </w:rPr>
              <w:t>%</w:t>
            </w: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35.1</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36.9</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(4.9)</w:t>
            </w:r>
          </w:p>
        </w:tc>
        <w:tc>
          <w:tcPr>
            <w:tcW w:w="500" w:type="dxa"/>
            <w:vAlign w:val="bottom"/>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(3.5)</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SG&amp;A expenses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30.2</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(9.0)</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(7.8)</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Earnings from operations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4.9</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30.8</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 rate</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14.3</w:t>
            </w:r>
          </w:p>
        </w:tc>
        <w:tc>
          <w:tcPr>
            <w:tcW w:w="540" w:type="dxa"/>
            <w:vAlign w:val="bottom"/>
          </w:tcPr>
          <w:p>
            <w:pPr>
              <w:jc w:val="right"/>
              <w:ind w:right="360"/>
              <w:spacing w:after="0"/>
              <w:rPr>
                <w:sz w:val="20"/>
                <w:szCs w:val="20"/>
                <w:color w:val="auto"/>
              </w:rPr>
            </w:pPr>
            <w:r>
              <w:rPr>
                <w:rFonts w:ascii="Arial" w:cs="Arial" w:eastAsia="Arial" w:hAnsi="Arial"/>
                <w:sz w:val="12"/>
                <w:szCs w:val="12"/>
                <w:color w:val="auto"/>
                <w:w w:val="93"/>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13.8</w:t>
            </w: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0.5</w:t>
            </w:r>
          </w:p>
        </w:tc>
        <w:tc>
          <w:tcPr>
            <w:tcW w:w="500" w:type="dxa"/>
            <w:vAlign w:val="bottom"/>
          </w:tcPr>
          <w:p>
            <w:pPr>
              <w:jc w:val="right"/>
              <w:ind w:right="240"/>
              <w:spacing w:after="0"/>
              <w:rPr>
                <w:sz w:val="20"/>
                <w:szCs w:val="20"/>
                <w:color w:val="auto"/>
              </w:rPr>
            </w:pPr>
            <w:r>
              <w:rPr>
                <w:rFonts w:ascii="Arial" w:cs="Arial" w:eastAsia="Arial" w:hAnsi="Arial"/>
                <w:sz w:val="12"/>
                <w:szCs w:val="12"/>
                <w:color w:val="auto"/>
                <w:w w:val="92"/>
              </w:rPr>
              <w:t>pts.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rate</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14.1</w:t>
            </w:r>
          </w:p>
        </w:tc>
        <w:tc>
          <w:tcPr>
            <w:tcW w:w="5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3.9</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62"/>
        </w:trPr>
        <w:tc>
          <w:tcPr>
            <w:tcW w:w="4240" w:type="dxa"/>
            <w:vAlign w:val="bottom"/>
          </w:tcPr>
          <w:p>
            <w:pPr>
              <w:ind w:left="120"/>
              <w:spacing w:after="0"/>
              <w:rPr>
                <w:sz w:val="20"/>
                <w:szCs w:val="20"/>
                <w:color w:val="auto"/>
              </w:rPr>
            </w:pPr>
            <w:r>
              <w:rPr>
                <w:rFonts w:ascii="Arial" w:cs="Arial" w:eastAsia="Arial" w:hAnsi="Arial"/>
                <w:sz w:val="12"/>
                <w:szCs w:val="12"/>
                <w:color w:val="auto"/>
              </w:rPr>
              <w:t>Return on sales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2.0</w:t>
            </w:r>
          </w:p>
        </w:tc>
        <w:tc>
          <w:tcPr>
            <w:tcW w:w="5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0.6</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676" w:right="1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RESULTS OF OPERATIONS BY SEGMENT</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of dollars)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b w:val="1"/>
                <w:bCs w:val="1"/>
                <w:color w:val="auto"/>
              </w:rPr>
              <w:t>December Year to Date</w:t>
            </w:r>
          </w:p>
        </w:tc>
        <w:tc>
          <w:tcPr>
            <w:tcW w:w="5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r>
      <w:tr>
        <w:trPr>
          <w:trHeight w:val="286"/>
        </w:trPr>
        <w:tc>
          <w:tcPr>
            <w:tcW w:w="4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380"/>
              <w:spacing w:after="0"/>
              <w:rPr>
                <w:sz w:val="20"/>
                <w:szCs w:val="20"/>
                <w:color w:val="auto"/>
              </w:rPr>
            </w:pPr>
            <w:r>
              <w:rPr>
                <w:rFonts w:ascii="Arial" w:cs="Arial" w:eastAsia="Arial" w:hAnsi="Arial"/>
                <w:sz w:val="12"/>
                <w:szCs w:val="12"/>
                <w:b w:val="1"/>
                <w:bCs w:val="1"/>
                <w:color w:val="auto"/>
              </w:rPr>
              <w:t>%</w:t>
            </w:r>
          </w:p>
        </w:tc>
        <w:tc>
          <w:tcPr>
            <w:tcW w:w="5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rPr>
              <w:t>CC %</w:t>
            </w:r>
          </w:p>
        </w:tc>
        <w:tc>
          <w:tcPr>
            <w:tcW w:w="300" w:type="dxa"/>
            <w:vAlign w:val="bottom"/>
          </w:tcPr>
          <w:p>
            <w:pPr>
              <w:spacing w:after="0"/>
              <w:rPr>
                <w:sz w:val="24"/>
                <w:szCs w:val="24"/>
                <w:color w:val="auto"/>
              </w:rPr>
            </w:pPr>
          </w:p>
        </w:tc>
      </w:tr>
      <w:tr>
        <w:trPr>
          <w:trHeight w:val="189"/>
        </w:trPr>
        <w:tc>
          <w:tcPr>
            <w:tcW w:w="424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2019</w:t>
            </w:r>
          </w:p>
        </w:tc>
        <w:tc>
          <w:tcPr>
            <w:tcW w:w="5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Change</w:t>
            </w:r>
          </w:p>
        </w:tc>
        <w:tc>
          <w:tcPr>
            <w:tcW w:w="5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Change</w:t>
            </w:r>
          </w:p>
        </w:tc>
        <w:tc>
          <w:tcPr>
            <w:tcW w:w="300" w:type="dxa"/>
            <w:vAlign w:val="bottom"/>
            <w:tcBorders>
              <w:bottom w:val="single" w:sz="8" w:color="CCEEFF"/>
            </w:tcBorders>
          </w:tcPr>
          <w:p>
            <w:pPr>
              <w:spacing w:after="0"/>
              <w:rPr>
                <w:sz w:val="16"/>
                <w:szCs w:val="16"/>
                <w:color w:val="auto"/>
              </w:rPr>
            </w:pPr>
          </w:p>
        </w:tc>
      </w:tr>
      <w:tr>
        <w:trPr>
          <w:trHeight w:val="169"/>
        </w:trPr>
        <w:tc>
          <w:tcPr>
            <w:tcW w:w="4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Americas Staffing</w:t>
            </w:r>
          </w:p>
        </w:tc>
        <w:tc>
          <w:tcPr>
            <w:tcW w:w="15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Revenue from services</w:t>
            </w:r>
          </w:p>
        </w:tc>
        <w:tc>
          <w:tcPr>
            <w:tcW w:w="15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2,320.1</w:t>
            </w:r>
          </w:p>
        </w:tc>
        <w:tc>
          <w:tcPr>
            <w:tcW w:w="54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2,417.7</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(4.0)</w:t>
            </w:r>
          </w:p>
        </w:tc>
        <w:tc>
          <w:tcPr>
            <w:tcW w:w="500" w:type="dxa"/>
            <w:vAlign w:val="bottom"/>
          </w:tcPr>
          <w:p>
            <w:pPr>
              <w:jc w:val="right"/>
              <w:ind w:right="340"/>
              <w:spacing w:after="0"/>
              <w:rPr>
                <w:sz w:val="20"/>
                <w:szCs w:val="20"/>
                <w:color w:val="auto"/>
              </w:rPr>
            </w:pPr>
            <w:r>
              <w:rPr>
                <w:rFonts w:ascii="Arial" w:cs="Arial" w:eastAsia="Arial" w:hAnsi="Arial"/>
                <w:sz w:val="12"/>
                <w:szCs w:val="12"/>
                <w:color w:val="auto"/>
                <w:w w:val="74"/>
              </w:rPr>
              <w:t>%</w:t>
            </w:r>
          </w:p>
        </w:tc>
        <w:tc>
          <w:tcPr>
            <w:tcW w:w="1060" w:type="dxa"/>
            <w:vAlign w:val="bottom"/>
          </w:tcPr>
          <w:p>
            <w:pPr>
              <w:jc w:val="center"/>
              <w:ind w:left="560"/>
              <w:spacing w:after="0"/>
              <w:rPr>
                <w:sz w:val="20"/>
                <w:szCs w:val="20"/>
                <w:color w:val="auto"/>
              </w:rPr>
            </w:pPr>
            <w:r>
              <w:rPr>
                <w:rFonts w:ascii="Arial" w:cs="Arial" w:eastAsia="Arial" w:hAnsi="Arial"/>
                <w:sz w:val="12"/>
                <w:szCs w:val="12"/>
                <w:color w:val="auto"/>
                <w:w w:val="97"/>
              </w:rPr>
              <w:t>(3.8)</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w w:val="93"/>
              </w:rPr>
              <w:t>%</w:t>
            </w: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Gross profit</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429.5</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441.3</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560"/>
              <w:spacing w:after="0"/>
              <w:rPr>
                <w:sz w:val="20"/>
                <w:szCs w:val="20"/>
                <w:color w:val="auto"/>
              </w:rPr>
            </w:pPr>
            <w:r>
              <w:rPr>
                <w:rFonts w:ascii="Arial" w:cs="Arial" w:eastAsia="Arial" w:hAnsi="Arial"/>
                <w:sz w:val="12"/>
                <w:szCs w:val="12"/>
                <w:color w:val="auto"/>
                <w:w w:val="97"/>
              </w:rPr>
              <w:t>(2.5)</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SG&amp;A expenses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367.2</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364.2</w:t>
            </w: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0.8</w:t>
            </w:r>
          </w:p>
        </w:tc>
        <w:tc>
          <w:tcPr>
            <w:tcW w:w="500" w:type="dxa"/>
            <w:vAlign w:val="bottom"/>
          </w:tcPr>
          <w:p>
            <w:pPr>
              <w:spacing w:after="0"/>
              <w:rPr>
                <w:sz w:val="14"/>
                <w:szCs w:val="14"/>
                <w:color w:val="auto"/>
              </w:rPr>
            </w:pPr>
          </w:p>
        </w:tc>
        <w:tc>
          <w:tcPr>
            <w:tcW w:w="1060" w:type="dxa"/>
            <w:vAlign w:val="bottom"/>
          </w:tcPr>
          <w:p>
            <w:pPr>
              <w:jc w:val="center"/>
              <w:ind w:left="580"/>
              <w:spacing w:after="0"/>
              <w:rPr>
                <w:sz w:val="20"/>
                <w:szCs w:val="20"/>
                <w:color w:val="auto"/>
              </w:rPr>
            </w:pPr>
            <w:r>
              <w:rPr>
                <w:rFonts w:ascii="Arial" w:cs="Arial" w:eastAsia="Arial" w:hAnsi="Arial"/>
                <w:sz w:val="12"/>
                <w:szCs w:val="12"/>
                <w:color w:val="auto"/>
                <w:w w:val="83"/>
              </w:rPr>
              <w:t>1.0</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Restructuring charges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NM</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ind w:left="740"/>
              <w:spacing w:after="0"/>
              <w:rPr>
                <w:sz w:val="20"/>
                <w:szCs w:val="20"/>
                <w:color w:val="auto"/>
              </w:rPr>
            </w:pPr>
            <w:r>
              <w:rPr>
                <w:rFonts w:ascii="Arial" w:cs="Arial" w:eastAsia="Arial" w:hAnsi="Arial"/>
                <w:sz w:val="12"/>
                <w:szCs w:val="12"/>
                <w:color w:val="auto"/>
              </w:rPr>
              <w:t>NM</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Total SG&amp;A expenses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372.7</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364.2</w:t>
            </w: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2.3</w:t>
            </w:r>
          </w:p>
        </w:tc>
        <w:tc>
          <w:tcPr>
            <w:tcW w:w="500" w:type="dxa"/>
            <w:vAlign w:val="bottom"/>
          </w:tcPr>
          <w:p>
            <w:pPr>
              <w:spacing w:after="0"/>
              <w:rPr>
                <w:sz w:val="14"/>
                <w:szCs w:val="14"/>
                <w:color w:val="auto"/>
              </w:rPr>
            </w:pPr>
          </w:p>
        </w:tc>
        <w:tc>
          <w:tcPr>
            <w:tcW w:w="1060" w:type="dxa"/>
            <w:vAlign w:val="bottom"/>
          </w:tcPr>
          <w:p>
            <w:pPr>
              <w:jc w:val="center"/>
              <w:ind w:left="580"/>
              <w:spacing w:after="0"/>
              <w:rPr>
                <w:sz w:val="20"/>
                <w:szCs w:val="20"/>
                <w:color w:val="auto"/>
              </w:rPr>
            </w:pPr>
            <w:r>
              <w:rPr>
                <w:rFonts w:ascii="Arial" w:cs="Arial" w:eastAsia="Arial" w:hAnsi="Arial"/>
                <w:sz w:val="12"/>
                <w:szCs w:val="12"/>
                <w:color w:val="auto"/>
                <w:w w:val="83"/>
              </w:rPr>
              <w:t>2.6</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Earnings from operations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56.8</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77.1</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(26.3)</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Earnings from operations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62.3</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77.1</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(19.2)</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 rate</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18.5</w:t>
            </w:r>
          </w:p>
        </w:tc>
        <w:tc>
          <w:tcPr>
            <w:tcW w:w="540" w:type="dxa"/>
            <w:vAlign w:val="bottom"/>
          </w:tcPr>
          <w:p>
            <w:pPr>
              <w:jc w:val="right"/>
              <w:ind w:right="360"/>
              <w:spacing w:after="0"/>
              <w:rPr>
                <w:sz w:val="20"/>
                <w:szCs w:val="20"/>
                <w:color w:val="auto"/>
              </w:rPr>
            </w:pPr>
            <w:r>
              <w:rPr>
                <w:rFonts w:ascii="Arial" w:cs="Arial" w:eastAsia="Arial" w:hAnsi="Arial"/>
                <w:sz w:val="12"/>
                <w:szCs w:val="12"/>
                <w:color w:val="auto"/>
                <w:w w:val="93"/>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18.3</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w w:val="74"/>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0.2</w:t>
            </w:r>
          </w:p>
        </w:tc>
        <w:tc>
          <w:tcPr>
            <w:tcW w:w="500" w:type="dxa"/>
            <w:vAlign w:val="bottom"/>
          </w:tcPr>
          <w:p>
            <w:pPr>
              <w:jc w:val="right"/>
              <w:ind w:right="240"/>
              <w:spacing w:after="0"/>
              <w:rPr>
                <w:sz w:val="20"/>
                <w:szCs w:val="20"/>
                <w:color w:val="auto"/>
              </w:rPr>
            </w:pPr>
            <w:r>
              <w:rPr>
                <w:rFonts w:ascii="Arial" w:cs="Arial" w:eastAsia="Arial" w:hAnsi="Arial"/>
                <w:sz w:val="12"/>
                <w:szCs w:val="12"/>
                <w:color w:val="auto"/>
                <w:w w:val="92"/>
              </w:rPr>
              <w:t>pts.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rate</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13.2</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17.5</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(4.3)</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Conversion rate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14.5</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17.5</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(3.0)</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Return on sales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(0.8)</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Return on sales excluding restructuring charges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2.7</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3.2</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(0.5)</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b w:val="1"/>
                <w:bCs w:val="1"/>
                <w:color w:val="auto"/>
              </w:rPr>
              <w:t>Global Talent Solutions</w:t>
            </w: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Revenue from services</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2,024.5</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1,997.4</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74"/>
              </w:rPr>
              <w:t>%</w:t>
            </w:r>
          </w:p>
        </w:tc>
        <w:tc>
          <w:tcPr>
            <w:tcW w:w="1060" w:type="dxa"/>
            <w:vAlign w:val="bottom"/>
            <w:shd w:val="clear" w:color="auto" w:fill="CCEEFF"/>
          </w:tcPr>
          <w:p>
            <w:pPr>
              <w:jc w:val="center"/>
              <w:ind w:left="580"/>
              <w:spacing w:after="0"/>
              <w:rPr>
                <w:sz w:val="20"/>
                <w:szCs w:val="20"/>
                <w:color w:val="auto"/>
              </w:rPr>
            </w:pPr>
            <w:r>
              <w:rPr>
                <w:rFonts w:ascii="Arial" w:cs="Arial" w:eastAsia="Arial" w:hAnsi="Arial"/>
                <w:sz w:val="12"/>
                <w:szCs w:val="12"/>
                <w:color w:val="auto"/>
                <w:w w:val="83"/>
              </w:rPr>
              <w:t>1.6</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93"/>
              </w:rPr>
              <w:t>%</w:t>
            </w: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400.5</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381.1</w:t>
            </w: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5.1</w:t>
            </w:r>
          </w:p>
        </w:tc>
        <w:tc>
          <w:tcPr>
            <w:tcW w:w="500" w:type="dxa"/>
            <w:vAlign w:val="bottom"/>
          </w:tcPr>
          <w:p>
            <w:pPr>
              <w:spacing w:after="0"/>
              <w:rPr>
                <w:sz w:val="14"/>
                <w:szCs w:val="14"/>
                <w:color w:val="auto"/>
              </w:rPr>
            </w:pPr>
          </w:p>
        </w:tc>
        <w:tc>
          <w:tcPr>
            <w:tcW w:w="1060" w:type="dxa"/>
            <w:vAlign w:val="bottom"/>
          </w:tcPr>
          <w:p>
            <w:pPr>
              <w:jc w:val="center"/>
              <w:ind w:left="580"/>
              <w:spacing w:after="0"/>
              <w:rPr>
                <w:sz w:val="20"/>
                <w:szCs w:val="20"/>
                <w:color w:val="auto"/>
              </w:rPr>
            </w:pPr>
            <w:r>
              <w:rPr>
                <w:rFonts w:ascii="Arial" w:cs="Arial" w:eastAsia="Arial" w:hAnsi="Arial"/>
                <w:sz w:val="12"/>
                <w:szCs w:val="12"/>
                <w:color w:val="auto"/>
                <w:w w:val="83"/>
              </w:rPr>
              <w:t>5.6</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SG&amp;A expenses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293.1</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296.5</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560"/>
              <w:spacing w:after="0"/>
              <w:rPr>
                <w:sz w:val="20"/>
                <w:szCs w:val="20"/>
                <w:color w:val="auto"/>
              </w:rPr>
            </w:pPr>
            <w:r>
              <w:rPr>
                <w:rFonts w:ascii="Arial" w:cs="Arial" w:eastAsia="Arial" w:hAnsi="Arial"/>
                <w:sz w:val="12"/>
                <w:szCs w:val="12"/>
                <w:color w:val="auto"/>
                <w:w w:val="97"/>
              </w:rPr>
              <w:t>(0.6)</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Earnings from operations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107.4</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84.6</w:t>
            </w: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26.9</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 rate</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19.8</w:t>
            </w:r>
          </w:p>
        </w:tc>
        <w:tc>
          <w:tcPr>
            <w:tcW w:w="540" w:type="dxa"/>
            <w:vAlign w:val="bottom"/>
          </w:tcPr>
          <w:p>
            <w:pPr>
              <w:jc w:val="right"/>
              <w:ind w:right="360"/>
              <w:spacing w:after="0"/>
              <w:rPr>
                <w:sz w:val="20"/>
                <w:szCs w:val="20"/>
                <w:color w:val="auto"/>
              </w:rPr>
            </w:pPr>
            <w:r>
              <w:rPr>
                <w:rFonts w:ascii="Arial" w:cs="Arial" w:eastAsia="Arial" w:hAnsi="Arial"/>
                <w:sz w:val="12"/>
                <w:szCs w:val="12"/>
                <w:color w:val="auto"/>
                <w:w w:val="93"/>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19.1</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w w:val="74"/>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0.7</w:t>
            </w:r>
          </w:p>
        </w:tc>
        <w:tc>
          <w:tcPr>
            <w:tcW w:w="500" w:type="dxa"/>
            <w:vAlign w:val="bottom"/>
          </w:tcPr>
          <w:p>
            <w:pPr>
              <w:jc w:val="right"/>
              <w:ind w:right="240"/>
              <w:spacing w:after="0"/>
              <w:rPr>
                <w:sz w:val="20"/>
                <w:szCs w:val="20"/>
                <w:color w:val="auto"/>
              </w:rPr>
            </w:pPr>
            <w:r>
              <w:rPr>
                <w:rFonts w:ascii="Arial" w:cs="Arial" w:eastAsia="Arial" w:hAnsi="Arial"/>
                <w:sz w:val="12"/>
                <w:szCs w:val="12"/>
                <w:color w:val="auto"/>
                <w:w w:val="92"/>
              </w:rPr>
              <w:t>pts.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rate</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26.8</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4.6</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Return on sales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5.3</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4.2</w:t>
            </w:r>
          </w:p>
        </w:tc>
        <w:tc>
          <w:tcPr>
            <w:tcW w:w="26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1.1</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spacing w:after="0"/>
              <w:rPr>
                <w:sz w:val="20"/>
                <w:szCs w:val="20"/>
                <w:color w:val="auto"/>
              </w:rPr>
            </w:pPr>
            <w:r>
              <w:rPr>
                <w:rFonts w:ascii="Arial" w:cs="Arial" w:eastAsia="Arial" w:hAnsi="Arial"/>
                <w:sz w:val="12"/>
                <w:szCs w:val="12"/>
                <w:b w:val="1"/>
                <w:bCs w:val="1"/>
                <w:color w:val="auto"/>
              </w:rPr>
              <w:t>International Staffing</w:t>
            </w: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Revenue from services</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1,025.9</w:t>
            </w:r>
          </w:p>
        </w:tc>
        <w:tc>
          <w:tcPr>
            <w:tcW w:w="54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1,116.6</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(8.1)</w:t>
            </w: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74"/>
              </w:rPr>
              <w:t>%</w:t>
            </w:r>
          </w:p>
        </w:tc>
        <w:tc>
          <w:tcPr>
            <w:tcW w:w="1060" w:type="dxa"/>
            <w:vAlign w:val="bottom"/>
            <w:shd w:val="clear" w:color="auto" w:fill="CCEEFF"/>
          </w:tcPr>
          <w:p>
            <w:pPr>
              <w:jc w:val="center"/>
              <w:ind w:left="560"/>
              <w:spacing w:after="0"/>
              <w:rPr>
                <w:sz w:val="20"/>
                <w:szCs w:val="20"/>
                <w:color w:val="auto"/>
              </w:rPr>
            </w:pPr>
            <w:r>
              <w:rPr>
                <w:rFonts w:ascii="Arial" w:cs="Arial" w:eastAsia="Arial" w:hAnsi="Arial"/>
                <w:sz w:val="12"/>
                <w:szCs w:val="12"/>
                <w:color w:val="auto"/>
                <w:w w:val="97"/>
              </w:rPr>
              <w:t>(4.0)</w:t>
            </w: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93"/>
              </w:rPr>
              <w:t>%</w:t>
            </w: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140.5</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152.3</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(7.7)</w:t>
            </w:r>
          </w:p>
        </w:tc>
        <w:tc>
          <w:tcPr>
            <w:tcW w:w="500" w:type="dxa"/>
            <w:vAlign w:val="bottom"/>
          </w:tcPr>
          <w:p>
            <w:pPr>
              <w:spacing w:after="0"/>
              <w:rPr>
                <w:sz w:val="14"/>
                <w:szCs w:val="14"/>
                <w:color w:val="auto"/>
              </w:rPr>
            </w:pPr>
          </w:p>
        </w:tc>
        <w:tc>
          <w:tcPr>
            <w:tcW w:w="1060" w:type="dxa"/>
            <w:vAlign w:val="bottom"/>
          </w:tcPr>
          <w:p>
            <w:pPr>
              <w:jc w:val="center"/>
              <w:ind w:left="560"/>
              <w:spacing w:after="0"/>
              <w:rPr>
                <w:sz w:val="20"/>
                <w:szCs w:val="20"/>
                <w:color w:val="auto"/>
              </w:rPr>
            </w:pPr>
            <w:r>
              <w:rPr>
                <w:rFonts w:ascii="Arial" w:cs="Arial" w:eastAsia="Arial" w:hAnsi="Arial"/>
                <w:sz w:val="12"/>
                <w:szCs w:val="12"/>
                <w:color w:val="auto"/>
                <w:w w:val="97"/>
              </w:rPr>
              <w:t>(3.6)</w:t>
            </w: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Total SG&amp;A expenses</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125.3</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132.3</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left="560"/>
              <w:spacing w:after="0"/>
              <w:rPr>
                <w:sz w:val="20"/>
                <w:szCs w:val="20"/>
                <w:color w:val="auto"/>
              </w:rPr>
            </w:pPr>
            <w:r>
              <w:rPr>
                <w:rFonts w:ascii="Arial" w:cs="Arial" w:eastAsia="Arial" w:hAnsi="Arial"/>
                <w:sz w:val="12"/>
                <w:szCs w:val="12"/>
                <w:color w:val="auto"/>
                <w:w w:val="97"/>
              </w:rPr>
              <w:t>(1.2)</w:t>
            </w:r>
          </w:p>
        </w:tc>
        <w:tc>
          <w:tcPr>
            <w:tcW w:w="300" w:type="dxa"/>
            <w:vAlign w:val="bottom"/>
            <w:shd w:val="clear" w:color="auto" w:fill="CCEEFF"/>
          </w:tcPr>
          <w:p>
            <w:pPr>
              <w:spacing w:after="0"/>
              <w:rPr>
                <w:sz w:val="16"/>
                <w:szCs w:val="16"/>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Earnings from operations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15.2</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20.0</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(24.1)</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53"/>
        </w:trPr>
        <w:tc>
          <w:tcPr>
            <w:tcW w:w="42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r>
      <w:tr>
        <w:trPr>
          <w:trHeight w:val="171"/>
        </w:trPr>
        <w:tc>
          <w:tcPr>
            <w:tcW w:w="4240" w:type="dxa"/>
            <w:vAlign w:val="bottom"/>
          </w:tcPr>
          <w:p>
            <w:pPr>
              <w:ind w:left="120"/>
              <w:spacing w:after="0"/>
              <w:rPr>
                <w:sz w:val="20"/>
                <w:szCs w:val="20"/>
                <w:color w:val="auto"/>
              </w:rPr>
            </w:pPr>
            <w:r>
              <w:rPr>
                <w:rFonts w:ascii="Arial" w:cs="Arial" w:eastAsia="Arial" w:hAnsi="Arial"/>
                <w:sz w:val="12"/>
                <w:szCs w:val="12"/>
                <w:color w:val="auto"/>
              </w:rPr>
              <w:t>Gross profit rate</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13.7</w:t>
            </w:r>
          </w:p>
        </w:tc>
        <w:tc>
          <w:tcPr>
            <w:tcW w:w="540" w:type="dxa"/>
            <w:vAlign w:val="bottom"/>
          </w:tcPr>
          <w:p>
            <w:pPr>
              <w:jc w:val="right"/>
              <w:ind w:right="360"/>
              <w:spacing w:after="0"/>
              <w:rPr>
                <w:sz w:val="20"/>
                <w:szCs w:val="20"/>
                <w:color w:val="auto"/>
              </w:rPr>
            </w:pPr>
            <w:r>
              <w:rPr>
                <w:rFonts w:ascii="Arial" w:cs="Arial" w:eastAsia="Arial" w:hAnsi="Arial"/>
                <w:sz w:val="12"/>
                <w:szCs w:val="12"/>
                <w:color w:val="auto"/>
                <w:w w:val="93"/>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13.6</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w w:val="74"/>
              </w:rPr>
              <w:t>%</w:t>
            </w: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0.1</w:t>
            </w:r>
          </w:p>
        </w:tc>
        <w:tc>
          <w:tcPr>
            <w:tcW w:w="500" w:type="dxa"/>
            <w:vAlign w:val="bottom"/>
          </w:tcPr>
          <w:p>
            <w:pPr>
              <w:jc w:val="right"/>
              <w:ind w:right="240"/>
              <w:spacing w:after="0"/>
              <w:rPr>
                <w:sz w:val="20"/>
                <w:szCs w:val="20"/>
                <w:color w:val="auto"/>
              </w:rPr>
            </w:pPr>
            <w:r>
              <w:rPr>
                <w:rFonts w:ascii="Arial" w:cs="Arial" w:eastAsia="Arial" w:hAnsi="Arial"/>
                <w:sz w:val="12"/>
                <w:szCs w:val="12"/>
                <w:color w:val="auto"/>
                <w:w w:val="92"/>
              </w:rPr>
              <w:t>pts.</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89"/>
        </w:trPr>
        <w:tc>
          <w:tcPr>
            <w:tcW w:w="42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Conversion rate</w:t>
            </w:r>
          </w:p>
        </w:tc>
        <w:tc>
          <w:tcPr>
            <w:tcW w:w="15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10.8</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13.2</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162"/>
        </w:trPr>
        <w:tc>
          <w:tcPr>
            <w:tcW w:w="4240" w:type="dxa"/>
            <w:vAlign w:val="bottom"/>
          </w:tcPr>
          <w:p>
            <w:pPr>
              <w:ind w:left="120"/>
              <w:spacing w:after="0"/>
              <w:rPr>
                <w:sz w:val="20"/>
                <w:szCs w:val="20"/>
                <w:color w:val="auto"/>
              </w:rPr>
            </w:pPr>
            <w:r>
              <w:rPr>
                <w:rFonts w:ascii="Arial" w:cs="Arial" w:eastAsia="Arial" w:hAnsi="Arial"/>
                <w:sz w:val="12"/>
                <w:szCs w:val="12"/>
                <w:color w:val="auto"/>
              </w:rPr>
              <w:t>Return on sales</w:t>
            </w:r>
          </w:p>
        </w:tc>
        <w:tc>
          <w:tcPr>
            <w:tcW w:w="158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540" w:type="dxa"/>
            <w:vAlign w:val="bottom"/>
          </w:tcPr>
          <w:p>
            <w:pPr>
              <w:spacing w:after="0"/>
              <w:rPr>
                <w:sz w:val="14"/>
                <w:szCs w:val="14"/>
                <w:color w:val="auto"/>
              </w:rPr>
            </w:pPr>
          </w:p>
        </w:tc>
        <w:tc>
          <w:tcPr>
            <w:tcW w:w="1000" w:type="dxa"/>
            <w:vAlign w:val="bottom"/>
          </w:tcPr>
          <w:p>
            <w:pPr>
              <w:jc w:val="right"/>
              <w:ind w:right="80"/>
              <w:spacing w:after="0"/>
              <w:rPr>
                <w:sz w:val="20"/>
                <w:szCs w:val="20"/>
                <w:color w:val="auto"/>
              </w:rPr>
            </w:pPr>
            <w:r>
              <w:rPr>
                <w:rFonts w:ascii="Arial" w:cs="Arial" w:eastAsia="Arial" w:hAnsi="Arial"/>
                <w:sz w:val="12"/>
                <w:szCs w:val="12"/>
                <w:color w:val="auto"/>
              </w:rPr>
              <w:t>1.8</w:t>
            </w:r>
          </w:p>
        </w:tc>
        <w:tc>
          <w:tcPr>
            <w:tcW w:w="260" w:type="dxa"/>
            <w:vAlign w:val="bottom"/>
          </w:tcPr>
          <w:p>
            <w:pPr>
              <w:spacing w:after="0"/>
              <w:rPr>
                <w:sz w:val="14"/>
                <w:szCs w:val="14"/>
                <w:color w:val="auto"/>
              </w:rPr>
            </w:pPr>
          </w:p>
        </w:tc>
        <w:tc>
          <w:tcPr>
            <w:tcW w:w="1000" w:type="dxa"/>
            <w:vAlign w:val="bottom"/>
          </w:tcPr>
          <w:p>
            <w:pPr>
              <w:jc w:val="right"/>
              <w:ind w:right="60"/>
              <w:spacing w:after="0"/>
              <w:rPr>
                <w:sz w:val="20"/>
                <w:szCs w:val="20"/>
                <w:color w:val="auto"/>
              </w:rPr>
            </w:pPr>
            <w:r>
              <w:rPr>
                <w:rFonts w:ascii="Arial" w:cs="Arial" w:eastAsia="Arial" w:hAnsi="Arial"/>
                <w:sz w:val="12"/>
                <w:szCs w:val="12"/>
                <w:color w:val="auto"/>
              </w:rPr>
              <w:t>(0.3)</w:t>
            </w: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676" w:right="1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57"/>
        </w:trPr>
        <w:tc>
          <w:tcPr>
            <w:tcW w:w="3460" w:type="dxa"/>
            <w:vAlign w:val="bottom"/>
          </w:tcPr>
          <w:p>
            <w:pPr>
              <w:spacing w:after="0"/>
              <w:rPr>
                <w:sz w:val="13"/>
                <w:szCs w:val="13"/>
                <w:color w:val="auto"/>
              </w:rPr>
            </w:pPr>
          </w:p>
        </w:tc>
        <w:tc>
          <w:tcPr>
            <w:tcW w:w="5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KELLY SERVICES, INC. AND SUBSIDIARIES</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80"/>
        </w:trPr>
        <w:tc>
          <w:tcPr>
            <w:tcW w:w="3460" w:type="dxa"/>
            <w:vAlign w:val="bottom"/>
          </w:tcPr>
          <w:p>
            <w:pPr>
              <w:spacing w:after="0"/>
              <w:rPr>
                <w:sz w:val="15"/>
                <w:szCs w:val="15"/>
                <w:color w:val="auto"/>
              </w:rPr>
            </w:pPr>
          </w:p>
        </w:tc>
        <w:tc>
          <w:tcPr>
            <w:tcW w:w="5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w w:val="99"/>
              </w:rPr>
              <w:t>CONSOLIDATED BALANCE SHEETS</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3460" w:type="dxa"/>
            <w:vAlign w:val="bottom"/>
          </w:tcPr>
          <w:p>
            <w:pPr>
              <w:spacing w:after="0"/>
              <w:rPr>
                <w:sz w:val="15"/>
                <w:szCs w:val="15"/>
                <w:color w:val="auto"/>
              </w:rPr>
            </w:pPr>
          </w:p>
        </w:tc>
        <w:tc>
          <w:tcPr>
            <w:tcW w:w="506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(UNAUDITED)</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0"/>
        </w:trPr>
        <w:tc>
          <w:tcPr>
            <w:tcW w:w="3460" w:type="dxa"/>
            <w:vAlign w:val="bottom"/>
          </w:tcPr>
          <w:p>
            <w:pPr>
              <w:spacing w:after="0"/>
              <w:rPr>
                <w:sz w:val="15"/>
                <w:szCs w:val="15"/>
                <w:color w:val="auto"/>
              </w:rPr>
            </w:pPr>
          </w:p>
        </w:tc>
        <w:tc>
          <w:tcPr>
            <w:tcW w:w="5060" w:type="dxa"/>
            <w:vAlign w:val="bottom"/>
            <w:gridSpan w:val="2"/>
          </w:tcPr>
          <w:p>
            <w:pPr>
              <w:jc w:val="center"/>
              <w:ind w:right="460"/>
              <w:spacing w:after="0"/>
              <w:rPr>
                <w:sz w:val="20"/>
                <w:szCs w:val="20"/>
                <w:color w:val="auto"/>
              </w:rPr>
            </w:pPr>
            <w:r>
              <w:rPr>
                <w:rFonts w:ascii="Arial" w:cs="Arial" w:eastAsia="Arial" w:hAnsi="Arial"/>
                <w:sz w:val="12"/>
                <w:szCs w:val="12"/>
                <w:color w:val="auto"/>
                <w:w w:val="96"/>
              </w:rPr>
              <w:t>(In millions of dollars)</w:t>
            </w: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346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w w:val="90"/>
              </w:rPr>
              <w:t>Dec. 29, 2019</w:t>
            </w:r>
          </w:p>
        </w:tc>
        <w:tc>
          <w:tcPr>
            <w:tcW w:w="540" w:type="dxa"/>
            <w:vAlign w:val="bottom"/>
            <w:tcBorders>
              <w:bottom w:val="single" w:sz="8" w:color="auto"/>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 30, 2018</w:t>
            </w:r>
          </w:p>
        </w:tc>
        <w:tc>
          <w:tcPr>
            <w:tcW w:w="320" w:type="dxa"/>
            <w:vAlign w:val="bottom"/>
            <w:tcBorders>
              <w:bottom w:val="single" w:sz="8" w:color="CCEEFF"/>
            </w:tcBorders>
          </w:tcPr>
          <w:p>
            <w:pPr>
              <w:spacing w:after="0"/>
              <w:rPr>
                <w:sz w:val="16"/>
                <w:szCs w:val="16"/>
                <w:color w:val="auto"/>
              </w:rPr>
            </w:pPr>
          </w:p>
        </w:tc>
      </w:tr>
      <w:tr>
        <w:trPr>
          <w:trHeight w:val="169"/>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Assets</w:t>
            </w:r>
          </w:p>
        </w:tc>
        <w:tc>
          <w:tcPr>
            <w:tcW w:w="38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Cash and equivalents</w:t>
            </w:r>
          </w:p>
        </w:tc>
        <w:tc>
          <w:tcPr>
            <w:tcW w:w="38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25.8</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35.3</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Trade accounts receivable, less allowances of</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140"/>
              <w:spacing w:after="0"/>
              <w:rPr>
                <w:sz w:val="20"/>
                <w:szCs w:val="20"/>
                <w:color w:val="auto"/>
              </w:rPr>
            </w:pPr>
            <w:r>
              <w:rPr>
                <w:rFonts w:ascii="Arial" w:cs="Arial" w:eastAsia="Arial" w:hAnsi="Arial"/>
                <w:sz w:val="12"/>
                <w:szCs w:val="12"/>
                <w:color w:val="auto"/>
              </w:rPr>
              <w:t>$12.9 and $13.2, respectively</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w w:val="94"/>
              </w:rPr>
              <w:t>1,282.2</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1,293.3</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Prepaid expenses and other current assets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76.5</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71.9</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Properties held for sale</w:t>
            </w:r>
          </w:p>
        </w:tc>
        <w:tc>
          <w:tcPr>
            <w:tcW w:w="3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21.2</w:t>
            </w:r>
          </w:p>
        </w:tc>
        <w:tc>
          <w:tcPr>
            <w:tcW w:w="3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tcPr>
          <w:p>
            <w:pPr>
              <w:spacing w:after="0"/>
              <w:rPr>
                <w:sz w:val="14"/>
                <w:szCs w:val="14"/>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current assets</w:t>
            </w:r>
          </w:p>
        </w:tc>
        <w:tc>
          <w:tcPr>
            <w:tcW w:w="3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4"/>
              </w:rPr>
              <w:t>1,405.7</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1,400.5</w:t>
            </w:r>
          </w:p>
        </w:tc>
        <w:tc>
          <w:tcPr>
            <w:tcW w:w="320" w:type="dxa"/>
            <w:vAlign w:val="bottom"/>
            <w:shd w:val="clear" w:color="auto" w:fill="CCEEFF"/>
          </w:tcPr>
          <w:p>
            <w:pPr>
              <w:spacing w:after="0"/>
              <w:rPr>
                <w:sz w:val="15"/>
                <w:szCs w:val="15"/>
                <w:color w:val="auto"/>
              </w:rPr>
            </w:pPr>
          </w:p>
        </w:tc>
      </w:tr>
      <w:tr>
        <w:trPr>
          <w:trHeight w:val="99"/>
        </w:trPr>
        <w:tc>
          <w:tcPr>
            <w:tcW w:w="34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Noncurrent Assets</w:t>
            </w:r>
          </w:p>
        </w:tc>
        <w:tc>
          <w:tcPr>
            <w:tcW w:w="3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Property and equipment, net</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43.1</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86.3</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lease right-of-use assets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60.4</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Deferred taxes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229.1</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198.7</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Goodwill, net</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127.8</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107.3</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Investment in Persol Holdings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173.2</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135.1</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Investment in equity affiliate</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117.2</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121.3</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assets</w:t>
            </w:r>
          </w:p>
        </w:tc>
        <w:tc>
          <w:tcPr>
            <w:tcW w:w="3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324.1</w:t>
            </w:r>
          </w:p>
        </w:tc>
        <w:tc>
          <w:tcPr>
            <w:tcW w:w="3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265.2</w:t>
            </w:r>
          </w:p>
        </w:tc>
        <w:tc>
          <w:tcPr>
            <w:tcW w:w="320" w:type="dxa"/>
            <w:vAlign w:val="bottom"/>
            <w:tcBorders>
              <w:bottom w:val="single" w:sz="8" w:color="CCEEFF"/>
            </w:tcBorders>
          </w:tcPr>
          <w:p>
            <w:pPr>
              <w:spacing w:after="0"/>
              <w:rPr>
                <w:sz w:val="14"/>
                <w:szCs w:val="14"/>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noncurrent assets</w:t>
            </w:r>
          </w:p>
        </w:tc>
        <w:tc>
          <w:tcPr>
            <w:tcW w:w="3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4"/>
              </w:rPr>
              <w:t>1,074.9</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913.9</w:t>
            </w:r>
          </w:p>
        </w:tc>
        <w:tc>
          <w:tcPr>
            <w:tcW w:w="320" w:type="dxa"/>
            <w:vAlign w:val="bottom"/>
            <w:shd w:val="clear" w:color="auto" w:fill="CCEEFF"/>
          </w:tcPr>
          <w:p>
            <w:pPr>
              <w:spacing w:after="0"/>
              <w:rPr>
                <w:sz w:val="15"/>
                <w:szCs w:val="15"/>
                <w:color w:val="auto"/>
              </w:rPr>
            </w:pPr>
          </w:p>
        </w:tc>
      </w:tr>
      <w:tr>
        <w:trPr>
          <w:trHeight w:val="144"/>
        </w:trPr>
        <w:tc>
          <w:tcPr>
            <w:tcW w:w="3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9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Total Assets</w:t>
            </w:r>
          </w:p>
        </w:tc>
        <w:tc>
          <w:tcPr>
            <w:tcW w:w="3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94"/>
              </w:rPr>
              <w:t>2,480.6</w:t>
            </w:r>
          </w:p>
        </w:tc>
        <w:tc>
          <w:tcPr>
            <w:tcW w:w="3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2,314.4</w:t>
            </w:r>
          </w:p>
        </w:tc>
        <w:tc>
          <w:tcPr>
            <w:tcW w:w="320" w:type="dxa"/>
            <w:vAlign w:val="bottom"/>
            <w:tcBorders>
              <w:bottom w:val="single" w:sz="8" w:color="CCEEFF"/>
            </w:tcBorders>
            <w:shd w:val="clear" w:color="auto" w:fill="CCEEFF"/>
          </w:tcPr>
          <w:p>
            <w:pPr>
              <w:spacing w:after="0"/>
              <w:rPr>
                <w:sz w:val="17"/>
                <w:szCs w:val="17"/>
                <w:color w:val="auto"/>
              </w:rPr>
            </w:pPr>
          </w:p>
        </w:tc>
      </w:tr>
      <w:tr>
        <w:trPr>
          <w:trHeight w:val="90"/>
        </w:trPr>
        <w:tc>
          <w:tcPr>
            <w:tcW w:w="3460" w:type="dxa"/>
            <w:vAlign w:val="bottom"/>
          </w:tcPr>
          <w:p>
            <w:pPr>
              <w:spacing w:after="0"/>
              <w:rPr>
                <w:sz w:val="7"/>
                <w:szCs w:val="7"/>
                <w:color w:val="auto"/>
              </w:rPr>
            </w:pPr>
          </w:p>
        </w:tc>
        <w:tc>
          <w:tcPr>
            <w:tcW w:w="38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3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Short-term borrowings</w:t>
            </w:r>
          </w:p>
        </w:tc>
        <w:tc>
          <w:tcPr>
            <w:tcW w:w="38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1.9</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2.2</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Accounts payable and accrued liabilities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503.6</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540.6</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Operating lease liabilities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20.1</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Accrued payroll and related taxes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267.6</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266.0</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60"/>
              <w:spacing w:after="0"/>
              <w:rPr>
                <w:sz w:val="20"/>
                <w:szCs w:val="20"/>
                <w:color w:val="auto"/>
              </w:rPr>
            </w:pPr>
            <w:r>
              <w:rPr>
                <w:rFonts w:ascii="Arial" w:cs="Arial" w:eastAsia="Arial" w:hAnsi="Arial"/>
                <w:sz w:val="12"/>
                <w:szCs w:val="12"/>
                <w:color w:val="auto"/>
              </w:rPr>
              <w:t>Accrued workers' compensation and other claims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25.7</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26.0</w:t>
            </w:r>
          </w:p>
        </w:tc>
        <w:tc>
          <w:tcPr>
            <w:tcW w:w="320" w:type="dxa"/>
            <w:vAlign w:val="bottom"/>
          </w:tcPr>
          <w:p>
            <w:pPr>
              <w:spacing w:after="0"/>
              <w:rPr>
                <w:sz w:val="14"/>
                <w:szCs w:val="14"/>
                <w:color w:val="auto"/>
              </w:rPr>
            </w:pPr>
          </w:p>
        </w:tc>
      </w:tr>
      <w:tr>
        <w:trPr>
          <w:trHeight w:val="180"/>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Income and other taxes</w:t>
            </w:r>
          </w:p>
        </w:tc>
        <w:tc>
          <w:tcPr>
            <w:tcW w:w="382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65.2</w:t>
            </w:r>
          </w:p>
        </w:tc>
        <w:tc>
          <w:tcPr>
            <w:tcW w:w="300" w:type="dxa"/>
            <w:vAlign w:val="bottom"/>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62.7</w:t>
            </w:r>
          </w:p>
        </w:tc>
        <w:tc>
          <w:tcPr>
            <w:tcW w:w="320" w:type="dxa"/>
            <w:vAlign w:val="bottom"/>
            <w:shd w:val="clear" w:color="auto" w:fill="CCEEFF"/>
          </w:tcPr>
          <w:p>
            <w:pPr>
              <w:spacing w:after="0"/>
              <w:rPr>
                <w:sz w:val="15"/>
                <w:szCs w:val="15"/>
                <w:color w:val="auto"/>
              </w:rPr>
            </w:pPr>
          </w:p>
        </w:tc>
      </w:tr>
      <w:tr>
        <w:trPr>
          <w:trHeight w:val="169"/>
        </w:trPr>
        <w:tc>
          <w:tcPr>
            <w:tcW w:w="3460" w:type="dxa"/>
            <w:vAlign w:val="bottom"/>
          </w:tcPr>
          <w:p>
            <w:pPr>
              <w:ind w:left="20"/>
              <w:spacing w:after="0"/>
              <w:rPr>
                <w:sz w:val="20"/>
                <w:szCs w:val="20"/>
                <w:color w:val="auto"/>
              </w:rPr>
            </w:pPr>
            <w:r>
              <w:rPr>
                <w:rFonts w:ascii="Arial" w:cs="Arial" w:eastAsia="Arial" w:hAnsi="Arial"/>
                <w:sz w:val="12"/>
                <w:szCs w:val="12"/>
                <w:color w:val="auto"/>
              </w:rPr>
              <w:t>Total current liabilities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884.1</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897.5</w:t>
            </w:r>
          </w:p>
        </w:tc>
        <w:tc>
          <w:tcPr>
            <w:tcW w:w="320" w:type="dxa"/>
            <w:vAlign w:val="bottom"/>
          </w:tcPr>
          <w:p>
            <w:pPr>
              <w:spacing w:after="0"/>
              <w:rPr>
                <w:sz w:val="14"/>
                <w:szCs w:val="14"/>
                <w:color w:val="auto"/>
              </w:rPr>
            </w:pPr>
          </w:p>
        </w:tc>
      </w:tr>
      <w:tr>
        <w:trPr>
          <w:trHeight w:val="108"/>
        </w:trPr>
        <w:tc>
          <w:tcPr>
            <w:tcW w:w="3460" w:type="dxa"/>
            <w:vAlign w:val="bottom"/>
            <w:shd w:val="clear" w:color="auto" w:fill="CCEEFF"/>
          </w:tcPr>
          <w:p>
            <w:pPr>
              <w:spacing w:after="0"/>
              <w:rPr>
                <w:sz w:val="9"/>
                <w:szCs w:val="9"/>
                <w:color w:val="auto"/>
              </w:rPr>
            </w:pPr>
          </w:p>
        </w:tc>
        <w:tc>
          <w:tcPr>
            <w:tcW w:w="38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r>
      <w:tr>
        <w:trPr>
          <w:trHeight w:val="171"/>
        </w:trPr>
        <w:tc>
          <w:tcPr>
            <w:tcW w:w="3460" w:type="dxa"/>
            <w:vAlign w:val="bottom"/>
          </w:tcPr>
          <w:p>
            <w:pPr>
              <w:ind w:left="20"/>
              <w:spacing w:after="0"/>
              <w:rPr>
                <w:sz w:val="20"/>
                <w:szCs w:val="20"/>
                <w:color w:val="auto"/>
              </w:rPr>
            </w:pPr>
            <w:r>
              <w:rPr>
                <w:rFonts w:ascii="Arial" w:cs="Arial" w:eastAsia="Arial" w:hAnsi="Arial"/>
                <w:sz w:val="12"/>
                <w:szCs w:val="12"/>
                <w:b w:val="1"/>
                <w:bCs w:val="1"/>
                <w:color w:val="auto"/>
              </w:rPr>
              <w:t>Noncurrent Liabilities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lease liabilities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43.3</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60"/>
              <w:spacing w:after="0"/>
              <w:rPr>
                <w:sz w:val="20"/>
                <w:szCs w:val="20"/>
                <w:color w:val="auto"/>
              </w:rPr>
            </w:pPr>
            <w:r>
              <w:rPr>
                <w:rFonts w:ascii="Arial" w:cs="Arial" w:eastAsia="Arial" w:hAnsi="Arial"/>
                <w:sz w:val="12"/>
                <w:szCs w:val="12"/>
                <w:color w:val="auto"/>
              </w:rPr>
              <w:t>Accrued workers' compensation and other claims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45.8</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50.5</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Accrued retirement benefits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187.4</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162.9</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long-term liabilities</w:t>
            </w:r>
          </w:p>
        </w:tc>
        <w:tc>
          <w:tcPr>
            <w:tcW w:w="3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55.5</w:t>
            </w:r>
          </w:p>
        </w:tc>
        <w:tc>
          <w:tcPr>
            <w:tcW w:w="3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44.0</w:t>
            </w:r>
          </w:p>
        </w:tc>
        <w:tc>
          <w:tcPr>
            <w:tcW w:w="320" w:type="dxa"/>
            <w:vAlign w:val="bottom"/>
            <w:tcBorders>
              <w:bottom w:val="single" w:sz="8" w:color="CCEEFF"/>
            </w:tcBorders>
          </w:tcPr>
          <w:p>
            <w:pPr>
              <w:spacing w:after="0"/>
              <w:rPr>
                <w:sz w:val="14"/>
                <w:szCs w:val="14"/>
                <w:color w:val="auto"/>
              </w:rPr>
            </w:pPr>
          </w:p>
        </w:tc>
      </w:tr>
      <w:tr>
        <w:trPr>
          <w:trHeight w:val="178"/>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noncurrent liabilities</w:t>
            </w:r>
          </w:p>
        </w:tc>
        <w:tc>
          <w:tcPr>
            <w:tcW w:w="3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332.0</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257.4</w:t>
            </w:r>
          </w:p>
        </w:tc>
        <w:tc>
          <w:tcPr>
            <w:tcW w:w="320" w:type="dxa"/>
            <w:vAlign w:val="bottom"/>
            <w:shd w:val="clear" w:color="auto" w:fill="CCEEFF"/>
          </w:tcPr>
          <w:p>
            <w:pPr>
              <w:spacing w:after="0"/>
              <w:rPr>
                <w:sz w:val="15"/>
                <w:szCs w:val="15"/>
                <w:color w:val="auto"/>
              </w:rPr>
            </w:pPr>
          </w:p>
        </w:tc>
      </w:tr>
      <w:tr>
        <w:trPr>
          <w:trHeight w:val="99"/>
        </w:trPr>
        <w:tc>
          <w:tcPr>
            <w:tcW w:w="346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r>
      <w:tr>
        <w:trPr>
          <w:trHeight w:val="180"/>
        </w:trPr>
        <w:tc>
          <w:tcPr>
            <w:tcW w:w="34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38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Common stock</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40.1</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40.1</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Treasury stock</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(20.9)</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(26.0)</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80"/>
              <w:spacing w:after="0"/>
              <w:rPr>
                <w:sz w:val="20"/>
                <w:szCs w:val="20"/>
                <w:color w:val="auto"/>
              </w:rPr>
            </w:pPr>
            <w:r>
              <w:rPr>
                <w:rFonts w:ascii="Arial" w:cs="Arial" w:eastAsia="Arial" w:hAnsi="Arial"/>
                <w:sz w:val="12"/>
                <w:szCs w:val="12"/>
                <w:color w:val="auto"/>
              </w:rPr>
              <w:t>Paid-in capital</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22.5</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24.4</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80"/>
              <w:spacing w:after="0"/>
              <w:rPr>
                <w:sz w:val="20"/>
                <w:szCs w:val="20"/>
                <w:color w:val="auto"/>
              </w:rPr>
            </w:pPr>
            <w:r>
              <w:rPr>
                <w:rFonts w:ascii="Arial" w:cs="Arial" w:eastAsia="Arial" w:hAnsi="Arial"/>
                <w:sz w:val="12"/>
                <w:szCs w:val="12"/>
                <w:color w:val="auto"/>
              </w:rPr>
              <w:t>Earnings invested in the business</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4"/>
              </w:rPr>
              <w:t>1,238.6</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1,138.1</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Accumulated other comprehensive income (loss)</w:t>
            </w:r>
          </w:p>
        </w:tc>
        <w:tc>
          <w:tcPr>
            <w:tcW w:w="3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(15.8)</w:t>
            </w:r>
          </w:p>
        </w:tc>
        <w:tc>
          <w:tcPr>
            <w:tcW w:w="3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(17.1)</w:t>
            </w:r>
          </w:p>
        </w:tc>
        <w:tc>
          <w:tcPr>
            <w:tcW w:w="320" w:type="dxa"/>
            <w:vAlign w:val="bottom"/>
            <w:tcBorders>
              <w:bottom w:val="single" w:sz="8" w:color="CCEEFF"/>
            </w:tcBorders>
          </w:tcPr>
          <w:p>
            <w:pPr>
              <w:spacing w:after="0"/>
              <w:rPr>
                <w:sz w:val="14"/>
                <w:szCs w:val="14"/>
                <w:color w:val="auto"/>
              </w:rPr>
            </w:pPr>
          </w:p>
        </w:tc>
      </w:tr>
      <w:tr>
        <w:trPr>
          <w:trHeight w:val="88"/>
        </w:trPr>
        <w:tc>
          <w:tcPr>
            <w:tcW w:w="3460" w:type="dxa"/>
            <w:vAlign w:val="bottom"/>
            <w:shd w:val="clear" w:color="auto" w:fill="CCEEFF"/>
          </w:tcPr>
          <w:p>
            <w:pPr>
              <w:spacing w:after="0"/>
              <w:rPr>
                <w:sz w:val="7"/>
                <w:szCs w:val="7"/>
                <w:color w:val="auto"/>
              </w:rPr>
            </w:pPr>
          </w:p>
        </w:tc>
        <w:tc>
          <w:tcPr>
            <w:tcW w:w="38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r>
      <w:tr>
        <w:trPr>
          <w:trHeight w:val="171"/>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stockholders' equity</w:t>
            </w:r>
          </w:p>
        </w:tc>
        <w:tc>
          <w:tcPr>
            <w:tcW w:w="382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4"/>
              </w:rPr>
              <w:t>1,264.5</w:t>
            </w:r>
          </w:p>
        </w:tc>
        <w:tc>
          <w:tcPr>
            <w:tcW w:w="30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1,159.5</w:t>
            </w:r>
          </w:p>
        </w:tc>
        <w:tc>
          <w:tcPr>
            <w:tcW w:w="320" w:type="dxa"/>
            <w:vAlign w:val="bottom"/>
            <w:tcBorders>
              <w:bottom w:val="single" w:sz="8" w:color="CCEEFF"/>
            </w:tcBorders>
          </w:tcPr>
          <w:p>
            <w:pPr>
              <w:spacing w:after="0"/>
              <w:rPr>
                <w:sz w:val="14"/>
                <w:szCs w:val="14"/>
                <w:color w:val="auto"/>
              </w:rPr>
            </w:pPr>
          </w:p>
        </w:tc>
      </w:tr>
      <w:tr>
        <w:trPr>
          <w:trHeight w:val="88"/>
        </w:trPr>
        <w:tc>
          <w:tcPr>
            <w:tcW w:w="3460" w:type="dxa"/>
            <w:vAlign w:val="bottom"/>
            <w:shd w:val="clear" w:color="auto" w:fill="CCEEFF"/>
          </w:tcPr>
          <w:p>
            <w:pPr>
              <w:spacing w:after="0"/>
              <w:rPr>
                <w:sz w:val="7"/>
                <w:szCs w:val="7"/>
                <w:color w:val="auto"/>
              </w:rPr>
            </w:pPr>
          </w:p>
        </w:tc>
        <w:tc>
          <w:tcPr>
            <w:tcW w:w="382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r>
      <w:tr>
        <w:trPr>
          <w:trHeight w:val="19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Total Liabilities and Stockholders' Equity</w:t>
            </w:r>
          </w:p>
        </w:tc>
        <w:tc>
          <w:tcPr>
            <w:tcW w:w="38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94"/>
              </w:rPr>
              <w:t>2,480.6</w:t>
            </w:r>
          </w:p>
        </w:tc>
        <w:tc>
          <w:tcPr>
            <w:tcW w:w="30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2,314.4</w:t>
            </w:r>
          </w:p>
        </w:tc>
        <w:tc>
          <w:tcPr>
            <w:tcW w:w="320" w:type="dxa"/>
            <w:vAlign w:val="bottom"/>
            <w:tcBorders>
              <w:bottom w:val="single" w:sz="8" w:color="CCEEFF"/>
            </w:tcBorders>
          </w:tcPr>
          <w:p>
            <w:pPr>
              <w:spacing w:after="0"/>
              <w:rPr>
                <w:sz w:val="17"/>
                <w:szCs w:val="17"/>
                <w:color w:val="auto"/>
              </w:rPr>
            </w:pPr>
          </w:p>
        </w:tc>
      </w:tr>
      <w:tr>
        <w:trPr>
          <w:trHeight w:val="126"/>
        </w:trPr>
        <w:tc>
          <w:tcPr>
            <w:tcW w:w="3460" w:type="dxa"/>
            <w:vAlign w:val="bottom"/>
            <w:shd w:val="clear" w:color="auto" w:fill="CCEEFF"/>
          </w:tcPr>
          <w:p>
            <w:pPr>
              <w:spacing w:after="0"/>
              <w:rPr>
                <w:sz w:val="10"/>
                <w:szCs w:val="10"/>
                <w:color w:val="auto"/>
              </w:rPr>
            </w:pPr>
          </w:p>
        </w:tc>
        <w:tc>
          <w:tcPr>
            <w:tcW w:w="38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r>
      <w:tr>
        <w:trPr>
          <w:trHeight w:val="171"/>
        </w:trPr>
        <w:tc>
          <w:tcPr>
            <w:tcW w:w="3460" w:type="dxa"/>
            <w:vAlign w:val="bottom"/>
          </w:tcPr>
          <w:p>
            <w:pPr>
              <w:ind w:left="20"/>
              <w:spacing w:after="0"/>
              <w:rPr>
                <w:sz w:val="20"/>
                <w:szCs w:val="20"/>
                <w:color w:val="auto"/>
              </w:rPr>
            </w:pPr>
            <w:r>
              <w:rPr>
                <w:rFonts w:ascii="Arial" w:cs="Arial" w:eastAsia="Arial" w:hAnsi="Arial"/>
                <w:sz w:val="12"/>
                <w:szCs w:val="12"/>
                <w:b w:val="1"/>
                <w:bCs w:val="1"/>
                <w:color w:val="auto"/>
              </w:rPr>
              <w:t>Statistics:</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40"/>
              <w:spacing w:after="0"/>
              <w:rPr>
                <w:sz w:val="20"/>
                <w:szCs w:val="20"/>
                <w:color w:val="auto"/>
              </w:rPr>
            </w:pPr>
            <w:r>
              <w:rPr>
                <w:rFonts w:ascii="Arial" w:cs="Arial" w:eastAsia="Arial" w:hAnsi="Arial"/>
                <w:sz w:val="12"/>
                <w:szCs w:val="12"/>
                <w:color w:val="auto"/>
              </w:rPr>
              <w:t>Working Capital</w:t>
            </w:r>
          </w:p>
        </w:tc>
        <w:tc>
          <w:tcPr>
            <w:tcW w:w="3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521.6</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503.0</w:t>
            </w:r>
          </w:p>
        </w:tc>
        <w:tc>
          <w:tcPr>
            <w:tcW w:w="320" w:type="dxa"/>
            <w:vAlign w:val="bottom"/>
            <w:shd w:val="clear" w:color="auto" w:fill="CCEEFF"/>
          </w:tcPr>
          <w:p>
            <w:pPr>
              <w:spacing w:after="0"/>
              <w:rPr>
                <w:sz w:val="16"/>
                <w:szCs w:val="16"/>
                <w:color w:val="auto"/>
              </w:rPr>
            </w:pPr>
          </w:p>
        </w:tc>
      </w:tr>
      <w:tr>
        <w:trPr>
          <w:trHeight w:val="171"/>
        </w:trPr>
        <w:tc>
          <w:tcPr>
            <w:tcW w:w="3460" w:type="dxa"/>
            <w:vAlign w:val="bottom"/>
          </w:tcPr>
          <w:p>
            <w:pPr>
              <w:ind w:left="40"/>
              <w:spacing w:after="0"/>
              <w:rPr>
                <w:sz w:val="20"/>
                <w:szCs w:val="20"/>
                <w:color w:val="auto"/>
              </w:rPr>
            </w:pPr>
            <w:r>
              <w:rPr>
                <w:rFonts w:ascii="Arial" w:cs="Arial" w:eastAsia="Arial" w:hAnsi="Arial"/>
                <w:sz w:val="12"/>
                <w:szCs w:val="12"/>
                <w:color w:val="auto"/>
              </w:rPr>
              <w:t>Current Ratio</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1.6</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40"/>
              <w:spacing w:after="0"/>
              <w:rPr>
                <w:sz w:val="20"/>
                <w:szCs w:val="20"/>
                <w:color w:val="auto"/>
              </w:rPr>
            </w:pPr>
            <w:r>
              <w:rPr>
                <w:rFonts w:ascii="Arial" w:cs="Arial" w:eastAsia="Arial" w:hAnsi="Arial"/>
                <w:sz w:val="12"/>
                <w:szCs w:val="12"/>
                <w:color w:val="auto"/>
              </w:rPr>
              <w:t>Debt-to-capital %</w:t>
            </w:r>
          </w:p>
        </w:tc>
        <w:tc>
          <w:tcPr>
            <w:tcW w:w="38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74"/>
              </w:rPr>
              <w:t>%</w:t>
            </w: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93"/>
              </w:rPr>
              <w:t>%</w:t>
            </w:r>
          </w:p>
        </w:tc>
      </w:tr>
      <w:tr>
        <w:trPr>
          <w:trHeight w:val="171"/>
        </w:trPr>
        <w:tc>
          <w:tcPr>
            <w:tcW w:w="3460" w:type="dxa"/>
            <w:vAlign w:val="bottom"/>
          </w:tcPr>
          <w:p>
            <w:pPr>
              <w:ind w:left="40"/>
              <w:spacing w:after="0"/>
              <w:rPr>
                <w:sz w:val="20"/>
                <w:szCs w:val="20"/>
                <w:color w:val="auto"/>
              </w:rPr>
            </w:pPr>
            <w:r>
              <w:rPr>
                <w:rFonts w:ascii="Arial" w:cs="Arial" w:eastAsia="Arial" w:hAnsi="Arial"/>
                <w:sz w:val="12"/>
                <w:szCs w:val="12"/>
                <w:color w:val="auto"/>
              </w:rPr>
              <w:t>Global Days Sales Outstanding</w:t>
            </w:r>
          </w:p>
        </w:tc>
        <w:tc>
          <w:tcPr>
            <w:tcW w:w="3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jc w:val="right"/>
              <w:ind w:right="80"/>
              <w:spacing w:after="0"/>
              <w:rPr>
                <w:sz w:val="20"/>
                <w:szCs w:val="20"/>
                <w:color w:val="auto"/>
              </w:rPr>
            </w:pPr>
            <w:r>
              <w:rPr>
                <w:rFonts w:ascii="Arial" w:cs="Arial" w:eastAsia="Arial" w:hAnsi="Arial"/>
                <w:sz w:val="12"/>
                <w:szCs w:val="12"/>
                <w:color w:val="auto"/>
              </w:rPr>
              <w:t>58</w:t>
            </w:r>
          </w:p>
        </w:tc>
        <w:tc>
          <w:tcPr>
            <w:tcW w:w="300" w:type="dxa"/>
            <w:vAlign w:val="bottom"/>
          </w:tcPr>
          <w:p>
            <w:pPr>
              <w:spacing w:after="0"/>
              <w:rPr>
                <w:sz w:val="14"/>
                <w:szCs w:val="14"/>
                <w:color w:val="auto"/>
              </w:rPr>
            </w:pPr>
          </w:p>
        </w:tc>
        <w:tc>
          <w:tcPr>
            <w:tcW w:w="1780" w:type="dxa"/>
            <w:vAlign w:val="bottom"/>
          </w:tcPr>
          <w:p>
            <w:pPr>
              <w:jc w:val="right"/>
              <w:ind w:right="80"/>
              <w:spacing w:after="0"/>
              <w:rPr>
                <w:sz w:val="20"/>
                <w:szCs w:val="20"/>
                <w:color w:val="auto"/>
              </w:rPr>
            </w:pPr>
            <w:r>
              <w:rPr>
                <w:rFonts w:ascii="Arial" w:cs="Arial" w:eastAsia="Arial" w:hAnsi="Arial"/>
                <w:sz w:val="12"/>
                <w:szCs w:val="12"/>
                <w:color w:val="auto"/>
              </w:rPr>
              <w:t>55</w:t>
            </w:r>
          </w:p>
        </w:tc>
        <w:tc>
          <w:tcPr>
            <w:tcW w:w="320" w:type="dxa"/>
            <w:vAlign w:val="bottom"/>
          </w:tcPr>
          <w:p>
            <w:pPr>
              <w:spacing w:after="0"/>
              <w:rPr>
                <w:sz w:val="14"/>
                <w:szCs w:val="14"/>
                <w:color w:val="auto"/>
              </w:rPr>
            </w:pPr>
          </w:p>
        </w:tc>
      </w:tr>
      <w:tr>
        <w:trPr>
          <w:trHeight w:val="189"/>
        </w:trPr>
        <w:tc>
          <w:tcPr>
            <w:tcW w:w="3460" w:type="dxa"/>
            <w:vAlign w:val="bottom"/>
            <w:shd w:val="clear" w:color="auto" w:fill="CCEEFF"/>
          </w:tcPr>
          <w:p>
            <w:pPr>
              <w:ind w:left="40"/>
              <w:spacing w:after="0"/>
              <w:rPr>
                <w:sz w:val="20"/>
                <w:szCs w:val="20"/>
                <w:color w:val="auto"/>
              </w:rPr>
            </w:pPr>
            <w:r>
              <w:rPr>
                <w:rFonts w:ascii="Arial" w:cs="Arial" w:eastAsia="Arial" w:hAnsi="Arial"/>
                <w:sz w:val="12"/>
                <w:szCs w:val="12"/>
                <w:color w:val="auto"/>
              </w:rPr>
              <w:t>Year-to-Date Free Cash Flow</w:t>
            </w:r>
          </w:p>
        </w:tc>
        <w:tc>
          <w:tcPr>
            <w:tcW w:w="3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82.2</w:t>
            </w:r>
          </w:p>
        </w:tc>
        <w:tc>
          <w:tcPr>
            <w:tcW w:w="3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35.8</w:t>
            </w:r>
          </w:p>
        </w:tc>
        <w:tc>
          <w:tcPr>
            <w:tcW w:w="320" w:type="dxa"/>
            <w:vAlign w:val="bottom"/>
            <w:shd w:val="clear" w:color="auto" w:fill="CCEEFF"/>
          </w:tcPr>
          <w:p>
            <w:pPr>
              <w:spacing w:after="0"/>
              <w:rPr>
                <w:sz w:val="16"/>
                <w:szCs w:val="16"/>
                <w:color w:val="auto"/>
              </w:rPr>
            </w:pPr>
          </w:p>
        </w:tc>
      </w:tr>
      <w:tr>
        <w:trPr>
          <w:trHeight w:val="829"/>
        </w:trPr>
        <w:tc>
          <w:tcPr>
            <w:tcW w:w="3460" w:type="dxa"/>
            <w:vAlign w:val="bottom"/>
          </w:tcPr>
          <w:p>
            <w:pPr>
              <w:spacing w:after="0"/>
              <w:rPr>
                <w:sz w:val="24"/>
                <w:szCs w:val="24"/>
                <w:color w:val="auto"/>
              </w:rPr>
            </w:pPr>
          </w:p>
        </w:tc>
        <w:tc>
          <w:tcPr>
            <w:tcW w:w="3820" w:type="dxa"/>
            <w:vAlign w:val="bottom"/>
          </w:tcPr>
          <w:p>
            <w:pPr>
              <w:jc w:val="center"/>
              <w:ind w:left="660"/>
              <w:spacing w:after="0"/>
              <w:rPr>
                <w:sz w:val="20"/>
                <w:szCs w:val="20"/>
                <w:color w:val="auto"/>
              </w:rPr>
            </w:pPr>
            <w:r>
              <w:rPr>
                <w:rFonts w:ascii="Arial" w:cs="Arial" w:eastAsia="Arial" w:hAnsi="Arial"/>
                <w:sz w:val="12"/>
                <w:szCs w:val="12"/>
                <w:color w:val="auto"/>
                <w:w w:val="89"/>
              </w:rPr>
              <w:t>8</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60"/>
          </w:cols>
          <w:pgMar w:left="220" w:top="595" w:right="2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000" w:type="dxa"/>
            <w:vAlign w:val="bottom"/>
          </w:tcPr>
          <w:p>
            <w:pPr>
              <w:jc w:val="center"/>
              <w:ind w:left="3380"/>
              <w:spacing w:after="0"/>
              <w:rPr>
                <w:sz w:val="20"/>
                <w:szCs w:val="20"/>
                <w:color w:val="auto"/>
              </w:rPr>
            </w:pPr>
            <w:r>
              <w:rPr>
                <w:rFonts w:ascii="Arial" w:cs="Arial" w:eastAsia="Arial" w:hAnsi="Arial"/>
                <w:sz w:val="12"/>
                <w:szCs w:val="12"/>
                <w:b w:val="1"/>
                <w:bCs w:val="1"/>
                <w:color w:val="auto"/>
                <w:w w:val="99"/>
              </w:rPr>
              <w:t>KELLY SERVICES, INC. AND SUBSIDIARIES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80"/>
        </w:trPr>
        <w:tc>
          <w:tcPr>
            <w:tcW w:w="8000" w:type="dxa"/>
            <w:vAlign w:val="bottom"/>
          </w:tcPr>
          <w:p>
            <w:pPr>
              <w:jc w:val="center"/>
              <w:ind w:left="3360"/>
              <w:spacing w:after="0"/>
              <w:rPr>
                <w:sz w:val="20"/>
                <w:szCs w:val="20"/>
                <w:color w:val="auto"/>
              </w:rPr>
            </w:pPr>
            <w:r>
              <w:rPr>
                <w:rFonts w:ascii="Arial" w:cs="Arial" w:eastAsia="Arial" w:hAnsi="Arial"/>
                <w:sz w:val="12"/>
                <w:szCs w:val="12"/>
                <w:b w:val="1"/>
                <w:bCs w:val="1"/>
                <w:color w:val="auto"/>
                <w:w w:val="99"/>
              </w:rPr>
              <w:t>CONSOLIDATED STATEMENTS OF CASH FLOWS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8000" w:type="dxa"/>
            <w:vAlign w:val="bottom"/>
          </w:tcPr>
          <w:p>
            <w:pPr>
              <w:jc w:val="center"/>
              <w:ind w:left="3380"/>
              <w:spacing w:after="0"/>
              <w:rPr>
                <w:sz w:val="20"/>
                <w:szCs w:val="20"/>
                <w:color w:val="auto"/>
              </w:rPr>
            </w:pPr>
            <w:r>
              <w:rPr>
                <w:rFonts w:ascii="Arial" w:cs="Arial" w:eastAsia="Arial" w:hAnsi="Arial"/>
                <w:sz w:val="12"/>
                <w:szCs w:val="12"/>
                <w:b w:val="1"/>
                <w:bCs w:val="1"/>
                <w:color w:val="auto"/>
                <w:w w:val="97"/>
              </w:rPr>
              <w:t>FOR THE 52 WEEKS ENDED DECEMBER 29, 2019 AND DECEMBER 30, 2018</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8000" w:type="dxa"/>
            <w:vAlign w:val="bottom"/>
          </w:tcPr>
          <w:p>
            <w:pPr>
              <w:jc w:val="center"/>
              <w:ind w:left="3380"/>
              <w:spacing w:after="0"/>
              <w:rPr>
                <w:sz w:val="20"/>
                <w:szCs w:val="20"/>
                <w:color w:val="auto"/>
              </w:rPr>
            </w:pPr>
            <w:r>
              <w:rPr>
                <w:rFonts w:ascii="Arial" w:cs="Arial" w:eastAsia="Arial" w:hAnsi="Arial"/>
                <w:sz w:val="12"/>
                <w:szCs w:val="12"/>
                <w:b w:val="1"/>
                <w:bCs w:val="1"/>
                <w:color w:val="auto"/>
              </w:rPr>
              <w:t>(UNAUDITED)</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0"/>
        </w:trPr>
        <w:tc>
          <w:tcPr>
            <w:tcW w:w="8000" w:type="dxa"/>
            <w:vAlign w:val="bottom"/>
          </w:tcPr>
          <w:p>
            <w:pPr>
              <w:jc w:val="center"/>
              <w:ind w:left="3360"/>
              <w:spacing w:after="0"/>
              <w:rPr>
                <w:sz w:val="20"/>
                <w:szCs w:val="20"/>
                <w:color w:val="auto"/>
              </w:rPr>
            </w:pPr>
            <w:r>
              <w:rPr>
                <w:rFonts w:ascii="Arial" w:cs="Arial" w:eastAsia="Arial" w:hAnsi="Arial"/>
                <w:sz w:val="12"/>
                <w:szCs w:val="12"/>
                <w:color w:val="auto"/>
                <w:w w:val="96"/>
              </w:rPr>
              <w:t>(In millions of dollars)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9"/>
        </w:trPr>
        <w:tc>
          <w:tcPr>
            <w:tcW w:w="800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ind w:right="520"/>
              <w:spacing w:after="0"/>
              <w:rPr>
                <w:sz w:val="20"/>
                <w:szCs w:val="20"/>
                <w:color w:val="auto"/>
              </w:rPr>
            </w:pPr>
            <w:r>
              <w:rPr>
                <w:rFonts w:ascii="Arial" w:cs="Arial" w:eastAsia="Arial" w:hAnsi="Arial"/>
                <w:sz w:val="12"/>
                <w:szCs w:val="12"/>
                <w:b w:val="1"/>
                <w:bCs w:val="1"/>
                <w:color w:val="auto"/>
              </w:rPr>
              <w:t>2018</w:t>
            </w:r>
          </w:p>
        </w:tc>
      </w:tr>
      <w:tr>
        <w:trPr>
          <w:trHeight w:val="178"/>
        </w:trPr>
        <w:tc>
          <w:tcPr>
            <w:tcW w:w="8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r>
      <w:tr>
        <w:trPr>
          <w:trHeight w:val="171"/>
        </w:trPr>
        <w:tc>
          <w:tcPr>
            <w:tcW w:w="8000" w:type="dxa"/>
            <w:vAlign w:val="bottom"/>
          </w:tcPr>
          <w:p>
            <w:pPr>
              <w:ind w:left="80"/>
              <w:spacing w:after="0"/>
              <w:rPr>
                <w:sz w:val="20"/>
                <w:szCs w:val="20"/>
                <w:color w:val="auto"/>
              </w:rPr>
            </w:pPr>
            <w:r>
              <w:rPr>
                <w:rFonts w:ascii="Arial" w:cs="Arial" w:eastAsia="Arial" w:hAnsi="Arial"/>
                <w:sz w:val="12"/>
                <w:szCs w:val="12"/>
                <w:color w:val="auto"/>
              </w:rPr>
              <w:t>Net earnings</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112.4</w:t>
            </w: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420" w:type="dxa"/>
            <w:vAlign w:val="bottom"/>
          </w:tcPr>
          <w:p>
            <w:pPr>
              <w:jc w:val="right"/>
              <w:ind w:right="80"/>
              <w:spacing w:after="0"/>
              <w:rPr>
                <w:sz w:val="20"/>
                <w:szCs w:val="20"/>
                <w:color w:val="auto"/>
              </w:rPr>
            </w:pPr>
            <w:r>
              <w:rPr>
                <w:rFonts w:ascii="Arial" w:cs="Arial" w:eastAsia="Arial" w:hAnsi="Arial"/>
                <w:sz w:val="12"/>
                <w:szCs w:val="12"/>
                <w:color w:val="auto"/>
              </w:rPr>
              <w:t>22.9</w:t>
            </w:r>
          </w:p>
        </w:tc>
      </w:tr>
      <w:tr>
        <w:trPr>
          <w:trHeight w:val="189"/>
        </w:trPr>
        <w:tc>
          <w:tcPr>
            <w:tcW w:w="8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Adjustments to reconcile net earnings to net cash from operating activities: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71"/>
        </w:trPr>
        <w:tc>
          <w:tcPr>
            <w:tcW w:w="8000" w:type="dxa"/>
            <w:vAlign w:val="bottom"/>
          </w:tcPr>
          <w:p>
            <w:pPr>
              <w:ind w:left="12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31.6</w:t>
            </w:r>
          </w:p>
        </w:tc>
        <w:tc>
          <w:tcPr>
            <w:tcW w:w="320" w:type="dxa"/>
            <w:vAlign w:val="bottom"/>
          </w:tcPr>
          <w:p>
            <w:pPr>
              <w:spacing w:after="0"/>
              <w:rPr>
                <w:sz w:val="14"/>
                <w:szCs w:val="14"/>
                <w:color w:val="auto"/>
              </w:rPr>
            </w:pPr>
          </w:p>
        </w:tc>
        <w:tc>
          <w:tcPr>
            <w:tcW w:w="1420" w:type="dxa"/>
            <w:vAlign w:val="bottom"/>
          </w:tcPr>
          <w:p>
            <w:pPr>
              <w:jc w:val="right"/>
              <w:ind w:right="80"/>
              <w:spacing w:after="0"/>
              <w:rPr>
                <w:sz w:val="20"/>
                <w:szCs w:val="20"/>
                <w:color w:val="auto"/>
              </w:rPr>
            </w:pPr>
            <w:r>
              <w:rPr>
                <w:rFonts w:ascii="Arial" w:cs="Arial" w:eastAsia="Arial" w:hAnsi="Arial"/>
                <w:sz w:val="12"/>
                <w:szCs w:val="12"/>
                <w:color w:val="auto"/>
              </w:rPr>
              <w:t>26.2</w:t>
            </w:r>
          </w:p>
        </w:tc>
      </w:tr>
      <w:tr>
        <w:trPr>
          <w:trHeight w:val="18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Operating lease asset amortization</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22.3</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1"/>
        </w:trPr>
        <w:tc>
          <w:tcPr>
            <w:tcW w:w="8000" w:type="dxa"/>
            <w:vAlign w:val="bottom"/>
          </w:tcPr>
          <w:p>
            <w:pPr>
              <w:ind w:left="120"/>
              <w:spacing w:after="0"/>
              <w:rPr>
                <w:sz w:val="20"/>
                <w:szCs w:val="20"/>
                <w:color w:val="auto"/>
              </w:rPr>
            </w:pPr>
            <w:r>
              <w:rPr>
                <w:rFonts w:ascii="Arial" w:cs="Arial" w:eastAsia="Arial" w:hAnsi="Arial"/>
                <w:sz w:val="12"/>
                <w:szCs w:val="12"/>
                <w:color w:val="auto"/>
              </w:rPr>
              <w:t>Provision for bad debts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4.1</w:t>
            </w:r>
          </w:p>
        </w:tc>
        <w:tc>
          <w:tcPr>
            <w:tcW w:w="320" w:type="dxa"/>
            <w:vAlign w:val="bottom"/>
          </w:tcPr>
          <w:p>
            <w:pPr>
              <w:spacing w:after="0"/>
              <w:rPr>
                <w:sz w:val="14"/>
                <w:szCs w:val="14"/>
                <w:color w:val="auto"/>
              </w:rPr>
            </w:pPr>
          </w:p>
        </w:tc>
        <w:tc>
          <w:tcPr>
            <w:tcW w:w="1420" w:type="dxa"/>
            <w:vAlign w:val="bottom"/>
          </w:tcPr>
          <w:p>
            <w:pPr>
              <w:jc w:val="right"/>
              <w:ind w:right="80"/>
              <w:spacing w:after="0"/>
              <w:rPr>
                <w:sz w:val="20"/>
                <w:szCs w:val="20"/>
                <w:color w:val="auto"/>
              </w:rPr>
            </w:pPr>
            <w:r>
              <w:rPr>
                <w:rFonts w:ascii="Arial" w:cs="Arial" w:eastAsia="Arial" w:hAnsi="Arial"/>
                <w:sz w:val="12"/>
                <w:szCs w:val="12"/>
                <w:color w:val="auto"/>
              </w:rPr>
              <w:t>3.0</w:t>
            </w:r>
          </w:p>
        </w:tc>
      </w:tr>
      <w:tr>
        <w:trPr>
          <w:trHeight w:val="18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Stock-based compensation</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8.1</w:t>
            </w:r>
          </w:p>
        </w:tc>
      </w:tr>
      <w:tr>
        <w:trPr>
          <w:trHeight w:val="171"/>
        </w:trPr>
        <w:tc>
          <w:tcPr>
            <w:tcW w:w="8000" w:type="dxa"/>
            <w:vAlign w:val="bottom"/>
          </w:tcPr>
          <w:p>
            <w:pPr>
              <w:ind w:left="120"/>
              <w:spacing w:after="0"/>
              <w:rPr>
                <w:sz w:val="20"/>
                <w:szCs w:val="20"/>
                <w:color w:val="auto"/>
              </w:rPr>
            </w:pPr>
            <w:r>
              <w:rPr>
                <w:rFonts w:ascii="Arial" w:cs="Arial" w:eastAsia="Arial" w:hAnsi="Arial"/>
                <w:sz w:val="12"/>
                <w:szCs w:val="12"/>
                <w:color w:val="auto"/>
              </w:rPr>
              <w:t>Deferred income taxes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(18.3)</w:t>
            </w:r>
          </w:p>
        </w:tc>
        <w:tc>
          <w:tcPr>
            <w:tcW w:w="320" w:type="dxa"/>
            <w:vAlign w:val="bottom"/>
          </w:tcPr>
          <w:p>
            <w:pPr>
              <w:spacing w:after="0"/>
              <w:rPr>
                <w:sz w:val="14"/>
                <w:szCs w:val="14"/>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(47.5)</w:t>
            </w:r>
          </w:p>
        </w:tc>
      </w:tr>
      <w:tr>
        <w:trPr>
          <w:trHeight w:val="18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(Gain) loss on investment in Persol Holdings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(35.8)</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96.2</w:t>
            </w:r>
          </w:p>
        </w:tc>
      </w:tr>
      <w:tr>
        <w:trPr>
          <w:trHeight w:val="171"/>
        </w:trPr>
        <w:tc>
          <w:tcPr>
            <w:tcW w:w="8000" w:type="dxa"/>
            <w:vAlign w:val="bottom"/>
          </w:tcPr>
          <w:p>
            <w:pPr>
              <w:ind w:left="120"/>
              <w:spacing w:after="0"/>
              <w:rPr>
                <w:sz w:val="20"/>
                <w:szCs w:val="20"/>
                <w:color w:val="auto"/>
              </w:rPr>
            </w:pPr>
            <w:r>
              <w:rPr>
                <w:rFonts w:ascii="Arial" w:cs="Arial" w:eastAsia="Arial" w:hAnsi="Arial"/>
                <w:sz w:val="12"/>
                <w:szCs w:val="12"/>
                <w:color w:val="auto"/>
              </w:rPr>
              <w:t>(Gain) on sale of assets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(12.3)</w:t>
            </w:r>
          </w:p>
        </w:tc>
        <w:tc>
          <w:tcPr>
            <w:tcW w:w="320" w:type="dxa"/>
            <w:vAlign w:val="bottom"/>
          </w:tcPr>
          <w:p>
            <w:pPr>
              <w:spacing w:after="0"/>
              <w:rPr>
                <w:sz w:val="14"/>
                <w:szCs w:val="14"/>
                <w:color w:val="auto"/>
              </w:rPr>
            </w:pPr>
          </w:p>
        </w:tc>
        <w:tc>
          <w:tcPr>
            <w:tcW w:w="14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Asset impairment charge</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15.8</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1"/>
        </w:trPr>
        <w:tc>
          <w:tcPr>
            <w:tcW w:w="8000" w:type="dxa"/>
            <w:vAlign w:val="bottom"/>
          </w:tcPr>
          <w:p>
            <w:pPr>
              <w:ind w:left="120"/>
              <w:spacing w:after="0"/>
              <w:rPr>
                <w:sz w:val="20"/>
                <w:szCs w:val="20"/>
                <w:color w:val="auto"/>
              </w:rPr>
            </w:pPr>
            <w:r>
              <w:rPr>
                <w:rFonts w:ascii="Arial" w:cs="Arial" w:eastAsia="Arial" w:hAnsi="Arial"/>
                <w:sz w:val="12"/>
                <w:szCs w:val="12"/>
                <w:color w:val="auto"/>
              </w:rPr>
              <w:t>Equity in net (earnings) loss of PersolKelly Asia Pacific</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3.6</w:t>
            </w:r>
          </w:p>
        </w:tc>
        <w:tc>
          <w:tcPr>
            <w:tcW w:w="320" w:type="dxa"/>
            <w:vAlign w:val="bottom"/>
          </w:tcPr>
          <w:p>
            <w:pPr>
              <w:spacing w:after="0"/>
              <w:rPr>
                <w:sz w:val="14"/>
                <w:szCs w:val="14"/>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(5.2)</w:t>
            </w:r>
          </w:p>
        </w:tc>
      </w:tr>
      <w:tr>
        <w:trPr>
          <w:trHeight w:val="18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net</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(0.4)</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(0.8)</w:t>
            </w:r>
          </w:p>
        </w:tc>
      </w:tr>
      <w:tr>
        <w:trPr>
          <w:trHeight w:val="171"/>
        </w:trPr>
        <w:tc>
          <w:tcPr>
            <w:tcW w:w="80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Changes in operating assets and liabilities, net of acquisitions</w:t>
            </w: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(26.4)</w:t>
            </w:r>
          </w:p>
        </w:tc>
        <w:tc>
          <w:tcPr>
            <w:tcW w:w="3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(41.5)</w:t>
            </w:r>
          </w:p>
        </w:tc>
      </w:tr>
      <w:tr>
        <w:trPr>
          <w:trHeight w:val="16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Net cash from operating activities</w:t>
            </w:r>
          </w:p>
        </w:tc>
        <w:tc>
          <w:tcPr>
            <w:tcW w:w="3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102.2</w:t>
            </w:r>
          </w:p>
        </w:tc>
        <w:tc>
          <w:tcPr>
            <w:tcW w:w="3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61.4</w:t>
            </w:r>
          </w:p>
        </w:tc>
      </w:tr>
      <w:tr>
        <w:trPr>
          <w:trHeight w:val="124"/>
        </w:trPr>
        <w:tc>
          <w:tcPr>
            <w:tcW w:w="8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0"/>
        </w:trPr>
        <w:tc>
          <w:tcPr>
            <w:tcW w:w="8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8000" w:type="dxa"/>
            <w:vAlign w:val="bottom"/>
          </w:tcPr>
          <w:p>
            <w:pPr>
              <w:ind w:left="80"/>
              <w:spacing w:after="0"/>
              <w:rPr>
                <w:sz w:val="20"/>
                <w:szCs w:val="20"/>
                <w:color w:val="auto"/>
              </w:rPr>
            </w:pPr>
            <w:r>
              <w:rPr>
                <w:rFonts w:ascii="Arial" w:cs="Arial" w:eastAsia="Arial" w:hAnsi="Arial"/>
                <w:sz w:val="12"/>
                <w:szCs w:val="12"/>
                <w:color w:val="auto"/>
              </w:rPr>
              <w:t>Capital expenditures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(20.0)</w:t>
            </w:r>
          </w:p>
        </w:tc>
        <w:tc>
          <w:tcPr>
            <w:tcW w:w="320" w:type="dxa"/>
            <w:vAlign w:val="bottom"/>
          </w:tcPr>
          <w:p>
            <w:pPr>
              <w:spacing w:after="0"/>
              <w:rPr>
                <w:sz w:val="14"/>
                <w:szCs w:val="14"/>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(25.6)</w:t>
            </w:r>
          </w:p>
        </w:tc>
      </w:tr>
      <w:tr>
        <w:trPr>
          <w:trHeight w:val="189"/>
        </w:trPr>
        <w:tc>
          <w:tcPr>
            <w:tcW w:w="8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Acquisition of companies, net of cash received</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(86.4)</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1"/>
        </w:trPr>
        <w:tc>
          <w:tcPr>
            <w:tcW w:w="8000" w:type="dxa"/>
            <w:vAlign w:val="bottom"/>
          </w:tcPr>
          <w:p>
            <w:pPr>
              <w:ind w:left="80"/>
              <w:spacing w:after="0"/>
              <w:rPr>
                <w:sz w:val="20"/>
                <w:szCs w:val="20"/>
                <w:color w:val="auto"/>
              </w:rPr>
            </w:pPr>
            <w:r>
              <w:rPr>
                <w:rFonts w:ascii="Arial" w:cs="Arial" w:eastAsia="Arial" w:hAnsi="Arial"/>
                <w:sz w:val="12"/>
                <w:szCs w:val="12"/>
                <w:color w:val="auto"/>
              </w:rPr>
              <w:t>Investment in equity securities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(1.0)</w:t>
            </w:r>
          </w:p>
        </w:tc>
        <w:tc>
          <w:tcPr>
            <w:tcW w:w="320" w:type="dxa"/>
            <w:vAlign w:val="bottom"/>
          </w:tcPr>
          <w:p>
            <w:pPr>
              <w:spacing w:after="0"/>
              <w:rPr>
                <w:sz w:val="14"/>
                <w:szCs w:val="14"/>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(5.0)</w:t>
            </w:r>
          </w:p>
        </w:tc>
      </w:tr>
      <w:tr>
        <w:trPr>
          <w:trHeight w:val="189"/>
        </w:trPr>
        <w:tc>
          <w:tcPr>
            <w:tcW w:w="8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Loans to equity affiliate</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w:t>
            </w:r>
          </w:p>
        </w:tc>
      </w:tr>
      <w:tr>
        <w:trPr>
          <w:trHeight w:val="171"/>
        </w:trPr>
        <w:tc>
          <w:tcPr>
            <w:tcW w:w="8000" w:type="dxa"/>
            <w:vAlign w:val="bottom"/>
          </w:tcPr>
          <w:p>
            <w:pPr>
              <w:ind w:left="60"/>
              <w:spacing w:after="0"/>
              <w:rPr>
                <w:sz w:val="20"/>
                <w:szCs w:val="20"/>
                <w:color w:val="auto"/>
              </w:rPr>
            </w:pPr>
            <w:r>
              <w:rPr>
                <w:rFonts w:ascii="Arial" w:cs="Arial" w:eastAsia="Arial" w:hAnsi="Arial"/>
                <w:sz w:val="12"/>
                <w:szCs w:val="12"/>
                <w:color w:val="auto"/>
              </w:rPr>
              <w:t>Proceeds from sale of assets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Arial" w:cs="Arial" w:eastAsia="Arial" w:hAnsi="Arial"/>
                <w:sz w:val="12"/>
                <w:szCs w:val="12"/>
                <w:color w:val="auto"/>
              </w:rPr>
              <w:t>13.8</w:t>
            </w:r>
          </w:p>
        </w:tc>
        <w:tc>
          <w:tcPr>
            <w:tcW w:w="320" w:type="dxa"/>
            <w:vAlign w:val="bottom"/>
          </w:tcPr>
          <w:p>
            <w:pPr>
              <w:spacing w:after="0"/>
              <w:rPr>
                <w:sz w:val="14"/>
                <w:szCs w:val="14"/>
                <w:color w:val="auto"/>
              </w:rPr>
            </w:pPr>
          </w:p>
        </w:tc>
        <w:tc>
          <w:tcPr>
            <w:tcW w:w="1420" w:type="dxa"/>
            <w:vAlign w:val="bottom"/>
          </w:tcPr>
          <w:p>
            <w:pPr>
              <w:jc w:val="right"/>
              <w:ind w:right="80"/>
              <w:spacing w:after="0"/>
              <w:rPr>
                <w:sz w:val="20"/>
                <w:szCs w:val="20"/>
                <w:color w:val="auto"/>
              </w:rPr>
            </w:pPr>
            <w:r>
              <w:rPr>
                <w:rFonts w:ascii="Arial" w:cs="Arial" w:eastAsia="Arial" w:hAnsi="Arial"/>
                <w:sz w:val="12"/>
                <w:szCs w:val="12"/>
                <w:color w:val="auto"/>
              </w:rPr>
              <w:t>—</w:t>
            </w:r>
          </w:p>
        </w:tc>
      </w:tr>
      <w:tr>
        <w:trPr>
          <w:trHeight w:val="189"/>
        </w:trPr>
        <w:tc>
          <w:tcPr>
            <w:tcW w:w="8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company-owned life insurance</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3.0</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w:t>
            </w:r>
          </w:p>
        </w:tc>
      </w:tr>
      <w:tr>
        <w:trPr>
          <w:trHeight w:val="171"/>
        </w:trPr>
        <w:tc>
          <w:tcPr>
            <w:tcW w:w="80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investing activities</w:t>
            </w: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0.7</w:t>
            </w:r>
          </w:p>
        </w:tc>
        <w:tc>
          <w:tcPr>
            <w:tcW w:w="3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(0.1)</w:t>
            </w:r>
          </w:p>
        </w:tc>
      </w:tr>
      <w:tr>
        <w:trPr>
          <w:trHeight w:val="16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Net cash used in investing activities</w:t>
            </w:r>
          </w:p>
        </w:tc>
        <w:tc>
          <w:tcPr>
            <w:tcW w:w="3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(94.3)</w:t>
            </w:r>
          </w:p>
        </w:tc>
        <w:tc>
          <w:tcPr>
            <w:tcW w:w="3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(29.8)</w:t>
            </w:r>
          </w:p>
        </w:tc>
      </w:tr>
      <w:tr>
        <w:trPr>
          <w:trHeight w:val="124"/>
        </w:trPr>
        <w:tc>
          <w:tcPr>
            <w:tcW w:w="8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0"/>
        </w:trPr>
        <w:tc>
          <w:tcPr>
            <w:tcW w:w="8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1"/>
        </w:trPr>
        <w:tc>
          <w:tcPr>
            <w:tcW w:w="8000" w:type="dxa"/>
            <w:vAlign w:val="bottom"/>
          </w:tcPr>
          <w:p>
            <w:pPr>
              <w:ind w:left="80"/>
              <w:spacing w:after="0"/>
              <w:rPr>
                <w:sz w:val="20"/>
                <w:szCs w:val="20"/>
                <w:color w:val="auto"/>
              </w:rPr>
            </w:pPr>
            <w:r>
              <w:rPr>
                <w:rFonts w:ascii="Arial" w:cs="Arial" w:eastAsia="Arial" w:hAnsi="Arial"/>
                <w:sz w:val="12"/>
                <w:szCs w:val="12"/>
                <w:color w:val="auto"/>
              </w:rPr>
              <w:t>Net change in short-term borrowings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(0.3)</w:t>
            </w:r>
          </w:p>
        </w:tc>
        <w:tc>
          <w:tcPr>
            <w:tcW w:w="320" w:type="dxa"/>
            <w:vAlign w:val="bottom"/>
          </w:tcPr>
          <w:p>
            <w:pPr>
              <w:spacing w:after="0"/>
              <w:rPr>
                <w:sz w:val="14"/>
                <w:szCs w:val="14"/>
                <w:color w:val="auto"/>
              </w:rPr>
            </w:pPr>
          </w:p>
        </w:tc>
        <w:tc>
          <w:tcPr>
            <w:tcW w:w="1420" w:type="dxa"/>
            <w:vAlign w:val="bottom"/>
          </w:tcPr>
          <w:p>
            <w:pPr>
              <w:jc w:val="right"/>
              <w:ind w:right="40"/>
              <w:spacing w:after="0"/>
              <w:rPr>
                <w:sz w:val="20"/>
                <w:szCs w:val="20"/>
                <w:color w:val="auto"/>
              </w:rPr>
            </w:pPr>
            <w:r>
              <w:rPr>
                <w:rFonts w:ascii="Arial" w:cs="Arial" w:eastAsia="Arial" w:hAnsi="Arial"/>
                <w:sz w:val="12"/>
                <w:szCs w:val="12"/>
                <w:color w:val="auto"/>
              </w:rPr>
              <w:t>(7.8)</w:t>
            </w:r>
          </w:p>
        </w:tc>
      </w:tr>
      <w:tr>
        <w:trPr>
          <w:trHeight w:val="189"/>
        </w:trPr>
        <w:tc>
          <w:tcPr>
            <w:tcW w:w="8000" w:type="dxa"/>
            <w:vAlign w:val="bottom"/>
            <w:shd w:val="clear" w:color="auto" w:fill="CCEEFF"/>
          </w:tcPr>
          <w:p>
            <w:pPr>
              <w:ind w:left="60"/>
              <w:spacing w:after="0"/>
              <w:rPr>
                <w:sz w:val="20"/>
                <w:szCs w:val="20"/>
                <w:color w:val="auto"/>
              </w:rPr>
            </w:pPr>
            <w:r>
              <w:rPr>
                <w:rFonts w:ascii="Arial" w:cs="Arial" w:eastAsia="Arial" w:hAnsi="Arial"/>
                <w:sz w:val="12"/>
                <w:szCs w:val="12"/>
                <w:color w:val="auto"/>
              </w:rPr>
              <w:t>Financing lease payments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(0.7)</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r>
      <w:tr>
        <w:trPr>
          <w:trHeight w:val="171"/>
        </w:trPr>
        <w:tc>
          <w:tcPr>
            <w:tcW w:w="8000" w:type="dxa"/>
            <w:vAlign w:val="bottom"/>
          </w:tcPr>
          <w:p>
            <w:pPr>
              <w:ind w:left="80"/>
              <w:spacing w:after="0"/>
              <w:rPr>
                <w:sz w:val="20"/>
                <w:szCs w:val="20"/>
                <w:color w:val="auto"/>
              </w:rPr>
            </w:pPr>
            <w:r>
              <w:rPr>
                <w:rFonts w:ascii="Arial" w:cs="Arial" w:eastAsia="Arial" w:hAnsi="Arial"/>
                <w:sz w:val="12"/>
                <w:szCs w:val="12"/>
                <w:color w:val="auto"/>
              </w:rPr>
              <w:t>Dividend payments</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(11.9)</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Arial" w:cs="Arial" w:eastAsia="Arial" w:hAnsi="Arial"/>
                <w:sz w:val="12"/>
                <w:szCs w:val="12"/>
                <w:color w:val="auto"/>
              </w:rPr>
              <w:t>(11.8)</w:t>
            </w:r>
          </w:p>
        </w:tc>
      </w:tr>
      <w:tr>
        <w:trPr>
          <w:trHeight w:val="189"/>
        </w:trPr>
        <w:tc>
          <w:tcPr>
            <w:tcW w:w="800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Payments of tax withholding for restricted shares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(2.5)</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(6.9)</w:t>
            </w:r>
          </w:p>
        </w:tc>
      </w:tr>
      <w:tr>
        <w:trPr>
          <w:trHeight w:val="171"/>
        </w:trPr>
        <w:tc>
          <w:tcPr>
            <w:tcW w:w="800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 financing activities</w:t>
            </w: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(0.7)</w:t>
            </w:r>
          </w:p>
        </w:tc>
        <w:tc>
          <w:tcPr>
            <w:tcW w:w="3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r>
      <w:tr>
        <w:trPr>
          <w:trHeight w:val="169"/>
        </w:trPr>
        <w:tc>
          <w:tcPr>
            <w:tcW w:w="8000" w:type="dxa"/>
            <w:vAlign w:val="bottom"/>
            <w:shd w:val="clear" w:color="auto" w:fill="CCEEFF"/>
          </w:tcPr>
          <w:p>
            <w:pPr>
              <w:ind w:left="120"/>
              <w:spacing w:after="0"/>
              <w:rPr>
                <w:sz w:val="20"/>
                <w:szCs w:val="20"/>
                <w:color w:val="auto"/>
              </w:rPr>
            </w:pPr>
            <w:r>
              <w:rPr>
                <w:rFonts w:ascii="Arial" w:cs="Arial" w:eastAsia="Arial" w:hAnsi="Arial"/>
                <w:sz w:val="12"/>
                <w:szCs w:val="12"/>
                <w:b w:val="1"/>
                <w:bCs w:val="1"/>
                <w:color w:val="auto"/>
              </w:rPr>
              <w:t>Net cash used in financing activities</w:t>
            </w:r>
          </w:p>
        </w:tc>
        <w:tc>
          <w:tcPr>
            <w:tcW w:w="3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(16.1)</w:t>
            </w:r>
          </w:p>
        </w:tc>
        <w:tc>
          <w:tcPr>
            <w:tcW w:w="3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(26.5)</w:t>
            </w:r>
          </w:p>
        </w:tc>
      </w:tr>
      <w:tr>
        <w:trPr>
          <w:trHeight w:val="124"/>
        </w:trPr>
        <w:tc>
          <w:tcPr>
            <w:tcW w:w="8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71"/>
        </w:trPr>
        <w:tc>
          <w:tcPr>
            <w:tcW w:w="8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Effect of exchange rates on cash, cash equivalents and restricted cash</w:t>
            </w:r>
          </w:p>
        </w:tc>
        <w:tc>
          <w:tcPr>
            <w:tcW w:w="30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(0.9)</w:t>
            </w:r>
          </w:p>
        </w:tc>
        <w:tc>
          <w:tcPr>
            <w:tcW w:w="320" w:type="dxa"/>
            <w:vAlign w:val="bottom"/>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(1.9)</w:t>
            </w:r>
          </w:p>
        </w:tc>
      </w:tr>
      <w:tr>
        <w:trPr>
          <w:trHeight w:val="124"/>
        </w:trPr>
        <w:tc>
          <w:tcPr>
            <w:tcW w:w="8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20" w:type="dxa"/>
            <w:vAlign w:val="bottom"/>
          </w:tcPr>
          <w:p>
            <w:pPr>
              <w:spacing w:after="0"/>
              <w:rPr>
                <w:sz w:val="10"/>
                <w:szCs w:val="10"/>
                <w:color w:val="auto"/>
              </w:rPr>
            </w:pPr>
          </w:p>
        </w:tc>
      </w:tr>
      <w:tr>
        <w:trPr>
          <w:trHeight w:val="180"/>
        </w:trPr>
        <w:tc>
          <w:tcPr>
            <w:tcW w:w="8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change in cash, cash equivalents and restricted cash</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(9.1)</w:t>
            </w: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r>
      <w:tr>
        <w:trPr>
          <w:trHeight w:val="171"/>
        </w:trPr>
        <w:tc>
          <w:tcPr>
            <w:tcW w:w="800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Cash, cash equivalents and restricted cash at beginning of year</w:t>
            </w:r>
          </w:p>
        </w:tc>
        <w:tc>
          <w:tcPr>
            <w:tcW w:w="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40.1</w:t>
            </w:r>
          </w:p>
        </w:tc>
        <w:tc>
          <w:tcPr>
            <w:tcW w:w="3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36.9</w:t>
            </w:r>
          </w:p>
        </w:tc>
      </w:tr>
      <w:tr>
        <w:trPr>
          <w:trHeight w:val="124"/>
        </w:trPr>
        <w:tc>
          <w:tcPr>
            <w:tcW w:w="80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r>
      <w:tr>
        <w:trPr>
          <w:trHeight w:val="180"/>
        </w:trPr>
        <w:tc>
          <w:tcPr>
            <w:tcW w:w="8000" w:type="dxa"/>
            <w:vAlign w:val="bottom"/>
          </w:tcPr>
          <w:p>
            <w:pPr>
              <w:spacing w:after="0"/>
              <w:rPr>
                <w:sz w:val="20"/>
                <w:szCs w:val="20"/>
                <w:color w:val="auto"/>
              </w:rPr>
            </w:pPr>
            <w:r>
              <w:rPr>
                <w:rFonts w:ascii="Arial" w:cs="Arial" w:eastAsia="Arial" w:hAnsi="Arial"/>
                <w:sz w:val="12"/>
                <w:szCs w:val="12"/>
                <w:b w:val="1"/>
                <w:bCs w:val="1"/>
                <w:color w:val="auto"/>
              </w:rPr>
              <w:t>Cash, cash equivalents and restricted cash at end of year</w:t>
            </w:r>
          </w:p>
        </w:tc>
        <w:tc>
          <w:tcPr>
            <w:tcW w:w="3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31.0</w:t>
            </w:r>
          </w:p>
        </w:tc>
        <w:tc>
          <w:tcPr>
            <w:tcW w:w="3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40.1</w:t>
            </w:r>
          </w:p>
        </w:tc>
      </w:tr>
      <w:tr>
        <w:trPr>
          <w:trHeight w:val="20"/>
        </w:trPr>
        <w:tc>
          <w:tcPr>
            <w:tcW w:w="8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40"/>
          </w:cols>
          <w:pgMar w:left="240" w:top="676" w:right="2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REVENUE FROM SERVICES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of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w w:val="98"/>
              </w:rPr>
              <w:t>Fourth Quarter (Americas, International and GTS)</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3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24"/>
                <w:szCs w:val="24"/>
                <w:color w:val="auto"/>
              </w:rPr>
            </w:pPr>
          </w:p>
        </w:tc>
        <w:tc>
          <w:tcPr>
            <w:tcW w:w="1340" w:type="dxa"/>
            <w:vAlign w:val="bottom"/>
          </w:tcPr>
          <w:p>
            <w:pPr>
              <w:jc w:val="right"/>
              <w:ind w:right="440"/>
              <w:spacing w:after="0"/>
              <w:rPr>
                <w:sz w:val="20"/>
                <w:szCs w:val="20"/>
                <w:color w:val="auto"/>
              </w:rPr>
            </w:pPr>
            <w:r>
              <w:rPr>
                <w:rFonts w:ascii="Arial" w:cs="Arial" w:eastAsia="Arial" w:hAnsi="Arial"/>
                <w:sz w:val="12"/>
                <w:szCs w:val="12"/>
                <w:b w:val="1"/>
                <w:bCs w:val="1"/>
                <w:color w:val="auto"/>
              </w:rPr>
              <w:t>CC %</w:t>
            </w:r>
          </w:p>
        </w:tc>
        <w:tc>
          <w:tcPr>
            <w:tcW w:w="300" w:type="dxa"/>
            <w:vAlign w:val="bottom"/>
          </w:tcPr>
          <w:p>
            <w:pPr>
              <w:spacing w:after="0"/>
              <w:rPr>
                <w:sz w:val="24"/>
                <w:szCs w:val="24"/>
                <w:color w:val="auto"/>
              </w:rPr>
            </w:pPr>
          </w:p>
        </w:tc>
      </w:tr>
      <w:tr>
        <w:trPr>
          <w:trHeight w:val="189"/>
        </w:trPr>
        <w:tc>
          <w:tcPr>
            <w:tcW w:w="3080" w:type="dxa"/>
            <w:vAlign w:val="bottom"/>
          </w:tcPr>
          <w:p>
            <w:pPr>
              <w:spacing w:after="0"/>
              <w:rPr>
                <w:sz w:val="16"/>
                <w:szCs w:val="16"/>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480"/>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6"/>
                <w:szCs w:val="16"/>
                <w:color w:val="auto"/>
              </w:rPr>
            </w:pPr>
          </w:p>
        </w:tc>
        <w:tc>
          <w:tcPr>
            <w:tcW w:w="1360" w:type="dxa"/>
            <w:vAlign w:val="bottom"/>
          </w:tcPr>
          <w:p>
            <w:pPr>
              <w:jc w:val="right"/>
              <w:ind w:right="42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6"/>
                <w:szCs w:val="16"/>
                <w:color w:val="auto"/>
              </w:rPr>
            </w:pPr>
          </w:p>
        </w:tc>
        <w:tc>
          <w:tcPr>
            <w:tcW w:w="1340" w:type="dxa"/>
            <w:vAlign w:val="bottom"/>
          </w:tcPr>
          <w:p>
            <w:pPr>
              <w:jc w:val="right"/>
              <w:ind w:right="400"/>
              <w:spacing w:after="0"/>
              <w:rPr>
                <w:sz w:val="20"/>
                <w:szCs w:val="20"/>
                <w:color w:val="auto"/>
              </w:rPr>
            </w:pPr>
            <w:r>
              <w:rPr>
                <w:rFonts w:ascii="Arial" w:cs="Arial" w:eastAsia="Arial" w:hAnsi="Arial"/>
                <w:sz w:val="12"/>
                <w:szCs w:val="12"/>
                <w:b w:val="1"/>
                <w:bCs w:val="1"/>
                <w:color w:val="auto"/>
              </w:rPr>
              <w:t>Change</w:t>
            </w:r>
          </w:p>
        </w:tc>
        <w:tc>
          <w:tcPr>
            <w:tcW w:w="300" w:type="dxa"/>
            <w:vAlign w:val="bottom"/>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Americas</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United States</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979.1</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1,031.6</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(5.1)</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w w:val="93"/>
              </w:rPr>
              <w:t>%</w:t>
            </w: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(5.1)</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w w:val="93"/>
              </w:rPr>
              <w:t>%</w:t>
            </w: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Canada</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35.3</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34.8</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Mexico</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34.0</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32.3</w:t>
            </w:r>
          </w:p>
        </w:tc>
        <w:tc>
          <w:tcPr>
            <w:tcW w:w="1620" w:type="dxa"/>
            <w:vAlign w:val="bottom"/>
            <w:gridSpan w:val="2"/>
          </w:tcPr>
          <w:p>
            <w:pPr>
              <w:jc w:val="right"/>
              <w:ind w:right="80"/>
              <w:spacing w:after="0"/>
              <w:rPr>
                <w:sz w:val="20"/>
                <w:szCs w:val="20"/>
                <w:color w:val="auto"/>
              </w:rPr>
            </w:pPr>
            <w:r>
              <w:rPr>
                <w:rFonts w:ascii="Arial" w:cs="Arial" w:eastAsia="Arial" w:hAnsi="Arial"/>
                <w:sz w:val="12"/>
                <w:szCs w:val="12"/>
                <w:color w:val="auto"/>
              </w:rPr>
              <w:t>5.2</w:t>
            </w:r>
          </w:p>
        </w:tc>
        <w:tc>
          <w:tcPr>
            <w:tcW w:w="280" w:type="dxa"/>
            <w:vAlign w:val="bottom"/>
          </w:tcPr>
          <w:p>
            <w:pPr>
              <w:spacing w:after="0"/>
              <w:rPr>
                <w:sz w:val="14"/>
                <w:szCs w:val="14"/>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2.1</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Puerto Rico</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22.4</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(24.5)</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(24.5)</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Brazil</w:t>
            </w:r>
          </w:p>
        </w:tc>
        <w:tc>
          <w:tcPr>
            <w:tcW w:w="18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9.0</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8.6</w:t>
            </w:r>
          </w:p>
        </w:tc>
        <w:tc>
          <w:tcPr>
            <w:tcW w:w="16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2"/>
                <w:szCs w:val="12"/>
                <w:color w:val="auto"/>
              </w:rPr>
              <w:t>6.3</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13.1</w:t>
            </w:r>
          </w:p>
        </w:tc>
        <w:tc>
          <w:tcPr>
            <w:tcW w:w="300" w:type="dxa"/>
            <w:vAlign w:val="bottom"/>
            <w:tcBorders>
              <w:bottom w:val="single" w:sz="8" w:color="CCEEFF"/>
            </w:tcBorders>
          </w:tcPr>
          <w:p>
            <w:pPr>
              <w:spacing w:after="0"/>
              <w:rPr>
                <w:sz w:val="14"/>
                <w:szCs w:val="14"/>
                <w:color w:val="auto"/>
              </w:rPr>
            </w:pPr>
          </w:p>
        </w:tc>
      </w:tr>
      <w:tr>
        <w:trPr>
          <w:trHeight w:val="178"/>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Americas</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1,074.4</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1,129.7</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(4.9)</w:t>
            </w:r>
          </w:p>
        </w:tc>
        <w:tc>
          <w:tcPr>
            <w:tcW w:w="300" w:type="dxa"/>
            <w:vAlign w:val="bottom"/>
            <w:shd w:val="clear" w:color="auto" w:fill="CCEEFF"/>
          </w:tcPr>
          <w:p>
            <w:pPr>
              <w:spacing w:after="0"/>
              <w:rPr>
                <w:sz w:val="15"/>
                <w:szCs w:val="15"/>
                <w:color w:val="auto"/>
              </w:rPr>
            </w:pPr>
          </w:p>
        </w:tc>
      </w:tr>
      <w:tr>
        <w:trPr>
          <w:trHeight w:val="180"/>
        </w:trPr>
        <w:tc>
          <w:tcPr>
            <w:tcW w:w="3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0"/>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EMEA</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France</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60.0</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66.2</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(9.3)</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(6.5)</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Switzerland</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50.7</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56.4</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(10.5)</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Portugal</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44.3</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46.4</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(4.7)</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(1.8)</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Russia</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33.5</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24.7</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35.7</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29.8</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United Kingdom</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21.5</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23.2</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(7.5)</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(7.4)</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Italy</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16.1</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19.4</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(16.9)</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(14.4)</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Germany</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9.1</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12.1</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(24.7)</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(22.4)</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Ireland</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5.0</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10.3</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(52.2)</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(50.8)</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w:t>
            </w:r>
          </w:p>
        </w:tc>
        <w:tc>
          <w:tcPr>
            <w:tcW w:w="18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16.0</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21.0</w:t>
            </w:r>
          </w:p>
        </w:tc>
        <w:tc>
          <w:tcPr>
            <w:tcW w:w="1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(23.7)</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2"/>
                <w:szCs w:val="12"/>
                <w:color w:val="auto"/>
              </w:rPr>
              <w:t>(19.8)</w:t>
            </w:r>
          </w:p>
        </w:tc>
        <w:tc>
          <w:tcPr>
            <w:tcW w:w="300" w:type="dxa"/>
            <w:vAlign w:val="bottom"/>
            <w:tcBorders>
              <w:bottom w:val="single" w:sz="8" w:color="CCEEFF"/>
            </w:tcBorders>
          </w:tcPr>
          <w:p>
            <w:pPr>
              <w:spacing w:after="0"/>
              <w:rPr>
                <w:sz w:val="14"/>
                <w:szCs w:val="14"/>
                <w:color w:val="auto"/>
              </w:rPr>
            </w:pPr>
          </w:p>
        </w:tc>
      </w:tr>
      <w:tr>
        <w:trPr>
          <w:trHeight w:val="178"/>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EMEA</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256.2</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279.7</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(8.4)</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(7.2)</w:t>
            </w:r>
          </w:p>
        </w:tc>
        <w:tc>
          <w:tcPr>
            <w:tcW w:w="300" w:type="dxa"/>
            <w:vAlign w:val="bottom"/>
            <w:shd w:val="clear" w:color="auto" w:fill="CCEEFF"/>
          </w:tcPr>
          <w:p>
            <w:pPr>
              <w:spacing w:after="0"/>
              <w:rPr>
                <w:sz w:val="15"/>
                <w:szCs w:val="15"/>
                <w:color w:val="auto"/>
              </w:rPr>
            </w:pPr>
          </w:p>
        </w:tc>
      </w:tr>
      <w:tr>
        <w:trPr>
          <w:trHeight w:val="180"/>
        </w:trPr>
        <w:tc>
          <w:tcPr>
            <w:tcW w:w="3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APAC</w:t>
            </w:r>
          </w:p>
        </w:tc>
        <w:tc>
          <w:tcPr>
            <w:tcW w:w="18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7.2</w:t>
            </w:r>
          </w:p>
        </w:tc>
        <w:tc>
          <w:tcPr>
            <w:tcW w:w="2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5.3</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35.5</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39.8</w:t>
            </w:r>
          </w:p>
        </w:tc>
        <w:tc>
          <w:tcPr>
            <w:tcW w:w="300" w:type="dxa"/>
            <w:vAlign w:val="bottom"/>
            <w:shd w:val="clear" w:color="auto" w:fill="CCEEFF"/>
          </w:tcPr>
          <w:p>
            <w:pPr>
              <w:spacing w:after="0"/>
              <w:rPr>
                <w:sz w:val="14"/>
                <w:szCs w:val="14"/>
                <w:color w:val="auto"/>
              </w:rPr>
            </w:pPr>
          </w:p>
        </w:tc>
      </w:tr>
      <w:tr>
        <w:trPr>
          <w:trHeight w:val="169"/>
        </w:trPr>
        <w:tc>
          <w:tcPr>
            <w:tcW w:w="3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96"/>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Kelly Services, Inc.</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1,337.8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1,414.7</w:t>
            </w:r>
          </w:p>
        </w:tc>
        <w:tc>
          <w:tcPr>
            <w:tcW w:w="1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w:t>
            </w: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93"/>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(5.2)</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40"/>
          </w:cols>
          <w:pgMar w:left="240" w:top="676" w:right="21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REVENUE FROM SERVICES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of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2"/>
                <w:szCs w:val="12"/>
                <w:b w:val="1"/>
                <w:bCs w:val="1"/>
                <w:color w:val="auto"/>
                <w:w w:val="99"/>
              </w:rPr>
              <w:t>December Year to Date (Americas, International and GTS)</w:t>
            </w:r>
          </w:p>
        </w:tc>
        <w:tc>
          <w:tcPr>
            <w:tcW w:w="1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30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24"/>
                <w:szCs w:val="24"/>
                <w:color w:val="auto"/>
              </w:rPr>
            </w:pPr>
          </w:p>
        </w:tc>
        <w:tc>
          <w:tcPr>
            <w:tcW w:w="1340" w:type="dxa"/>
            <w:vAlign w:val="bottom"/>
          </w:tcPr>
          <w:p>
            <w:pPr>
              <w:jc w:val="right"/>
              <w:ind w:right="440"/>
              <w:spacing w:after="0"/>
              <w:rPr>
                <w:sz w:val="20"/>
                <w:szCs w:val="20"/>
                <w:color w:val="auto"/>
              </w:rPr>
            </w:pPr>
            <w:r>
              <w:rPr>
                <w:rFonts w:ascii="Arial" w:cs="Arial" w:eastAsia="Arial" w:hAnsi="Arial"/>
                <w:sz w:val="12"/>
                <w:szCs w:val="12"/>
                <w:b w:val="1"/>
                <w:bCs w:val="1"/>
                <w:color w:val="auto"/>
              </w:rPr>
              <w:t>CC %</w:t>
            </w:r>
          </w:p>
        </w:tc>
        <w:tc>
          <w:tcPr>
            <w:tcW w:w="300" w:type="dxa"/>
            <w:vAlign w:val="bottom"/>
          </w:tcPr>
          <w:p>
            <w:pPr>
              <w:spacing w:after="0"/>
              <w:rPr>
                <w:sz w:val="24"/>
                <w:szCs w:val="24"/>
                <w:color w:val="auto"/>
              </w:rPr>
            </w:pPr>
          </w:p>
        </w:tc>
      </w:tr>
      <w:tr>
        <w:trPr>
          <w:trHeight w:val="189"/>
        </w:trPr>
        <w:tc>
          <w:tcPr>
            <w:tcW w:w="3080" w:type="dxa"/>
            <w:vAlign w:val="bottom"/>
          </w:tcPr>
          <w:p>
            <w:pPr>
              <w:spacing w:after="0"/>
              <w:rPr>
                <w:sz w:val="16"/>
                <w:szCs w:val="16"/>
                <w:color w:val="auto"/>
              </w:rPr>
            </w:pPr>
          </w:p>
        </w:tc>
        <w:tc>
          <w:tcPr>
            <w:tcW w:w="26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right"/>
              <w:ind w:right="480"/>
              <w:spacing w:after="0"/>
              <w:rPr>
                <w:sz w:val="20"/>
                <w:szCs w:val="20"/>
                <w:color w:val="auto"/>
              </w:rPr>
            </w:pPr>
            <w:r>
              <w:rPr>
                <w:rFonts w:ascii="Arial" w:cs="Arial" w:eastAsia="Arial" w:hAnsi="Arial"/>
                <w:sz w:val="12"/>
                <w:szCs w:val="12"/>
                <w:b w:val="1"/>
                <w:bCs w:val="1"/>
                <w:color w:val="auto"/>
              </w:rPr>
              <w:t>2018</w:t>
            </w:r>
          </w:p>
        </w:tc>
        <w:tc>
          <w:tcPr>
            <w:tcW w:w="260" w:type="dxa"/>
            <w:vAlign w:val="bottom"/>
          </w:tcPr>
          <w:p>
            <w:pPr>
              <w:spacing w:after="0"/>
              <w:rPr>
                <w:sz w:val="16"/>
                <w:szCs w:val="16"/>
                <w:color w:val="auto"/>
              </w:rPr>
            </w:pPr>
          </w:p>
        </w:tc>
        <w:tc>
          <w:tcPr>
            <w:tcW w:w="1360" w:type="dxa"/>
            <w:vAlign w:val="bottom"/>
          </w:tcPr>
          <w:p>
            <w:pPr>
              <w:jc w:val="right"/>
              <w:ind w:right="420"/>
              <w:spacing w:after="0"/>
              <w:rPr>
                <w:sz w:val="20"/>
                <w:szCs w:val="20"/>
                <w:color w:val="auto"/>
              </w:rPr>
            </w:pPr>
            <w:r>
              <w:rPr>
                <w:rFonts w:ascii="Arial" w:cs="Arial" w:eastAsia="Arial" w:hAnsi="Arial"/>
                <w:sz w:val="12"/>
                <w:szCs w:val="12"/>
                <w:b w:val="1"/>
                <w:bCs w:val="1"/>
                <w:color w:val="auto"/>
              </w:rPr>
              <w:t>Change</w:t>
            </w:r>
          </w:p>
        </w:tc>
        <w:tc>
          <w:tcPr>
            <w:tcW w:w="280" w:type="dxa"/>
            <w:vAlign w:val="bottom"/>
          </w:tcPr>
          <w:p>
            <w:pPr>
              <w:spacing w:after="0"/>
              <w:rPr>
                <w:sz w:val="16"/>
                <w:szCs w:val="16"/>
                <w:color w:val="auto"/>
              </w:rPr>
            </w:pPr>
          </w:p>
        </w:tc>
        <w:tc>
          <w:tcPr>
            <w:tcW w:w="1340" w:type="dxa"/>
            <w:vAlign w:val="bottom"/>
          </w:tcPr>
          <w:p>
            <w:pPr>
              <w:jc w:val="right"/>
              <w:ind w:right="400"/>
              <w:spacing w:after="0"/>
              <w:rPr>
                <w:sz w:val="20"/>
                <w:szCs w:val="20"/>
                <w:color w:val="auto"/>
              </w:rPr>
            </w:pPr>
            <w:r>
              <w:rPr>
                <w:rFonts w:ascii="Arial" w:cs="Arial" w:eastAsia="Arial" w:hAnsi="Arial"/>
                <w:sz w:val="12"/>
                <w:szCs w:val="12"/>
                <w:b w:val="1"/>
                <w:bCs w:val="1"/>
                <w:color w:val="auto"/>
              </w:rPr>
              <w:t>Change</w:t>
            </w:r>
          </w:p>
        </w:tc>
        <w:tc>
          <w:tcPr>
            <w:tcW w:w="300" w:type="dxa"/>
            <w:vAlign w:val="bottom"/>
          </w:tcPr>
          <w:p>
            <w:pPr>
              <w:spacing w:after="0"/>
              <w:rPr>
                <w:sz w:val="16"/>
                <w:szCs w:val="16"/>
                <w:color w:val="auto"/>
              </w:rPr>
            </w:pPr>
          </w:p>
        </w:tc>
      </w:tr>
      <w:tr>
        <w:trPr>
          <w:trHeight w:val="169"/>
        </w:trPr>
        <w:tc>
          <w:tcPr>
            <w:tcW w:w="3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80"/>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Americas</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United States</w:t>
            </w:r>
          </w:p>
        </w:tc>
        <w:tc>
          <w:tcPr>
            <w:tcW w:w="186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w w:val="89"/>
              </w:rPr>
              <w:t>3,892.5</w:t>
            </w:r>
          </w:p>
        </w:tc>
        <w:tc>
          <w:tcPr>
            <w:tcW w:w="280" w:type="dxa"/>
            <w:vAlign w:val="bottom"/>
          </w:tcPr>
          <w:p>
            <w:pPr>
              <w:jc w:val="right"/>
              <w:spacing w:after="0"/>
              <w:rPr>
                <w:sz w:val="20"/>
                <w:szCs w:val="20"/>
                <w:color w:val="auto"/>
              </w:rPr>
            </w:pPr>
            <w:r>
              <w:rPr>
                <w:rFonts w:ascii="Arial" w:cs="Arial" w:eastAsia="Arial" w:hAnsi="Arial"/>
                <w:sz w:val="12"/>
                <w:szCs w:val="12"/>
                <w:color w:val="auto"/>
              </w:rPr>
              <w:t>$</w:t>
            </w: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3,930.0</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(1.0)</w:t>
            </w:r>
          </w:p>
        </w:tc>
        <w:tc>
          <w:tcPr>
            <w:tcW w:w="280" w:type="dxa"/>
            <w:vAlign w:val="bottom"/>
          </w:tcPr>
          <w:p>
            <w:pPr>
              <w:jc w:val="right"/>
              <w:ind w:right="100"/>
              <w:spacing w:after="0"/>
              <w:rPr>
                <w:sz w:val="20"/>
                <w:szCs w:val="20"/>
                <w:color w:val="auto"/>
              </w:rPr>
            </w:pPr>
            <w:r>
              <w:rPr>
                <w:rFonts w:ascii="Arial" w:cs="Arial" w:eastAsia="Arial" w:hAnsi="Arial"/>
                <w:sz w:val="12"/>
                <w:szCs w:val="12"/>
                <w:color w:val="auto"/>
                <w:w w:val="93"/>
              </w:rPr>
              <w:t>%</w:t>
            </w: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(1.0)</w:t>
            </w:r>
          </w:p>
        </w:tc>
        <w:tc>
          <w:tcPr>
            <w:tcW w:w="300" w:type="dxa"/>
            <w:vAlign w:val="bottom"/>
          </w:tcPr>
          <w:p>
            <w:pPr>
              <w:jc w:val="right"/>
              <w:ind w:right="120"/>
              <w:spacing w:after="0"/>
              <w:rPr>
                <w:sz w:val="20"/>
                <w:szCs w:val="20"/>
                <w:color w:val="auto"/>
              </w:rPr>
            </w:pPr>
            <w:r>
              <w:rPr>
                <w:rFonts w:ascii="Arial" w:cs="Arial" w:eastAsia="Arial" w:hAnsi="Arial"/>
                <w:sz w:val="12"/>
                <w:szCs w:val="12"/>
                <w:color w:val="auto"/>
                <w:w w:val="93"/>
              </w:rPr>
              <w:t>%</w:t>
            </w: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Canada</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136.1</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142.4</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(4.5)</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Mexico</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123.6</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125.0</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(1.1)</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(1.1)</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Puerto Rico</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74.6</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96.6</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(22.8)</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(22.8)</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Brazil</w:t>
            </w:r>
          </w:p>
        </w:tc>
        <w:tc>
          <w:tcPr>
            <w:tcW w:w="18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34.1</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35.2</w:t>
            </w:r>
          </w:p>
        </w:tc>
        <w:tc>
          <w:tcPr>
            <w:tcW w:w="1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(2.9)</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6.1</w:t>
            </w:r>
          </w:p>
        </w:tc>
        <w:tc>
          <w:tcPr>
            <w:tcW w:w="300" w:type="dxa"/>
            <w:vAlign w:val="bottom"/>
            <w:tcBorders>
              <w:bottom w:val="single" w:sz="8" w:color="CCEEFF"/>
            </w:tcBorders>
          </w:tcPr>
          <w:p>
            <w:pPr>
              <w:spacing w:after="0"/>
              <w:rPr>
                <w:sz w:val="14"/>
                <w:szCs w:val="14"/>
                <w:color w:val="auto"/>
              </w:rPr>
            </w:pPr>
          </w:p>
        </w:tc>
      </w:tr>
      <w:tr>
        <w:trPr>
          <w:trHeight w:val="178"/>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Americas</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4,260.9</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4,329.2</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(1.6)</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w:t>
            </w:r>
          </w:p>
        </w:tc>
        <w:tc>
          <w:tcPr>
            <w:tcW w:w="300" w:type="dxa"/>
            <w:vAlign w:val="bottom"/>
            <w:shd w:val="clear" w:color="auto" w:fill="CCEEFF"/>
          </w:tcPr>
          <w:p>
            <w:pPr>
              <w:spacing w:after="0"/>
              <w:rPr>
                <w:sz w:val="15"/>
                <w:szCs w:val="15"/>
                <w:color w:val="auto"/>
              </w:rPr>
            </w:pPr>
          </w:p>
        </w:tc>
      </w:tr>
      <w:tr>
        <w:trPr>
          <w:trHeight w:val="180"/>
        </w:trPr>
        <w:tc>
          <w:tcPr>
            <w:tcW w:w="3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80"/>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EMEA</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France</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248.6</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278.9</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(10.9)</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(5.9)</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Switzerland</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200.7</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212.7</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(5.6)</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Portugal</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179.8</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196.9</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(8.7)</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(3.7)</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60"/>
              <w:spacing w:after="0"/>
              <w:rPr>
                <w:sz w:val="20"/>
                <w:szCs w:val="20"/>
                <w:color w:val="auto"/>
              </w:rPr>
            </w:pPr>
            <w:r>
              <w:rPr>
                <w:rFonts w:ascii="Arial" w:cs="Arial" w:eastAsia="Arial" w:hAnsi="Arial"/>
                <w:sz w:val="12"/>
                <w:szCs w:val="12"/>
                <w:color w:val="auto"/>
              </w:rPr>
              <w:t>Russia</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117.6</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100.4</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17.2</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20.4</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United Kingdom</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103.1</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108.8</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(5.3)</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(0.6)</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Italy</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75.9</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77.5</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3.5</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Pr>
          <w:p>
            <w:pPr>
              <w:ind w:left="80"/>
              <w:spacing w:after="0"/>
              <w:rPr>
                <w:sz w:val="20"/>
                <w:szCs w:val="20"/>
                <w:color w:val="auto"/>
              </w:rPr>
            </w:pPr>
            <w:r>
              <w:rPr>
                <w:rFonts w:ascii="Arial" w:cs="Arial" w:eastAsia="Arial" w:hAnsi="Arial"/>
                <w:sz w:val="12"/>
                <w:szCs w:val="12"/>
                <w:color w:val="auto"/>
              </w:rPr>
              <w:t>Germany</w:t>
            </w: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41.6</w:t>
            </w:r>
          </w:p>
        </w:tc>
        <w:tc>
          <w:tcPr>
            <w:tcW w:w="280" w:type="dxa"/>
            <w:vAlign w:val="bottom"/>
          </w:tcPr>
          <w:p>
            <w:pPr>
              <w:spacing w:after="0"/>
              <w:rPr>
                <w:sz w:val="14"/>
                <w:szCs w:val="14"/>
                <w:color w:val="auto"/>
              </w:rPr>
            </w:pPr>
          </w:p>
        </w:tc>
        <w:tc>
          <w:tcPr>
            <w:tcW w:w="1340" w:type="dxa"/>
            <w:vAlign w:val="bottom"/>
          </w:tcPr>
          <w:p>
            <w:pPr>
              <w:jc w:val="right"/>
              <w:ind w:right="80"/>
              <w:spacing w:after="0"/>
              <w:rPr>
                <w:sz w:val="20"/>
                <w:szCs w:val="20"/>
                <w:color w:val="auto"/>
              </w:rPr>
            </w:pPr>
            <w:r>
              <w:rPr>
                <w:rFonts w:ascii="Arial" w:cs="Arial" w:eastAsia="Arial" w:hAnsi="Arial"/>
                <w:sz w:val="12"/>
                <w:szCs w:val="12"/>
                <w:color w:val="auto"/>
              </w:rPr>
              <w:t>57.1</w:t>
            </w:r>
          </w:p>
        </w:tc>
        <w:tc>
          <w:tcPr>
            <w:tcW w:w="1620" w:type="dxa"/>
            <w:vAlign w:val="bottom"/>
            <w:gridSpan w:val="2"/>
          </w:tcPr>
          <w:p>
            <w:pPr>
              <w:jc w:val="right"/>
              <w:ind w:right="40"/>
              <w:spacing w:after="0"/>
              <w:rPr>
                <w:sz w:val="20"/>
                <w:szCs w:val="20"/>
                <w:color w:val="auto"/>
              </w:rPr>
            </w:pPr>
            <w:r>
              <w:rPr>
                <w:rFonts w:ascii="Arial" w:cs="Arial" w:eastAsia="Arial" w:hAnsi="Arial"/>
                <w:sz w:val="12"/>
                <w:szCs w:val="12"/>
                <w:color w:val="auto"/>
              </w:rPr>
              <w:t>(27.1)</w:t>
            </w:r>
          </w:p>
        </w:tc>
        <w:tc>
          <w:tcPr>
            <w:tcW w:w="280" w:type="dxa"/>
            <w:vAlign w:val="bottom"/>
          </w:tcPr>
          <w:p>
            <w:pPr>
              <w:spacing w:after="0"/>
              <w:rPr>
                <w:sz w:val="14"/>
                <w:szCs w:val="14"/>
                <w:color w:val="auto"/>
              </w:rPr>
            </w:pPr>
          </w:p>
        </w:tc>
        <w:tc>
          <w:tcPr>
            <w:tcW w:w="1340" w:type="dxa"/>
            <w:vAlign w:val="bottom"/>
          </w:tcPr>
          <w:p>
            <w:pPr>
              <w:jc w:val="right"/>
              <w:ind w:right="40"/>
              <w:spacing w:after="0"/>
              <w:rPr>
                <w:sz w:val="20"/>
                <w:szCs w:val="20"/>
                <w:color w:val="auto"/>
              </w:rPr>
            </w:pPr>
            <w:r>
              <w:rPr>
                <w:rFonts w:ascii="Arial" w:cs="Arial" w:eastAsia="Arial" w:hAnsi="Arial"/>
                <w:sz w:val="12"/>
                <w:szCs w:val="12"/>
                <w:color w:val="auto"/>
              </w:rPr>
              <w:t>(23.1)</w:t>
            </w:r>
          </w:p>
        </w:tc>
        <w:tc>
          <w:tcPr>
            <w:tcW w:w="300" w:type="dxa"/>
            <w:vAlign w:val="bottom"/>
          </w:tcPr>
          <w:p>
            <w:pPr>
              <w:spacing w:after="0"/>
              <w:rPr>
                <w:sz w:val="14"/>
                <w:szCs w:val="14"/>
                <w:color w:val="auto"/>
              </w:rPr>
            </w:pPr>
          </w:p>
        </w:tc>
      </w:tr>
      <w:tr>
        <w:trPr>
          <w:trHeight w:val="189"/>
        </w:trPr>
        <w:tc>
          <w:tcPr>
            <w:tcW w:w="3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Ireland</w:t>
            </w:r>
          </w:p>
        </w:tc>
        <w:tc>
          <w:tcPr>
            <w:tcW w:w="18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33.1</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44.6</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(25.9)</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(21.5)</w:t>
            </w:r>
          </w:p>
        </w:tc>
        <w:tc>
          <w:tcPr>
            <w:tcW w:w="300" w:type="dxa"/>
            <w:vAlign w:val="bottom"/>
            <w:shd w:val="clear" w:color="auto" w:fill="CCEEFF"/>
          </w:tcPr>
          <w:p>
            <w:pPr>
              <w:spacing w:after="0"/>
              <w:rPr>
                <w:sz w:val="16"/>
                <w:szCs w:val="16"/>
                <w:color w:val="auto"/>
              </w:rPr>
            </w:pPr>
          </w:p>
        </w:tc>
      </w:tr>
      <w:tr>
        <w:trPr>
          <w:trHeight w:val="171"/>
        </w:trPr>
        <w:tc>
          <w:tcPr>
            <w:tcW w:w="308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w:t>
            </w:r>
          </w:p>
        </w:tc>
        <w:tc>
          <w:tcPr>
            <w:tcW w:w="18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67.5</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85.6</w:t>
            </w:r>
          </w:p>
        </w:tc>
        <w:tc>
          <w:tcPr>
            <w:tcW w:w="16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(21.1)</w:t>
            </w:r>
          </w:p>
        </w:tc>
        <w:tc>
          <w:tcPr>
            <w:tcW w:w="28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jc w:val="right"/>
              <w:ind w:right="40"/>
              <w:spacing w:after="0"/>
              <w:rPr>
                <w:sz w:val="20"/>
                <w:szCs w:val="20"/>
                <w:color w:val="auto"/>
              </w:rPr>
            </w:pPr>
            <w:r>
              <w:rPr>
                <w:rFonts w:ascii="Arial" w:cs="Arial" w:eastAsia="Arial" w:hAnsi="Arial"/>
                <w:sz w:val="12"/>
                <w:szCs w:val="12"/>
                <w:color w:val="auto"/>
              </w:rPr>
              <w:t>(15.8)</w:t>
            </w:r>
          </w:p>
        </w:tc>
        <w:tc>
          <w:tcPr>
            <w:tcW w:w="300" w:type="dxa"/>
            <w:vAlign w:val="bottom"/>
            <w:tcBorders>
              <w:bottom w:val="single" w:sz="8" w:color="CCEEFF"/>
            </w:tcBorders>
          </w:tcPr>
          <w:p>
            <w:pPr>
              <w:spacing w:after="0"/>
              <w:rPr>
                <w:sz w:val="14"/>
                <w:szCs w:val="14"/>
                <w:color w:val="auto"/>
              </w:rPr>
            </w:pPr>
          </w:p>
        </w:tc>
      </w:tr>
      <w:tr>
        <w:trPr>
          <w:trHeight w:val="178"/>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EMEA</w:t>
            </w:r>
          </w:p>
        </w:tc>
        <w:tc>
          <w:tcPr>
            <w:tcW w:w="18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1,067.9</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1,162.5</w:t>
            </w: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(8.1)</w:t>
            </w: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w:t>
            </w:r>
          </w:p>
        </w:tc>
        <w:tc>
          <w:tcPr>
            <w:tcW w:w="300" w:type="dxa"/>
            <w:vAlign w:val="bottom"/>
            <w:shd w:val="clear" w:color="auto" w:fill="CCEEFF"/>
          </w:tcPr>
          <w:p>
            <w:pPr>
              <w:spacing w:after="0"/>
              <w:rPr>
                <w:sz w:val="15"/>
                <w:szCs w:val="15"/>
                <w:color w:val="auto"/>
              </w:rPr>
            </w:pPr>
          </w:p>
        </w:tc>
      </w:tr>
      <w:tr>
        <w:trPr>
          <w:trHeight w:val="180"/>
        </w:trPr>
        <w:tc>
          <w:tcPr>
            <w:tcW w:w="3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1"/>
        </w:trPr>
        <w:tc>
          <w:tcPr>
            <w:tcW w:w="3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APAC</w:t>
            </w:r>
          </w:p>
        </w:tc>
        <w:tc>
          <w:tcPr>
            <w:tcW w:w="186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26.8</w:t>
            </w:r>
          </w:p>
        </w:tc>
        <w:tc>
          <w:tcPr>
            <w:tcW w:w="280" w:type="dxa"/>
            <w:vAlign w:val="bottom"/>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22.2</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20.6</w:t>
            </w:r>
          </w:p>
        </w:tc>
        <w:tc>
          <w:tcPr>
            <w:tcW w:w="28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27.7</w:t>
            </w:r>
          </w:p>
        </w:tc>
        <w:tc>
          <w:tcPr>
            <w:tcW w:w="300" w:type="dxa"/>
            <w:vAlign w:val="bottom"/>
            <w:shd w:val="clear" w:color="auto" w:fill="CCEEFF"/>
          </w:tcPr>
          <w:p>
            <w:pPr>
              <w:spacing w:after="0"/>
              <w:rPr>
                <w:sz w:val="14"/>
                <w:szCs w:val="14"/>
                <w:color w:val="auto"/>
              </w:rPr>
            </w:pPr>
          </w:p>
        </w:tc>
      </w:tr>
      <w:tr>
        <w:trPr>
          <w:trHeight w:val="169"/>
        </w:trPr>
        <w:tc>
          <w:tcPr>
            <w:tcW w:w="3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96"/>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Kelly Services, Inc.</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5,355.6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5,513.9</w:t>
            </w:r>
          </w:p>
        </w:tc>
        <w:tc>
          <w:tcPr>
            <w:tcW w:w="1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w w:val="93"/>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2"/>
                <w:szCs w:val="12"/>
                <w:color w:val="auto"/>
              </w:rPr>
              <w:t>(1.9)</w:t>
            </w:r>
          </w:p>
        </w:tc>
        <w:tc>
          <w:tcPr>
            <w:tcW w:w="30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2"/>
                <w:szCs w:val="12"/>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40"/>
          </w:cols>
          <w:pgMar w:left="240" w:top="676"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RECONCILIATION OF NON-GAAP MEASURES</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FOURTH QUARTER</w:t>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(In millions of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842"/>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404"/>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178"/>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Revenue from Services: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Reported</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94"/>
              </w:rPr>
              <w:t>Restructuring</w:t>
            </w:r>
            <w:r>
              <w:rPr>
                <w:rFonts w:ascii="Arial" w:cs="Arial" w:eastAsia="Arial" w:hAnsi="Arial"/>
                <w:sz w:val="15"/>
                <w:szCs w:val="15"/>
                <w:b w:val="1"/>
                <w:bCs w:val="1"/>
                <w:color w:val="auto"/>
                <w:w w:val="94"/>
                <w:vertAlign w:val="superscript"/>
              </w:rPr>
              <w:t>(2)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w w:val="85"/>
              </w:rPr>
              <w:t>Acquisitions</w:t>
            </w:r>
            <w:r>
              <w:rPr>
                <w:rFonts w:ascii="Arial" w:cs="Arial" w:eastAsia="Arial" w:hAnsi="Arial"/>
                <w:sz w:val="15"/>
                <w:szCs w:val="15"/>
                <w:b w:val="1"/>
                <w:bCs w:val="1"/>
                <w:color w:val="auto"/>
                <w:w w:val="85"/>
                <w:vertAlign w:val="superscript"/>
              </w:rPr>
              <w:t>(3)</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rPr>
              <w:t>Adjusted</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04"/>
              <w:spacing w:after="0"/>
              <w:rPr>
                <w:sz w:val="20"/>
                <w:szCs w:val="20"/>
                <w:color w:val="auto"/>
              </w:rPr>
            </w:pPr>
            <w:r>
              <w:rPr>
                <w:rFonts w:ascii="Arial" w:cs="Arial" w:eastAsia="Arial" w:hAnsi="Arial"/>
                <w:sz w:val="12"/>
                <w:szCs w:val="12"/>
                <w:b w:val="1"/>
                <w:bCs w:val="1"/>
                <w:color w:val="auto"/>
                <w:w w:val="89"/>
              </w:rPr>
              <w:t>As Reported</w:t>
            </w: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580.0</w:t>
            </w:r>
          </w:p>
        </w:tc>
        <w:tc>
          <w:tcPr>
            <w:tcW w:w="1300" w:type="dxa"/>
            <w:vAlign w:val="bottom"/>
            <w:gridSpan w:val="2"/>
            <w:shd w:val="clear" w:color="auto" w:fill="CCEEFF"/>
          </w:tcPr>
          <w:p>
            <w:pPr>
              <w:jc w:val="right"/>
              <w:ind w:right="11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60" w:type="dxa"/>
            <w:vAlign w:val="bottom"/>
            <w:gridSpan w:val="3"/>
            <w:shd w:val="clear" w:color="auto" w:fill="CCEEFF"/>
          </w:tcPr>
          <w:p>
            <w:pPr>
              <w:jc w:val="center"/>
              <w:ind w:right="822"/>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(15.4)</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564.6</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647.6</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gridSpan w:val="3"/>
          </w:tcPr>
          <w:p>
            <w:pPr>
              <w:jc w:val="right"/>
              <w:ind w:right="91"/>
              <w:spacing w:after="0"/>
              <w:rPr>
                <w:sz w:val="20"/>
                <w:szCs w:val="20"/>
                <w:color w:val="auto"/>
              </w:rPr>
            </w:pPr>
            <w:r>
              <w:rPr>
                <w:rFonts w:ascii="Arial" w:cs="Arial" w:eastAsia="Arial" w:hAnsi="Arial"/>
                <w:sz w:val="11"/>
                <w:szCs w:val="11"/>
                <w:color w:val="auto"/>
              </w:rPr>
              <w:t>515.1</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color w:val="auto"/>
                <w:w w:val="97"/>
              </w:rPr>
              <w:t>(14.6)</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500.5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503.3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246.0</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246.0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268.1</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Intersegment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85"/>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Total Company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w w:val="87"/>
              </w:rPr>
              <w:t>1,337.8</w:t>
            </w:r>
          </w:p>
        </w:tc>
        <w:tc>
          <w:tcPr>
            <w:tcW w:w="1300" w:type="dxa"/>
            <w:vAlign w:val="bottom"/>
            <w:gridSpan w:val="2"/>
            <w:shd w:val="clear" w:color="auto" w:fill="CCEEFF"/>
          </w:tcPr>
          <w:p>
            <w:pPr>
              <w:jc w:val="right"/>
              <w:ind w:right="11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60" w:type="dxa"/>
            <w:vAlign w:val="bottom"/>
            <w:gridSpan w:val="3"/>
            <w:shd w:val="clear" w:color="auto" w:fill="CCEEFF"/>
          </w:tcPr>
          <w:p>
            <w:pPr>
              <w:jc w:val="center"/>
              <w:ind w:right="822"/>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(30.0)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1,307.8</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1,414.7</w:t>
            </w:r>
          </w:p>
        </w:tc>
        <w:tc>
          <w:tcPr>
            <w:tcW w:w="0" w:type="dxa"/>
            <w:vAlign w:val="bottom"/>
          </w:tcPr>
          <w:p>
            <w:pPr>
              <w:spacing w:after="0"/>
              <w:rPr>
                <w:sz w:val="1"/>
                <w:szCs w:val="1"/>
                <w:color w:val="auto"/>
              </w:rPr>
            </w:pPr>
          </w:p>
        </w:tc>
      </w:tr>
      <w:tr>
        <w:trPr>
          <w:trHeight w:val="333"/>
        </w:trPr>
        <w:tc>
          <w:tcPr>
            <w:tcW w:w="286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3"/>
          </w:tcPr>
          <w:p>
            <w:pPr>
              <w:jc w:val="center"/>
              <w:ind w:right="842"/>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center"/>
              <w:ind w:right="404"/>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178"/>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Gross Profit:</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Reported</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94"/>
              </w:rPr>
              <w:t>Restructuring</w:t>
            </w:r>
            <w:r>
              <w:rPr>
                <w:rFonts w:ascii="Arial" w:cs="Arial" w:eastAsia="Arial" w:hAnsi="Arial"/>
                <w:sz w:val="15"/>
                <w:szCs w:val="15"/>
                <w:b w:val="1"/>
                <w:bCs w:val="1"/>
                <w:color w:val="auto"/>
                <w:w w:val="94"/>
                <w:vertAlign w:val="superscript"/>
              </w:rPr>
              <w:t>(2)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w w:val="85"/>
              </w:rPr>
              <w:t>Acquisitions</w:t>
            </w:r>
            <w:r>
              <w:rPr>
                <w:rFonts w:ascii="Arial" w:cs="Arial" w:eastAsia="Arial" w:hAnsi="Arial"/>
                <w:sz w:val="15"/>
                <w:szCs w:val="15"/>
                <w:b w:val="1"/>
                <w:bCs w:val="1"/>
                <w:color w:val="auto"/>
                <w:w w:val="85"/>
                <w:vertAlign w:val="superscript"/>
              </w:rPr>
              <w:t>(3)</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rPr>
              <w:t>Adjusted</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04"/>
              <w:spacing w:after="0"/>
              <w:rPr>
                <w:sz w:val="20"/>
                <w:szCs w:val="20"/>
                <w:color w:val="auto"/>
              </w:rPr>
            </w:pPr>
            <w:r>
              <w:rPr>
                <w:rFonts w:ascii="Arial" w:cs="Arial" w:eastAsia="Arial" w:hAnsi="Arial"/>
                <w:sz w:val="12"/>
                <w:szCs w:val="12"/>
                <w:b w:val="1"/>
                <w:bCs w:val="1"/>
                <w:color w:val="auto"/>
                <w:w w:val="89"/>
              </w:rPr>
              <w:t>As Reported</w:t>
            </w: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109.6</w:t>
            </w:r>
          </w:p>
        </w:tc>
        <w:tc>
          <w:tcPr>
            <w:tcW w:w="1300" w:type="dxa"/>
            <w:vAlign w:val="bottom"/>
            <w:gridSpan w:val="2"/>
            <w:shd w:val="clear" w:color="auto" w:fill="CCEEFF"/>
          </w:tcPr>
          <w:p>
            <w:pPr>
              <w:jc w:val="right"/>
              <w:ind w:right="11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60" w:type="dxa"/>
            <w:vAlign w:val="bottom"/>
            <w:gridSpan w:val="3"/>
            <w:shd w:val="clear" w:color="auto" w:fill="CCEEFF"/>
          </w:tcPr>
          <w:p>
            <w:pPr>
              <w:jc w:val="center"/>
              <w:ind w:right="822"/>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104.6</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118.8</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gridSpan w:val="3"/>
          </w:tcPr>
          <w:p>
            <w:pPr>
              <w:jc w:val="right"/>
              <w:ind w:right="91"/>
              <w:spacing w:after="0"/>
              <w:rPr>
                <w:sz w:val="20"/>
                <w:szCs w:val="20"/>
                <w:color w:val="auto"/>
              </w:rPr>
            </w:pPr>
            <w:r>
              <w:rPr>
                <w:rFonts w:ascii="Arial" w:cs="Arial" w:eastAsia="Arial" w:hAnsi="Arial"/>
                <w:sz w:val="11"/>
                <w:szCs w:val="11"/>
                <w:color w:val="auto"/>
              </w:rPr>
              <w:t>100.8</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97.5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99.3</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35.1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36.9</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Intersegment</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1"/>
                <w:szCs w:val="11"/>
                <w:color w:val="auto"/>
              </w:rPr>
              <w:t>(0.4)</w:t>
            </w:r>
          </w:p>
        </w:tc>
        <w:tc>
          <w:tcPr>
            <w:tcW w:w="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1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85"/>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Total Company</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245.1</w:t>
            </w:r>
          </w:p>
        </w:tc>
        <w:tc>
          <w:tcPr>
            <w:tcW w:w="1300" w:type="dxa"/>
            <w:vAlign w:val="bottom"/>
            <w:gridSpan w:val="2"/>
            <w:shd w:val="clear" w:color="auto" w:fill="CCEEFF"/>
          </w:tcPr>
          <w:p>
            <w:pPr>
              <w:jc w:val="right"/>
              <w:ind w:right="11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1260" w:type="dxa"/>
            <w:vAlign w:val="bottom"/>
            <w:gridSpan w:val="3"/>
            <w:shd w:val="clear" w:color="auto" w:fill="CCEEFF"/>
          </w:tcPr>
          <w:p>
            <w:pPr>
              <w:jc w:val="center"/>
              <w:ind w:right="822"/>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236.8</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254.4</w:t>
            </w:r>
          </w:p>
        </w:tc>
        <w:tc>
          <w:tcPr>
            <w:tcW w:w="0" w:type="dxa"/>
            <w:vAlign w:val="bottom"/>
          </w:tcPr>
          <w:p>
            <w:pPr>
              <w:spacing w:after="0"/>
              <w:rPr>
                <w:sz w:val="1"/>
                <w:szCs w:val="1"/>
                <w:color w:val="auto"/>
              </w:rPr>
            </w:pPr>
          </w:p>
        </w:tc>
      </w:tr>
      <w:tr>
        <w:trPr>
          <w:trHeight w:val="333"/>
        </w:trPr>
        <w:tc>
          <w:tcPr>
            <w:tcW w:w="286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3"/>
          </w:tcPr>
          <w:p>
            <w:pPr>
              <w:jc w:val="center"/>
              <w:ind w:right="842"/>
              <w:spacing w:after="0"/>
              <w:rPr>
                <w:sz w:val="20"/>
                <w:szCs w:val="20"/>
                <w:color w:val="auto"/>
              </w:rPr>
            </w:pPr>
            <w:r>
              <w:rPr>
                <w:rFonts w:ascii="Arial" w:cs="Arial" w:eastAsia="Arial" w:hAnsi="Arial"/>
                <w:sz w:val="12"/>
                <w:szCs w:val="12"/>
                <w:b w:val="1"/>
                <w:bCs w:val="1"/>
                <w:color w:val="auto"/>
                <w:w w:val="89"/>
              </w:rPr>
              <w:t>2019</w:t>
            </w:r>
          </w:p>
        </w:tc>
        <w:tc>
          <w:tcPr>
            <w:tcW w:w="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center"/>
              <w:ind w:right="404"/>
              <w:spacing w:after="0"/>
              <w:rPr>
                <w:sz w:val="20"/>
                <w:szCs w:val="20"/>
                <w:color w:val="auto"/>
              </w:rPr>
            </w:pPr>
            <w:r>
              <w:rPr>
                <w:rFonts w:ascii="Arial" w:cs="Arial" w:eastAsia="Arial" w:hAnsi="Arial"/>
                <w:sz w:val="12"/>
                <w:szCs w:val="12"/>
                <w:b w:val="1"/>
                <w:bCs w:val="1"/>
                <w:color w:val="auto"/>
                <w:w w:val="89"/>
              </w:rPr>
              <w:t>2018</w:t>
            </w:r>
          </w:p>
        </w:tc>
        <w:tc>
          <w:tcPr>
            <w:tcW w:w="0" w:type="dxa"/>
            <w:vAlign w:val="bottom"/>
          </w:tcPr>
          <w:p>
            <w:pPr>
              <w:spacing w:after="0"/>
              <w:rPr>
                <w:sz w:val="1"/>
                <w:szCs w:val="1"/>
                <w:color w:val="auto"/>
              </w:rPr>
            </w:pPr>
          </w:p>
        </w:tc>
      </w:tr>
      <w:tr>
        <w:trPr>
          <w:trHeight w:val="178"/>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SG&amp;A Expenses: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Reported</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94"/>
              </w:rPr>
              <w:t>Restructuring</w:t>
            </w:r>
            <w:r>
              <w:rPr>
                <w:rFonts w:ascii="Arial" w:cs="Arial" w:eastAsia="Arial" w:hAnsi="Arial"/>
                <w:sz w:val="15"/>
                <w:szCs w:val="15"/>
                <w:b w:val="1"/>
                <w:bCs w:val="1"/>
                <w:color w:val="auto"/>
                <w:w w:val="94"/>
                <w:vertAlign w:val="superscript"/>
              </w:rPr>
              <w:t>(2)</w:t>
            </w: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ind w:left="460"/>
              <w:spacing w:after="0"/>
              <w:rPr>
                <w:sz w:val="20"/>
                <w:szCs w:val="20"/>
                <w:color w:val="auto"/>
              </w:rPr>
            </w:pPr>
            <w:r>
              <w:rPr>
                <w:rFonts w:ascii="Arial" w:cs="Arial" w:eastAsia="Arial" w:hAnsi="Arial"/>
                <w:sz w:val="12"/>
                <w:szCs w:val="12"/>
                <w:b w:val="1"/>
                <w:bCs w:val="1"/>
                <w:color w:val="auto"/>
                <w:w w:val="85"/>
              </w:rPr>
              <w:t>Acquisitions</w:t>
            </w:r>
            <w:r>
              <w:rPr>
                <w:rFonts w:ascii="Arial" w:cs="Arial" w:eastAsia="Arial" w:hAnsi="Arial"/>
                <w:sz w:val="15"/>
                <w:szCs w:val="15"/>
                <w:b w:val="1"/>
                <w:bCs w:val="1"/>
                <w:color w:val="auto"/>
                <w:w w:val="85"/>
                <w:vertAlign w:val="superscript"/>
              </w:rPr>
              <w:t>(3)</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3"/>
          </w:tcPr>
          <w:p>
            <w:pPr>
              <w:ind w:left="620"/>
              <w:spacing w:after="0"/>
              <w:rPr>
                <w:sz w:val="20"/>
                <w:szCs w:val="20"/>
                <w:color w:val="auto"/>
              </w:rPr>
            </w:pPr>
            <w:r>
              <w:rPr>
                <w:rFonts w:ascii="Arial" w:cs="Arial" w:eastAsia="Arial" w:hAnsi="Arial"/>
                <w:sz w:val="12"/>
                <w:szCs w:val="12"/>
                <w:b w:val="1"/>
                <w:bCs w:val="1"/>
                <w:color w:val="auto"/>
              </w:rPr>
              <w:t>Adjusted</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04"/>
              <w:spacing w:after="0"/>
              <w:rPr>
                <w:sz w:val="20"/>
                <w:szCs w:val="20"/>
                <w:color w:val="auto"/>
              </w:rPr>
            </w:pPr>
            <w:r>
              <w:rPr>
                <w:rFonts w:ascii="Arial" w:cs="Arial" w:eastAsia="Arial" w:hAnsi="Arial"/>
                <w:sz w:val="12"/>
                <w:szCs w:val="12"/>
                <w:b w:val="1"/>
                <w:bCs w:val="1"/>
                <w:color w:val="auto"/>
                <w:w w:val="89"/>
              </w:rPr>
              <w:t>As Reported</w:t>
            </w: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88.5</w:t>
            </w:r>
          </w:p>
        </w:tc>
        <w:tc>
          <w:tcPr>
            <w:tcW w:w="1300" w:type="dxa"/>
            <w:vAlign w:val="bottom"/>
            <w:gridSpan w:val="2"/>
            <w:shd w:val="clear" w:color="auto" w:fill="CCEEFF"/>
          </w:tcPr>
          <w:p>
            <w:pPr>
              <w:jc w:val="right"/>
              <w:ind w:right="110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78"/>
              </w:rPr>
              <w:t>0.1</w:t>
            </w:r>
          </w:p>
        </w:tc>
        <w:tc>
          <w:tcPr>
            <w:tcW w:w="1260" w:type="dxa"/>
            <w:vAlign w:val="bottom"/>
            <w:gridSpan w:val="3"/>
            <w:shd w:val="clear" w:color="auto" w:fill="CCEEFF"/>
          </w:tcPr>
          <w:p>
            <w:pPr>
              <w:jc w:val="center"/>
              <w:ind w:right="822"/>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67"/>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84.6</w:t>
            </w: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90.4</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gridSpan w:val="3"/>
          </w:tcPr>
          <w:p>
            <w:pPr>
              <w:jc w:val="right"/>
              <w:ind w:right="91"/>
              <w:spacing w:after="0"/>
              <w:rPr>
                <w:sz w:val="20"/>
                <w:szCs w:val="20"/>
                <w:color w:val="auto"/>
              </w:rPr>
            </w:pPr>
            <w:r>
              <w:rPr>
                <w:rFonts w:ascii="Arial" w:cs="Arial" w:eastAsia="Arial" w:hAnsi="Arial"/>
                <w:sz w:val="11"/>
                <w:szCs w:val="11"/>
                <w:color w:val="auto"/>
              </w:rPr>
              <w:t>72.9</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71.0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72.5</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91"/>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33.1</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2"/>
                <w:szCs w:val="12"/>
                <w:color w:val="auto"/>
              </w:rPr>
              <w:t>Corporate</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gridSpan w:val="3"/>
          </w:tcPr>
          <w:p>
            <w:pPr>
              <w:jc w:val="right"/>
              <w:ind w:right="91"/>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ind w:left="160"/>
              <w:spacing w:after="0"/>
              <w:rPr>
                <w:sz w:val="20"/>
                <w:szCs w:val="20"/>
                <w:color w:val="auto"/>
              </w:rPr>
            </w:pPr>
            <w:r>
              <w:rPr>
                <w:rFonts w:ascii="Arial" w:cs="Arial" w:eastAsia="Arial" w:hAnsi="Arial"/>
                <w:sz w:val="11"/>
                <w:szCs w:val="11"/>
                <w:color w:val="auto"/>
              </w:rPr>
              <w:t>—</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180"/>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Intersegment</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gridSpan w:val="3"/>
            <w:shd w:val="clear" w:color="auto" w:fill="CCEEFF"/>
          </w:tcPr>
          <w:p>
            <w:pPr>
              <w:jc w:val="right"/>
              <w:ind w:right="71"/>
              <w:spacing w:after="0"/>
              <w:rPr>
                <w:sz w:val="20"/>
                <w:szCs w:val="20"/>
                <w:color w:val="auto"/>
              </w:rPr>
            </w:pPr>
            <w:r>
              <w:rPr>
                <w:rFonts w:ascii="Arial" w:cs="Arial" w:eastAsia="Arial" w:hAnsi="Arial"/>
                <w:sz w:val="11"/>
                <w:szCs w:val="11"/>
                <w:color w:val="auto"/>
              </w:rPr>
              <w:t>(0.4)</w:t>
            </w:r>
          </w:p>
        </w:tc>
        <w:tc>
          <w:tcPr>
            <w:tcW w:w="80" w:type="dxa"/>
            <w:vAlign w:val="bottom"/>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rPr>
              <w:t>(0.6)</w:t>
            </w:r>
          </w:p>
        </w:tc>
        <w:tc>
          <w:tcPr>
            <w:tcW w:w="0" w:type="dxa"/>
            <w:vAlign w:val="bottom"/>
          </w:tcPr>
          <w:p>
            <w:pPr>
              <w:spacing w:after="0"/>
              <w:rPr>
                <w:sz w:val="1"/>
                <w:szCs w:val="1"/>
                <w:color w:val="auto"/>
              </w:rPr>
            </w:pPr>
          </w:p>
        </w:tc>
      </w:tr>
      <w:tr>
        <w:trPr>
          <w:trHeight w:val="169"/>
        </w:trPr>
        <w:tc>
          <w:tcPr>
            <w:tcW w:w="2860" w:type="dxa"/>
            <w:vAlign w:val="bottom"/>
          </w:tcPr>
          <w:p>
            <w:pPr>
              <w:spacing w:after="0"/>
              <w:rPr>
                <w:sz w:val="20"/>
                <w:szCs w:val="20"/>
                <w:color w:val="auto"/>
              </w:rPr>
            </w:pPr>
            <w:r>
              <w:rPr>
                <w:rFonts w:ascii="Arial" w:cs="Arial" w:eastAsia="Arial" w:hAnsi="Arial"/>
                <w:sz w:val="12"/>
                <w:szCs w:val="12"/>
                <w:color w:val="auto"/>
              </w:rPr>
              <w:t>Total Company</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tcPr>
          <w:p>
            <w:pPr>
              <w:spacing w:after="0"/>
              <w:rPr>
                <w:sz w:val="14"/>
                <w:szCs w:val="14"/>
                <w:color w:val="auto"/>
              </w:rPr>
            </w:pPr>
          </w:p>
        </w:tc>
        <w:tc>
          <w:tcPr>
            <w:tcW w:w="480" w:type="dxa"/>
            <w:vAlign w:val="bottom"/>
            <w:gridSpan w:val="3"/>
          </w:tcPr>
          <w:p>
            <w:pPr>
              <w:jc w:val="right"/>
              <w:ind w:right="91"/>
              <w:spacing w:after="0"/>
              <w:rPr>
                <w:sz w:val="20"/>
                <w:szCs w:val="20"/>
                <w:color w:val="auto"/>
              </w:rPr>
            </w:pPr>
            <w:r>
              <w:rPr>
                <w:rFonts w:ascii="Arial" w:cs="Arial" w:eastAsia="Arial" w:hAnsi="Arial"/>
                <w:sz w:val="11"/>
                <w:szCs w:val="11"/>
                <w:color w:val="auto"/>
              </w:rPr>
              <w:t>216.2</w:t>
            </w:r>
          </w:p>
        </w:tc>
        <w:tc>
          <w:tcPr>
            <w:tcW w:w="1300" w:type="dxa"/>
            <w:vAlign w:val="bottom"/>
            <w:gridSpan w:val="2"/>
          </w:tcPr>
          <w:p>
            <w:pPr>
              <w:jc w:val="right"/>
              <w:ind w:right="11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ind w:right="6"/>
              <w:spacing w:after="0"/>
              <w:rPr>
                <w:sz w:val="20"/>
                <w:szCs w:val="20"/>
                <w:color w:val="auto"/>
              </w:rPr>
            </w:pPr>
            <w:r>
              <w:rPr>
                <w:rFonts w:ascii="Arial" w:cs="Arial" w:eastAsia="Arial" w:hAnsi="Arial"/>
                <w:sz w:val="11"/>
                <w:szCs w:val="11"/>
                <w:color w:val="auto"/>
                <w:w w:val="78"/>
              </w:rPr>
              <w:t>0.1</w:t>
            </w:r>
          </w:p>
        </w:tc>
        <w:tc>
          <w:tcPr>
            <w:tcW w:w="1260" w:type="dxa"/>
            <w:vAlign w:val="bottom"/>
            <w:gridSpan w:val="3"/>
          </w:tcPr>
          <w:p>
            <w:pPr>
              <w:jc w:val="center"/>
              <w:ind w:right="822"/>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4"/>
                <w:szCs w:val="14"/>
                <w:color w:val="auto"/>
              </w:rPr>
            </w:pPr>
          </w:p>
        </w:tc>
        <w:tc>
          <w:tcPr>
            <w:tcW w:w="980" w:type="dxa"/>
            <w:vAlign w:val="bottom"/>
          </w:tcPr>
          <w:p>
            <w:pPr>
              <w:jc w:val="right"/>
              <w:ind w:right="867"/>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210.4</w:t>
            </w:r>
          </w:p>
        </w:tc>
        <w:tc>
          <w:tcPr>
            <w:tcW w:w="400" w:type="dxa"/>
            <w:vAlign w:val="bottom"/>
            <w:gridSpan w:val="3"/>
          </w:tcPr>
          <w:p>
            <w:pPr>
              <w:jc w:val="center"/>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221.3</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8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722"/>
              <w:spacing w:after="0"/>
              <w:rPr>
                <w:sz w:val="20"/>
                <w:szCs w:val="20"/>
                <w:color w:val="auto"/>
              </w:rPr>
            </w:pPr>
            <w:r>
              <w:rPr>
                <w:rFonts w:ascii="Arial" w:cs="Arial" w:eastAsia="Arial" w:hAnsi="Arial"/>
                <w:sz w:val="12"/>
                <w:szCs w:val="12"/>
                <w:b w:val="1"/>
                <w:bCs w:val="1"/>
                <w:color w:val="auto"/>
              </w:rPr>
              <w:t>2019</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115"/>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Earnings from Operations:</w:t>
            </w:r>
          </w:p>
        </w:tc>
        <w:tc>
          <w:tcPr>
            <w:tcW w:w="160" w:type="dxa"/>
            <w:vAlign w:val="bottom"/>
          </w:tcPr>
          <w:p>
            <w:pPr>
              <w:spacing w:after="0"/>
              <w:rPr>
                <w:sz w:val="10"/>
                <w:szCs w:val="10"/>
                <w:color w:val="auto"/>
              </w:rPr>
            </w:pPr>
          </w:p>
        </w:tc>
        <w:tc>
          <w:tcPr>
            <w:tcW w:w="940" w:type="dxa"/>
            <w:vAlign w:val="bottom"/>
            <w:vMerge w:val="restart"/>
          </w:tcPr>
          <w:p>
            <w:pPr>
              <w:jc w:val="right"/>
              <w:ind w:right="143"/>
              <w:spacing w:after="0"/>
              <w:rPr>
                <w:sz w:val="20"/>
                <w:szCs w:val="20"/>
                <w:color w:val="auto"/>
              </w:rPr>
            </w:pPr>
            <w:r>
              <w:rPr>
                <w:rFonts w:ascii="Arial" w:cs="Arial" w:eastAsia="Arial" w:hAnsi="Arial"/>
                <w:sz w:val="12"/>
                <w:szCs w:val="12"/>
                <w:b w:val="1"/>
                <w:bCs w:val="1"/>
                <w:color w:val="auto"/>
              </w:rPr>
              <w:t>As Reported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gridSpan w:val="2"/>
            <w:vMerge w:val="restart"/>
          </w:tcPr>
          <w:p>
            <w:pPr>
              <w:jc w:val="right"/>
              <w:ind w:right="363"/>
              <w:spacing w:after="0"/>
              <w:rPr>
                <w:sz w:val="20"/>
                <w:szCs w:val="20"/>
                <w:color w:val="auto"/>
              </w:rPr>
            </w:pPr>
            <w:r>
              <w:rPr>
                <w:rFonts w:ascii="Arial" w:cs="Arial" w:eastAsia="Arial" w:hAnsi="Arial"/>
                <w:sz w:val="12"/>
                <w:szCs w:val="12"/>
                <w:b w:val="1"/>
                <w:bCs w:val="1"/>
                <w:color w:val="auto"/>
                <w:w w:val="94"/>
              </w:rPr>
              <w:t>Restructuring</w:t>
            </w:r>
            <w:r>
              <w:rPr>
                <w:rFonts w:ascii="Arial" w:cs="Arial" w:eastAsia="Arial" w:hAnsi="Arial"/>
                <w:sz w:val="15"/>
                <w:szCs w:val="15"/>
                <w:b w:val="1"/>
                <w:bCs w:val="1"/>
                <w:color w:val="auto"/>
                <w:w w:val="94"/>
                <w:vertAlign w:val="superscript"/>
              </w:rPr>
              <w:t>(2)</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342"/>
              <w:spacing w:after="0"/>
              <w:rPr>
                <w:sz w:val="20"/>
                <w:szCs w:val="20"/>
                <w:color w:val="auto"/>
              </w:rPr>
            </w:pPr>
            <w:r>
              <w:rPr>
                <w:rFonts w:ascii="Arial" w:cs="Arial" w:eastAsia="Arial" w:hAnsi="Arial"/>
                <w:sz w:val="12"/>
                <w:szCs w:val="12"/>
                <w:b w:val="1"/>
                <w:bCs w:val="1"/>
                <w:color w:val="auto"/>
                <w:w w:val="90"/>
              </w:rPr>
              <w:t>Acquisitions</w:t>
            </w:r>
            <w:r>
              <w:rPr>
                <w:rFonts w:ascii="Arial" w:cs="Arial" w:eastAsia="Arial" w:hAnsi="Arial"/>
                <w:sz w:val="15"/>
                <w:szCs w:val="15"/>
                <w:b w:val="1"/>
                <w:bCs w:val="1"/>
                <w:color w:val="auto"/>
                <w:w w:val="90"/>
                <w:vertAlign w:val="superscript"/>
              </w:rPr>
              <w:t>(3)</w:t>
            </w:r>
          </w:p>
        </w:tc>
        <w:tc>
          <w:tcPr>
            <w:tcW w:w="8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680"/>
              <w:spacing w:after="0" w:line="115" w:lineRule="exact"/>
              <w:rPr>
                <w:sz w:val="20"/>
                <w:szCs w:val="20"/>
                <w:color w:val="auto"/>
              </w:rPr>
            </w:pPr>
            <w:r>
              <w:rPr>
                <w:rFonts w:ascii="Arial" w:cs="Arial" w:eastAsia="Arial" w:hAnsi="Arial"/>
                <w:sz w:val="12"/>
                <w:szCs w:val="12"/>
                <w:b w:val="1"/>
                <w:bCs w:val="1"/>
                <w:color w:val="auto"/>
                <w:w w:val="85"/>
              </w:rPr>
              <w:t>Asset</w:t>
            </w:r>
          </w:p>
        </w:tc>
        <w:tc>
          <w:tcPr>
            <w:tcW w:w="120" w:type="dxa"/>
            <w:vAlign w:val="bottom"/>
          </w:tcPr>
          <w:p>
            <w:pPr>
              <w:spacing w:after="0"/>
              <w:rPr>
                <w:sz w:val="10"/>
                <w:szCs w:val="10"/>
                <w:color w:val="auto"/>
              </w:rPr>
            </w:pPr>
          </w:p>
        </w:tc>
        <w:tc>
          <w:tcPr>
            <w:tcW w:w="840" w:type="dxa"/>
            <w:vAlign w:val="bottom"/>
            <w:gridSpan w:val="4"/>
            <w:vMerge w:val="restart"/>
          </w:tcPr>
          <w:p>
            <w:pPr>
              <w:ind w:left="120"/>
              <w:spacing w:after="0"/>
              <w:rPr>
                <w:sz w:val="20"/>
                <w:szCs w:val="20"/>
                <w:color w:val="auto"/>
              </w:rPr>
            </w:pPr>
            <w:r>
              <w:rPr>
                <w:rFonts w:ascii="Arial" w:cs="Arial" w:eastAsia="Arial" w:hAnsi="Arial"/>
                <w:sz w:val="12"/>
                <w:szCs w:val="12"/>
                <w:b w:val="1"/>
                <w:bCs w:val="1"/>
                <w:color w:val="auto"/>
              </w:rPr>
              <w:t>Adjusted</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right"/>
              <w:ind w:right="304"/>
              <w:spacing w:after="0"/>
              <w:rPr>
                <w:sz w:val="20"/>
                <w:szCs w:val="20"/>
                <w:color w:val="auto"/>
              </w:rPr>
            </w:pPr>
            <w:r>
              <w:rPr>
                <w:rFonts w:ascii="Arial" w:cs="Arial" w:eastAsia="Arial" w:hAnsi="Arial"/>
                <w:sz w:val="12"/>
                <w:szCs w:val="12"/>
                <w:b w:val="1"/>
                <w:bCs w:val="1"/>
                <w:color w:val="auto"/>
              </w:rPr>
              <w:t>As Reported</w:t>
            </w:r>
          </w:p>
        </w:tc>
        <w:tc>
          <w:tcPr>
            <w:tcW w:w="0" w:type="dxa"/>
            <w:vAlign w:val="bottom"/>
          </w:tcPr>
          <w:p>
            <w:pPr>
              <w:spacing w:after="0"/>
              <w:rPr>
                <w:sz w:val="1"/>
                <w:szCs w:val="1"/>
                <w:color w:val="auto"/>
              </w:rPr>
            </w:pPr>
          </w:p>
        </w:tc>
      </w:tr>
      <w:tr>
        <w:trPr>
          <w:trHeight w:val="153"/>
        </w:trPr>
        <w:tc>
          <w:tcPr>
            <w:tcW w:w="2860" w:type="dxa"/>
            <w:vAlign w:val="bottom"/>
            <w:tcBorders>
              <w:bottom w:val="single" w:sz="8" w:color="CCEEFF"/>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47"/>
              <w:spacing w:after="0" w:line="154" w:lineRule="exact"/>
              <w:rPr>
                <w:sz w:val="20"/>
                <w:szCs w:val="20"/>
                <w:color w:val="auto"/>
              </w:rPr>
            </w:pPr>
            <w:r>
              <w:rPr>
                <w:rFonts w:ascii="Arial" w:cs="Arial" w:eastAsia="Arial" w:hAnsi="Arial"/>
                <w:sz w:val="12"/>
                <w:szCs w:val="12"/>
                <w:b w:val="1"/>
                <w:bCs w:val="1"/>
                <w:color w:val="auto"/>
                <w:w w:val="92"/>
              </w:rPr>
              <w:t>Impairment Charge</w:t>
            </w:r>
            <w:r>
              <w:rPr>
                <w:rFonts w:ascii="Arial" w:cs="Arial" w:eastAsia="Arial" w:hAnsi="Arial"/>
                <w:sz w:val="15"/>
                <w:szCs w:val="15"/>
                <w:b w:val="1"/>
                <w:bCs w:val="1"/>
                <w:color w:val="auto"/>
                <w:w w:val="92"/>
                <w:vertAlign w:val="superscript"/>
              </w:rPr>
              <w:t>(5)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21.1</w:t>
            </w:r>
          </w:p>
        </w:tc>
        <w:tc>
          <w:tcPr>
            <w:tcW w:w="480" w:type="dxa"/>
            <w:vAlign w:val="bottom"/>
            <w:gridSpan w:val="3"/>
            <w:shd w:val="clear" w:color="auto" w:fill="CCEEFF"/>
          </w:tcPr>
          <w:p>
            <w:pPr>
              <w:jc w:val="right"/>
              <w:ind w:right="251"/>
              <w:spacing w:after="0"/>
              <w:rPr>
                <w:sz w:val="20"/>
                <w:szCs w:val="20"/>
                <w:color w:val="auto"/>
              </w:rPr>
            </w:pPr>
            <w:r>
              <w:rPr>
                <w:rFonts w:ascii="Arial" w:cs="Arial" w:eastAsia="Arial" w:hAnsi="Arial"/>
                <w:sz w:val="11"/>
                <w:szCs w:val="11"/>
                <w:color w:val="auto"/>
              </w:rPr>
              <w:t>$</w:t>
            </w:r>
          </w:p>
        </w:tc>
        <w:tc>
          <w:tcPr>
            <w:tcW w:w="1300" w:type="dxa"/>
            <w:vAlign w:val="bottom"/>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42"/>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spacing w:after="0"/>
              <w:rPr>
                <w:sz w:val="13"/>
                <w:szCs w:val="13"/>
                <w:color w:val="auto"/>
              </w:rPr>
            </w:pPr>
          </w:p>
        </w:tc>
        <w:tc>
          <w:tcPr>
            <w:tcW w:w="400" w:type="dxa"/>
            <w:vAlign w:val="bottom"/>
            <w:gridSpan w:val="3"/>
            <w:shd w:val="clear" w:color="auto" w:fill="CCEEFF"/>
          </w:tcPr>
          <w:p>
            <w:pPr>
              <w:jc w:val="center"/>
              <w:ind w:right="60"/>
              <w:spacing w:after="0"/>
              <w:rPr>
                <w:sz w:val="20"/>
                <w:szCs w:val="20"/>
                <w:color w:val="auto"/>
              </w:rPr>
            </w:pPr>
            <w:r>
              <w:rPr>
                <w:rFonts w:ascii="Arial" w:cs="Arial" w:eastAsia="Arial" w:hAnsi="Arial"/>
                <w:sz w:val="11"/>
                <w:szCs w:val="11"/>
                <w:color w:val="auto"/>
                <w:w w:val="83"/>
              </w:rPr>
              <w:t>20.0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28.4</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6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27.9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ind w:left="9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42"/>
              <w:spacing w:after="0"/>
              <w:rPr>
                <w:sz w:val="20"/>
                <w:szCs w:val="20"/>
                <w:color w:val="auto"/>
              </w:rPr>
            </w:pPr>
            <w:r>
              <w:rPr>
                <w:rFonts w:ascii="Arial" w:cs="Arial" w:eastAsia="Arial" w:hAnsi="Arial"/>
                <w:sz w:val="11"/>
                <w:szCs w:val="11"/>
                <w:color w:val="auto"/>
              </w:rPr>
              <w:t>(1.4)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gridSpan w:val="3"/>
          </w:tcPr>
          <w:p>
            <w:pPr>
              <w:jc w:val="center"/>
              <w:ind w:right="60"/>
              <w:spacing w:after="0"/>
              <w:rPr>
                <w:sz w:val="20"/>
                <w:szCs w:val="20"/>
                <w:color w:val="auto"/>
              </w:rPr>
            </w:pPr>
            <w:r>
              <w:rPr>
                <w:rFonts w:ascii="Arial" w:cs="Arial" w:eastAsia="Arial" w:hAnsi="Arial"/>
                <w:sz w:val="11"/>
                <w:szCs w:val="11"/>
                <w:color w:val="auto"/>
                <w:w w:val="83"/>
              </w:rPr>
              <w:t>26.5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jc w:val="right"/>
              <w:ind w:right="84"/>
              <w:spacing w:after="0"/>
              <w:rPr>
                <w:sz w:val="20"/>
                <w:szCs w:val="20"/>
                <w:color w:val="auto"/>
              </w:rPr>
            </w:pPr>
            <w:r>
              <w:rPr>
                <w:rFonts w:ascii="Arial" w:cs="Arial" w:eastAsia="Arial" w:hAnsi="Arial"/>
                <w:sz w:val="11"/>
                <w:szCs w:val="11"/>
                <w:color w:val="auto"/>
              </w:rPr>
              <w:t>26.8</w:t>
            </w:r>
          </w:p>
        </w:tc>
        <w:tc>
          <w:tcPr>
            <w:tcW w:w="0" w:type="dxa"/>
            <w:vAlign w:val="bottom"/>
          </w:tcPr>
          <w:p>
            <w:pPr>
              <w:spacing w:after="0"/>
              <w:rPr>
                <w:sz w:val="1"/>
                <w:szCs w:val="1"/>
                <w:color w:val="auto"/>
              </w:rPr>
            </w:pPr>
          </w:p>
        </w:tc>
      </w:tr>
      <w:tr>
        <w:trPr>
          <w:trHeight w:val="189"/>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ind w:left="86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center"/>
              <w:spacing w:after="0"/>
              <w:rPr>
                <w:sz w:val="20"/>
                <w:szCs w:val="20"/>
                <w:color w:val="auto"/>
              </w:rPr>
            </w:pPr>
            <w:r>
              <w:rPr>
                <w:rFonts w:ascii="Arial" w:cs="Arial" w:eastAsia="Arial" w:hAnsi="Arial"/>
                <w:sz w:val="11"/>
                <w:szCs w:val="11"/>
                <w:color w:val="auto"/>
                <w:w w:val="78"/>
              </w:rPr>
              <w:t>4.9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3.8</w:t>
            </w:r>
          </w:p>
        </w:tc>
        <w:tc>
          <w:tcPr>
            <w:tcW w:w="0" w:type="dxa"/>
            <w:vAlign w:val="bottom"/>
          </w:tcPr>
          <w:p>
            <w:pPr>
              <w:spacing w:after="0"/>
              <w:rPr>
                <w:sz w:val="1"/>
                <w:szCs w:val="1"/>
                <w:color w:val="auto"/>
              </w:rPr>
            </w:pPr>
          </w:p>
        </w:tc>
      </w:tr>
      <w:tr>
        <w:trPr>
          <w:trHeight w:val="171"/>
        </w:trPr>
        <w:tc>
          <w:tcPr>
            <w:tcW w:w="2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Corporate</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(40.8)</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8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color w:val="auto"/>
              </w:rPr>
              <w:t>15.8</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color w:val="auto"/>
                <w:w w:val="90"/>
              </w:rPr>
              <w:t>(25.0)</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(25.9)</w:t>
            </w:r>
          </w:p>
        </w:tc>
        <w:tc>
          <w:tcPr>
            <w:tcW w:w="0" w:type="dxa"/>
            <w:vAlign w:val="bottom"/>
          </w:tcPr>
          <w:p>
            <w:pPr>
              <w:spacing w:after="0"/>
              <w:rPr>
                <w:sz w:val="1"/>
                <w:szCs w:val="1"/>
                <w:color w:val="auto"/>
              </w:rPr>
            </w:pPr>
          </w:p>
        </w:tc>
      </w:tr>
      <w:tr>
        <w:trPr>
          <w:trHeight w:val="185"/>
        </w:trPr>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Company</w:t>
            </w: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13.1</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gridSpan w:val="2"/>
            <w:shd w:val="clear" w:color="auto" w:fill="CCEEFF"/>
          </w:tcPr>
          <w:p>
            <w:pPr>
              <w:jc w:val="right"/>
              <w:ind w:right="43"/>
              <w:spacing w:after="0"/>
              <w:rPr>
                <w:sz w:val="20"/>
                <w:szCs w:val="20"/>
                <w:color w:val="auto"/>
              </w:rPr>
            </w:pPr>
            <w:r>
              <w:rPr>
                <w:rFonts w:ascii="Arial" w:cs="Arial" w:eastAsia="Arial" w:hAnsi="Arial"/>
                <w:sz w:val="11"/>
                <w:szCs w:val="11"/>
                <w:color w:val="auto"/>
              </w:rPr>
              <w:t>(0.1)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2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3"/>
            <w:shd w:val="clear" w:color="auto" w:fill="CCEEFF"/>
          </w:tcPr>
          <w:p>
            <w:pPr>
              <w:jc w:val="right"/>
              <w:ind w:right="42"/>
              <w:spacing w:after="0"/>
              <w:rPr>
                <w:sz w:val="20"/>
                <w:szCs w:val="20"/>
                <w:color w:val="auto"/>
              </w:rPr>
            </w:pPr>
            <w:r>
              <w:rPr>
                <w:rFonts w:ascii="Arial" w:cs="Arial" w:eastAsia="Arial" w:hAnsi="Arial"/>
                <w:sz w:val="11"/>
                <w:szCs w:val="11"/>
                <w:color w:val="auto"/>
              </w:rPr>
              <w:t>(2.4)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1"/>
                <w:szCs w:val="11"/>
                <w:color w:val="auto"/>
              </w:rPr>
              <w:t>15.8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gridSpan w:val="3"/>
            <w:shd w:val="clear" w:color="auto" w:fill="CCEEFF"/>
          </w:tcPr>
          <w:p>
            <w:pPr>
              <w:jc w:val="center"/>
              <w:ind w:right="60"/>
              <w:spacing w:after="0"/>
              <w:rPr>
                <w:sz w:val="20"/>
                <w:szCs w:val="20"/>
                <w:color w:val="auto"/>
              </w:rPr>
            </w:pPr>
            <w:r>
              <w:rPr>
                <w:rFonts w:ascii="Arial" w:cs="Arial" w:eastAsia="Arial" w:hAnsi="Arial"/>
                <w:sz w:val="11"/>
                <w:szCs w:val="11"/>
                <w:color w:val="auto"/>
                <w:w w:val="83"/>
              </w:rPr>
              <w:t>26.4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rPr>
              <w:t>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595" w:right="199" w:bottom="1440" w:gutter="0" w:footer="0" w:header="0"/>
        </w:sectPr>
      </w:pPr>
    </w:p>
    <w:bookmarkStart w:id="16" w:name="page17"/>
    <w:bookmarkEnd w:id="16"/>
    <w:p>
      <w:pPr>
        <w:jc w:val="center"/>
        <w:ind w:right="120"/>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RECONCILIATION OF NON-GAAP MEASURES (continued)</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DECEMBER YEAR TO DATE</w:t>
      </w:r>
    </w:p>
    <w:p>
      <w:pPr>
        <w:spacing w:after="0" w:line="42" w:lineRule="exact"/>
        <w:rPr>
          <w:sz w:val="20"/>
          <w:szCs w:val="20"/>
          <w:color w:val="auto"/>
        </w:rPr>
      </w:pPr>
    </w:p>
    <w:p>
      <w:pPr>
        <w:jc w:val="center"/>
        <w:ind w:right="120"/>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(In millions of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w w:val="89"/>
              </w:rPr>
              <w:t>2018</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7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Revenue from Services:</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85"/>
              <w:spacing w:after="0"/>
              <w:rPr>
                <w:sz w:val="20"/>
                <w:szCs w:val="20"/>
                <w:color w:val="auto"/>
              </w:rPr>
            </w:pPr>
            <w:r>
              <w:rPr>
                <w:rFonts w:ascii="Arial" w:cs="Arial" w:eastAsia="Arial" w:hAnsi="Arial"/>
                <w:sz w:val="12"/>
                <w:szCs w:val="12"/>
                <w:b w:val="1"/>
                <w:bCs w:val="1"/>
                <w:color w:val="auto"/>
                <w:w w:val="89"/>
              </w:rPr>
              <w:t>As Reported</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Restructuring</w:t>
            </w:r>
            <w:r>
              <w:rPr>
                <w:rFonts w:ascii="Arial" w:cs="Arial" w:eastAsia="Arial" w:hAnsi="Arial"/>
                <w:sz w:val="15"/>
                <w:szCs w:val="15"/>
                <w:b w:val="1"/>
                <w:bCs w:val="1"/>
                <w:color w:val="auto"/>
                <w:vertAlign w:val="superscript"/>
              </w:rPr>
              <w:t>(2)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85"/>
              </w:rPr>
              <w:t>Acquisitions</w:t>
            </w:r>
            <w:r>
              <w:rPr>
                <w:rFonts w:ascii="Arial" w:cs="Arial" w:eastAsia="Arial" w:hAnsi="Arial"/>
                <w:sz w:val="15"/>
                <w:szCs w:val="15"/>
                <w:b w:val="1"/>
                <w:bCs w:val="1"/>
                <w:color w:val="auto"/>
                <w:w w:val="85"/>
                <w:vertAlign w:val="superscript"/>
              </w:rPr>
              <w:t>(3)</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Adjusted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2"/>
                <w:szCs w:val="12"/>
                <w:b w:val="1"/>
                <w:bCs w:val="1"/>
                <w:color w:val="auto"/>
                <w:w w:val="89"/>
              </w:rPr>
              <w:t>As Reported</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2,320.1</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240" w:type="dxa"/>
            <w:vAlign w:val="bottom"/>
            <w:gridSpan w:val="3"/>
            <w:shd w:val="clear" w:color="auto" w:fill="CCEEFF"/>
          </w:tcPr>
          <w:p>
            <w:pPr>
              <w:jc w:val="right"/>
              <w:ind w:right="96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(78.3)</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87"/>
              </w:rPr>
              <w:t>2,241.8</w:t>
            </w: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2"/>
              </w:rPr>
              <w:t>2,417.7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85"/>
              <w:spacing w:after="0"/>
              <w:rPr>
                <w:sz w:val="20"/>
                <w:szCs w:val="20"/>
                <w:color w:val="auto"/>
              </w:rPr>
            </w:pPr>
            <w:r>
              <w:rPr>
                <w:rFonts w:ascii="Arial" w:cs="Arial" w:eastAsia="Arial" w:hAnsi="Arial"/>
                <w:sz w:val="11"/>
                <w:szCs w:val="11"/>
                <w:color w:val="auto"/>
              </w:rPr>
              <w:t>2,024.5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w w:val="97"/>
              </w:rPr>
              <w:t>(62.8)</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w w:val="87"/>
              </w:rPr>
              <w:t>1,961.7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w w:val="92"/>
              </w:rPr>
              <w:t>1,997.4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1,025.9</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87"/>
              </w:rPr>
              <w:t>1,025.9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2"/>
              </w:rPr>
              <w:t>1,116.6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Intersegment</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(14.9)</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(14.9)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Total Company</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5,355.6</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240" w:type="dxa"/>
            <w:vAlign w:val="bottom"/>
            <w:gridSpan w:val="3"/>
            <w:shd w:val="clear" w:color="auto" w:fill="CCEEFF"/>
          </w:tcPr>
          <w:p>
            <w:pPr>
              <w:jc w:val="right"/>
              <w:ind w:right="96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80"/>
              </w:rPr>
              <w:t>(141.1)</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w w:val="87"/>
              </w:rPr>
              <w:t>5,214.5</w:t>
            </w: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2"/>
              </w:rPr>
              <w:t>5,513.9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7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w w:val="89"/>
              </w:rPr>
              <w:t>2018</w:t>
            </w:r>
          </w:p>
        </w:tc>
        <w:tc>
          <w:tcPr>
            <w:tcW w:w="5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7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Gross Profit:</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85"/>
              <w:spacing w:after="0"/>
              <w:rPr>
                <w:sz w:val="20"/>
                <w:szCs w:val="20"/>
                <w:color w:val="auto"/>
              </w:rPr>
            </w:pPr>
            <w:r>
              <w:rPr>
                <w:rFonts w:ascii="Arial" w:cs="Arial" w:eastAsia="Arial" w:hAnsi="Arial"/>
                <w:sz w:val="12"/>
                <w:szCs w:val="12"/>
                <w:b w:val="1"/>
                <w:bCs w:val="1"/>
                <w:color w:val="auto"/>
                <w:w w:val="89"/>
              </w:rPr>
              <w:t>As Reported</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Restructuring</w:t>
            </w:r>
            <w:r>
              <w:rPr>
                <w:rFonts w:ascii="Arial" w:cs="Arial" w:eastAsia="Arial" w:hAnsi="Arial"/>
                <w:sz w:val="15"/>
                <w:szCs w:val="15"/>
                <w:b w:val="1"/>
                <w:bCs w:val="1"/>
                <w:color w:val="auto"/>
                <w:vertAlign w:val="superscript"/>
              </w:rPr>
              <w:t>(2)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85"/>
              </w:rPr>
              <w:t>Acquisitions</w:t>
            </w:r>
            <w:r>
              <w:rPr>
                <w:rFonts w:ascii="Arial" w:cs="Arial" w:eastAsia="Arial" w:hAnsi="Arial"/>
                <w:sz w:val="15"/>
                <w:szCs w:val="15"/>
                <w:b w:val="1"/>
                <w:bCs w:val="1"/>
                <w:color w:val="auto"/>
                <w:w w:val="85"/>
                <w:vertAlign w:val="superscript"/>
              </w:rPr>
              <w:t>(3)</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Adjusted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2"/>
                <w:szCs w:val="12"/>
                <w:b w:val="1"/>
                <w:bCs w:val="1"/>
                <w:color w:val="auto"/>
                <w:w w:val="89"/>
              </w:rPr>
              <w:t>As Reported</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429.5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240" w:type="dxa"/>
            <w:vAlign w:val="bottom"/>
            <w:gridSpan w:val="3"/>
            <w:shd w:val="clear" w:color="auto" w:fill="CCEEFF"/>
          </w:tcPr>
          <w:p>
            <w:pPr>
              <w:jc w:val="right"/>
              <w:ind w:right="96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(24.8)</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404.7</w:t>
            </w: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441.3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85"/>
              <w:spacing w:after="0"/>
              <w:rPr>
                <w:sz w:val="20"/>
                <w:szCs w:val="20"/>
                <w:color w:val="auto"/>
              </w:rPr>
            </w:pPr>
            <w:r>
              <w:rPr>
                <w:rFonts w:ascii="Arial" w:cs="Arial" w:eastAsia="Arial" w:hAnsi="Arial"/>
                <w:sz w:val="11"/>
                <w:szCs w:val="11"/>
                <w:color w:val="auto"/>
              </w:rPr>
              <w:t>400.5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w w:val="97"/>
              </w:rPr>
              <w:t>(13.6)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386.9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381.1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140.5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140.5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152.3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Intersegment</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(2.1)</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Total Company</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968.4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1240" w:type="dxa"/>
            <w:vAlign w:val="bottom"/>
            <w:gridSpan w:val="3"/>
            <w:shd w:val="clear" w:color="auto" w:fill="CCEEFF"/>
          </w:tcPr>
          <w:p>
            <w:pPr>
              <w:jc w:val="right"/>
              <w:ind w:right="96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(38.4)</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930.0</w:t>
            </w: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972.2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3"/>
        </w:trPr>
        <w:tc>
          <w:tcPr>
            <w:tcW w:w="17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2"/>
                <w:szCs w:val="12"/>
                <w:b w:val="1"/>
                <w:bCs w:val="1"/>
                <w:color w:val="auto"/>
                <w:w w:val="89"/>
              </w:rPr>
              <w:t>2019</w:t>
            </w:r>
          </w:p>
        </w:tc>
        <w:tc>
          <w:tcPr>
            <w:tcW w:w="10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2"/>
                <w:szCs w:val="12"/>
                <w:b w:val="1"/>
                <w:bCs w:val="1"/>
                <w:color w:val="auto"/>
                <w:w w:val="89"/>
              </w:rPr>
              <w:t>2018</w:t>
            </w:r>
          </w:p>
        </w:tc>
        <w:tc>
          <w:tcPr>
            <w:tcW w:w="50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720" w:type="dxa"/>
            <w:vAlign w:val="bottom"/>
            <w:tcBorders>
              <w:bottom w:val="single" w:sz="8" w:color="CCEEFF"/>
            </w:tcBorders>
          </w:tcPr>
          <w:p>
            <w:pPr>
              <w:spacing w:after="0"/>
              <w:rPr>
                <w:sz w:val="20"/>
                <w:szCs w:val="20"/>
                <w:color w:val="auto"/>
              </w:rPr>
            </w:pPr>
            <w:r>
              <w:rPr>
                <w:rFonts w:ascii="Arial" w:cs="Arial" w:eastAsia="Arial" w:hAnsi="Arial"/>
                <w:sz w:val="12"/>
                <w:szCs w:val="12"/>
                <w:b w:val="1"/>
                <w:bCs w:val="1"/>
                <w:color w:val="auto"/>
              </w:rPr>
              <w:t>SG&amp;A Expenses:</w:t>
            </w: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85"/>
              <w:spacing w:after="0"/>
              <w:rPr>
                <w:sz w:val="20"/>
                <w:szCs w:val="20"/>
                <w:color w:val="auto"/>
              </w:rPr>
            </w:pPr>
            <w:r>
              <w:rPr>
                <w:rFonts w:ascii="Arial" w:cs="Arial" w:eastAsia="Arial" w:hAnsi="Arial"/>
                <w:sz w:val="12"/>
                <w:szCs w:val="12"/>
                <w:b w:val="1"/>
                <w:bCs w:val="1"/>
                <w:color w:val="auto"/>
                <w:w w:val="89"/>
              </w:rPr>
              <w:t>As Reported</w:t>
            </w:r>
          </w:p>
        </w:tc>
        <w:tc>
          <w:tcPr>
            <w:tcW w:w="80" w:type="dxa"/>
            <w:vAlign w:val="bottom"/>
            <w:tcBorders>
              <w:bottom w:val="single" w:sz="8" w:color="CCEEFF"/>
            </w:tcBorders>
            <w:gridSpan w:val="2"/>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Restructuring</w:t>
            </w:r>
            <w:r>
              <w:rPr>
                <w:rFonts w:ascii="Arial" w:cs="Arial" w:eastAsia="Arial" w:hAnsi="Arial"/>
                <w:sz w:val="15"/>
                <w:szCs w:val="15"/>
                <w:b w:val="1"/>
                <w:bCs w:val="1"/>
                <w:color w:val="auto"/>
                <w:vertAlign w:val="superscript"/>
              </w:rPr>
              <w:t>(2)</w:t>
            </w: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w w:val="85"/>
              </w:rPr>
              <w:t>Acquisitions</w:t>
            </w:r>
            <w:r>
              <w:rPr>
                <w:rFonts w:ascii="Arial" w:cs="Arial" w:eastAsia="Arial" w:hAnsi="Arial"/>
                <w:sz w:val="15"/>
                <w:szCs w:val="15"/>
                <w:b w:val="1"/>
                <w:bCs w:val="1"/>
                <w:color w:val="auto"/>
                <w:w w:val="85"/>
                <w:vertAlign w:val="superscript"/>
              </w:rPr>
              <w:t>(3)</w:t>
            </w: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Adjusted</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2"/>
                <w:szCs w:val="12"/>
                <w:b w:val="1"/>
                <w:bCs w:val="1"/>
                <w:color w:val="auto"/>
                <w:w w:val="89"/>
              </w:rPr>
              <w:t>As Reported</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372.7</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w w:val="97"/>
              </w:rPr>
              <w:t>(5.5)</w:t>
            </w:r>
          </w:p>
        </w:tc>
        <w:tc>
          <w:tcPr>
            <w:tcW w:w="1240" w:type="dxa"/>
            <w:vAlign w:val="bottom"/>
            <w:gridSpan w:val="3"/>
            <w:shd w:val="clear" w:color="auto" w:fill="CCEEFF"/>
          </w:tcPr>
          <w:p>
            <w:pPr>
              <w:jc w:val="right"/>
              <w:ind w:right="96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(18.9)</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348.3</w:t>
            </w:r>
          </w:p>
        </w:tc>
        <w:tc>
          <w:tcPr>
            <w:tcW w:w="800" w:type="dxa"/>
            <w:vAlign w:val="bottom"/>
            <w:gridSpan w:val="3"/>
            <w:shd w:val="clear" w:color="auto" w:fill="CCEEFF"/>
          </w:tcPr>
          <w:p>
            <w:pPr>
              <w:jc w:val="right"/>
              <w:ind w:right="5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364.2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85"/>
              <w:spacing w:after="0"/>
              <w:rPr>
                <w:sz w:val="20"/>
                <w:szCs w:val="20"/>
                <w:color w:val="auto"/>
              </w:rPr>
            </w:pPr>
            <w:r>
              <w:rPr>
                <w:rFonts w:ascii="Arial" w:cs="Arial" w:eastAsia="Arial" w:hAnsi="Arial"/>
                <w:sz w:val="11"/>
                <w:szCs w:val="11"/>
                <w:color w:val="auto"/>
              </w:rPr>
              <w:t>293.1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285.5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296.5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125.3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125.3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Arial" w:cs="Arial" w:eastAsia="Arial" w:hAnsi="Arial"/>
                <w:sz w:val="12"/>
                <w:szCs w:val="12"/>
                <w:color w:val="auto"/>
              </w:rPr>
              <w:t>Corporate</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85"/>
              <w:spacing w:after="0"/>
              <w:rPr>
                <w:sz w:val="20"/>
                <w:szCs w:val="20"/>
                <w:color w:val="auto"/>
              </w:rPr>
            </w:pPr>
            <w:r>
              <w:rPr>
                <w:rFonts w:ascii="Arial" w:cs="Arial" w:eastAsia="Arial" w:hAnsi="Arial"/>
                <w:sz w:val="11"/>
                <w:szCs w:val="11"/>
                <w:color w:val="auto"/>
              </w:rPr>
              <w:t>94.1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gridSpan w:val="3"/>
          </w:tcPr>
          <w:p>
            <w:pPr>
              <w:ind w:lef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000" w:type="dxa"/>
            <w:vAlign w:val="bottom"/>
          </w:tcPr>
          <w:p>
            <w:pPr>
              <w:spacing w:after="0"/>
              <w:rPr>
                <w:sz w:val="14"/>
                <w:szCs w:val="14"/>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94.1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94.3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Intersegment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1"/>
                <w:szCs w:val="11"/>
                <w:color w:val="auto"/>
              </w:rPr>
              <w:t>(2.1)</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gridSpan w:val="3"/>
            <w:shd w:val="clear" w:color="auto" w:fill="CCEEFF"/>
          </w:tcPr>
          <w:p>
            <w:pPr>
              <w:ind w:left="8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(2.1)</w:t>
            </w:r>
          </w:p>
        </w:tc>
        <w:tc>
          <w:tcPr>
            <w:tcW w:w="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20"/>
                <w:szCs w:val="20"/>
                <w:color w:val="auto"/>
              </w:rPr>
            </w:pPr>
            <w:r>
              <w:rPr>
                <w:rFonts w:ascii="Arial" w:cs="Arial" w:eastAsia="Arial" w:hAnsi="Arial"/>
                <w:sz w:val="12"/>
                <w:szCs w:val="12"/>
                <w:color w:val="auto"/>
              </w:rPr>
              <w:t>Total Company</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85"/>
              <w:spacing w:after="0"/>
              <w:rPr>
                <w:sz w:val="20"/>
                <w:szCs w:val="20"/>
                <w:color w:val="auto"/>
              </w:rPr>
            </w:pPr>
            <w:r>
              <w:rPr>
                <w:rFonts w:ascii="Arial" w:cs="Arial" w:eastAsia="Arial" w:hAnsi="Arial"/>
                <w:sz w:val="11"/>
                <w:szCs w:val="11"/>
                <w:color w:val="auto"/>
              </w:rPr>
              <w:t>883.1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0"/>
                <w:szCs w:val="10"/>
                <w:color w:val="auto"/>
                <w:w w:val="71"/>
              </w:rPr>
              <w:t>$</w:t>
            </w:r>
          </w:p>
        </w:tc>
        <w:tc>
          <w:tcPr>
            <w:tcW w:w="1240" w:type="dxa"/>
            <w:vAlign w:val="bottom"/>
          </w:tcPr>
          <w:p>
            <w:pPr>
              <w:spacing w:after="0"/>
              <w:rPr>
                <w:sz w:val="14"/>
                <w:szCs w:val="14"/>
                <w:color w:val="auto"/>
              </w:rPr>
            </w:pPr>
          </w:p>
        </w:tc>
        <w:tc>
          <w:tcPr>
            <w:tcW w:w="260" w:type="dxa"/>
            <w:vAlign w:val="bottom"/>
            <w:gridSpan w:val="3"/>
          </w:tcPr>
          <w:p>
            <w:pPr>
              <w:ind w:left="20"/>
              <w:spacing w:after="0"/>
              <w:rPr>
                <w:sz w:val="20"/>
                <w:szCs w:val="20"/>
                <w:color w:val="auto"/>
              </w:rPr>
            </w:pPr>
            <w:r>
              <w:rPr>
                <w:rFonts w:ascii="Arial" w:cs="Arial" w:eastAsia="Arial" w:hAnsi="Arial"/>
                <w:sz w:val="11"/>
                <w:szCs w:val="11"/>
                <w:color w:val="auto"/>
                <w:w w:val="97"/>
              </w:rPr>
              <w:t>(5.5)</w:t>
            </w:r>
          </w:p>
        </w:tc>
        <w:tc>
          <w:tcPr>
            <w:tcW w:w="1240" w:type="dxa"/>
            <w:vAlign w:val="bottom"/>
            <w:gridSpan w:val="3"/>
          </w:tcPr>
          <w:p>
            <w:pPr>
              <w:jc w:val="right"/>
              <w:ind w:right="96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color w:val="auto"/>
                <w:w w:val="97"/>
              </w:rPr>
              <w:t>(26.5)</w:t>
            </w:r>
          </w:p>
        </w:tc>
        <w:tc>
          <w:tcPr>
            <w:tcW w:w="80" w:type="dxa"/>
            <w:vAlign w:val="bottom"/>
          </w:tcPr>
          <w:p>
            <w:pPr>
              <w:spacing w:after="0"/>
              <w:rPr>
                <w:sz w:val="14"/>
                <w:szCs w:val="14"/>
                <w:color w:val="auto"/>
              </w:rPr>
            </w:pPr>
          </w:p>
        </w:tc>
        <w:tc>
          <w:tcPr>
            <w:tcW w:w="1000" w:type="dxa"/>
            <w:vAlign w:val="bottom"/>
          </w:tcPr>
          <w:p>
            <w:pPr>
              <w:jc w:val="right"/>
              <w:ind w:right="887"/>
              <w:spacing w:after="0"/>
              <w:rPr>
                <w:sz w:val="20"/>
                <w:szCs w:val="20"/>
                <w:color w:val="auto"/>
              </w:rPr>
            </w:pPr>
            <w:r>
              <w:rPr>
                <w:rFonts w:ascii="Arial" w:cs="Arial" w:eastAsia="Arial" w:hAnsi="Arial"/>
                <w:sz w:val="10"/>
                <w:szCs w:val="10"/>
                <w:color w:val="auto"/>
                <w:w w:val="71"/>
              </w:rPr>
              <w:t>$</w:t>
            </w:r>
          </w:p>
        </w:tc>
        <w:tc>
          <w:tcPr>
            <w:tcW w:w="400" w:type="dxa"/>
            <w:vAlign w:val="bottom"/>
            <w:gridSpan w:val="3"/>
          </w:tcPr>
          <w:p>
            <w:pPr>
              <w:jc w:val="right"/>
              <w:ind w:right="60"/>
              <w:spacing w:after="0"/>
              <w:rPr>
                <w:sz w:val="20"/>
                <w:szCs w:val="20"/>
                <w:color w:val="auto"/>
              </w:rPr>
            </w:pPr>
            <w:r>
              <w:rPr>
                <w:rFonts w:ascii="Arial" w:cs="Arial" w:eastAsia="Arial" w:hAnsi="Arial"/>
                <w:sz w:val="11"/>
                <w:szCs w:val="11"/>
                <w:color w:val="auto"/>
              </w:rPr>
              <w:t>851.1</w:t>
            </w:r>
          </w:p>
        </w:tc>
        <w:tc>
          <w:tcPr>
            <w:tcW w:w="800" w:type="dxa"/>
            <w:vAlign w:val="bottom"/>
            <w:gridSpan w:val="3"/>
          </w:tcPr>
          <w:p>
            <w:pPr>
              <w:jc w:val="right"/>
              <w:ind w:right="5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color w:val="auto"/>
              </w:rPr>
              <w:t>884.8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ind w:left="1100"/>
              <w:spacing w:after="0"/>
              <w:rPr>
                <w:sz w:val="20"/>
                <w:szCs w:val="20"/>
                <w:color w:val="auto"/>
              </w:rPr>
            </w:pPr>
            <w:r>
              <w:rPr>
                <w:rFonts w:ascii="Arial" w:cs="Arial" w:eastAsia="Arial" w:hAnsi="Arial"/>
                <w:sz w:val="12"/>
                <w:szCs w:val="12"/>
                <w:b w:val="1"/>
                <w:bCs w:val="1"/>
                <w:color w:val="auto"/>
                <w:w w:val="82"/>
              </w:rPr>
              <w:t>2019</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gridSpan w:val="2"/>
          </w:tcPr>
          <w:p>
            <w:pPr>
              <w:jc w:val="center"/>
              <w:ind w:left="62"/>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restart"/>
          </w:tcPr>
          <w:p>
            <w:pPr>
              <w:jc w:val="right"/>
              <w:ind w:right="527"/>
              <w:spacing w:after="0"/>
              <w:rPr>
                <w:sz w:val="20"/>
                <w:szCs w:val="20"/>
                <w:color w:val="auto"/>
              </w:rPr>
            </w:pPr>
            <w:r>
              <w:rPr>
                <w:rFonts w:ascii="Arial" w:cs="Arial" w:eastAsia="Arial" w:hAnsi="Arial"/>
                <w:sz w:val="12"/>
                <w:szCs w:val="12"/>
                <w:b w:val="1"/>
                <w:bCs w:val="1"/>
                <w:color w:val="auto"/>
              </w:rPr>
              <w:t>Asset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0"/>
              </w:rPr>
              <w:t>As</w:t>
            </w:r>
          </w:p>
        </w:tc>
        <w:tc>
          <w:tcPr>
            <w:tcW w:w="0" w:type="dxa"/>
            <w:vAlign w:val="bottom"/>
          </w:tcPr>
          <w:p>
            <w:pPr>
              <w:spacing w:after="0"/>
              <w:rPr>
                <w:sz w:val="1"/>
                <w:szCs w:val="1"/>
                <w:color w:val="auto"/>
              </w:rPr>
            </w:pPr>
          </w:p>
        </w:tc>
      </w:tr>
      <w:tr>
        <w:trPr>
          <w:trHeight w:val="22"/>
        </w:trPr>
        <w:tc>
          <w:tcPr>
            <w:tcW w:w="1720" w:type="dxa"/>
            <w:vAlign w:val="bottom"/>
            <w:vMerge w:val="restart"/>
          </w:tcPr>
          <w:p>
            <w:pPr>
              <w:spacing w:after="0"/>
              <w:rPr>
                <w:sz w:val="20"/>
                <w:szCs w:val="20"/>
                <w:color w:val="auto"/>
              </w:rPr>
            </w:pPr>
            <w:r>
              <w:rPr>
                <w:rFonts w:ascii="Arial" w:cs="Arial" w:eastAsia="Arial" w:hAnsi="Arial"/>
                <w:sz w:val="12"/>
                <w:szCs w:val="12"/>
                <w:b w:val="1"/>
                <w:bCs w:val="1"/>
                <w:color w:val="auto"/>
              </w:rPr>
              <w:t>Earnings from Operations:</w:t>
            </w:r>
          </w:p>
        </w:tc>
        <w:tc>
          <w:tcPr>
            <w:tcW w:w="120" w:type="dxa"/>
            <w:vAlign w:val="bottom"/>
          </w:tcPr>
          <w:p>
            <w:pPr>
              <w:spacing w:after="0" w:line="20" w:lineRule="exact"/>
              <w:rPr>
                <w:sz w:val="1"/>
                <w:szCs w:val="1"/>
                <w:color w:val="auto"/>
              </w:rPr>
            </w:pPr>
          </w:p>
        </w:tc>
        <w:tc>
          <w:tcPr>
            <w:tcW w:w="900" w:type="dxa"/>
            <w:vAlign w:val="bottom"/>
            <w:vMerge w:val="restart"/>
          </w:tcPr>
          <w:p>
            <w:pPr>
              <w:jc w:val="right"/>
              <w:ind w:right="145"/>
              <w:spacing w:after="0"/>
              <w:rPr>
                <w:sz w:val="20"/>
                <w:szCs w:val="20"/>
                <w:color w:val="auto"/>
              </w:rPr>
            </w:pPr>
            <w:r>
              <w:rPr>
                <w:rFonts w:ascii="Arial" w:cs="Arial" w:eastAsia="Arial" w:hAnsi="Arial"/>
                <w:sz w:val="12"/>
                <w:szCs w:val="12"/>
                <w:b w:val="1"/>
                <w:bCs w:val="1"/>
                <w:color w:val="auto"/>
                <w:w w:val="95"/>
              </w:rPr>
              <w:t>As Reported</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90"/>
              </w:rPr>
              <w:t>Restructuring</w:t>
            </w:r>
            <w:r>
              <w:rPr>
                <w:rFonts w:ascii="Arial" w:cs="Arial" w:eastAsia="Arial" w:hAnsi="Arial"/>
                <w:sz w:val="15"/>
                <w:szCs w:val="15"/>
                <w:b w:val="1"/>
                <w:bCs w:val="1"/>
                <w:color w:val="auto"/>
                <w:w w:val="90"/>
                <w:vertAlign w:val="superscript"/>
              </w:rPr>
              <w:t>(2)</w:t>
            </w: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Acquisitions</w:t>
            </w:r>
            <w:r>
              <w:rPr>
                <w:rFonts w:ascii="Arial" w:cs="Arial" w:eastAsia="Arial" w:hAnsi="Arial"/>
                <w:sz w:val="15"/>
                <w:szCs w:val="15"/>
                <w:b w:val="1"/>
                <w:bCs w:val="1"/>
                <w:color w:val="auto"/>
                <w:vertAlign w:val="superscript"/>
              </w:rPr>
              <w:t>(3)</w:t>
            </w: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3"/>
            <w:vMerge w:val="restart"/>
          </w:tcPr>
          <w:p>
            <w:pPr>
              <w:jc w:val="right"/>
              <w:ind w:right="3"/>
              <w:spacing w:after="0"/>
              <w:rPr>
                <w:sz w:val="20"/>
                <w:szCs w:val="20"/>
                <w:color w:val="auto"/>
              </w:rPr>
            </w:pPr>
            <w:r>
              <w:rPr>
                <w:rFonts w:ascii="Arial" w:cs="Arial" w:eastAsia="Arial" w:hAnsi="Arial"/>
                <w:sz w:val="12"/>
                <w:szCs w:val="12"/>
                <w:b w:val="1"/>
                <w:bCs w:val="1"/>
                <w:color w:val="auto"/>
                <w:w w:val="83"/>
              </w:rPr>
              <w:t>Gain on sale of assets</w:t>
            </w:r>
            <w:r>
              <w:rPr>
                <w:rFonts w:ascii="Arial" w:cs="Arial" w:eastAsia="Arial" w:hAnsi="Arial"/>
                <w:sz w:val="15"/>
                <w:szCs w:val="15"/>
                <w:b w:val="1"/>
                <w:bCs w:val="1"/>
                <w:color w:val="auto"/>
                <w:w w:val="83"/>
                <w:vertAlign w:val="superscript"/>
              </w:rPr>
              <w:t>(4)</w:t>
            </w:r>
          </w:p>
        </w:tc>
        <w:tc>
          <w:tcPr>
            <w:tcW w:w="8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2"/>
                <w:szCs w:val="12"/>
                <w:b w:val="1"/>
                <w:bCs w:val="1"/>
                <w:color w:val="auto"/>
                <w:w w:val="93"/>
              </w:rPr>
              <w:t>Adjusted</w:t>
            </w:r>
          </w:p>
        </w:tc>
        <w:tc>
          <w:tcPr>
            <w:tcW w:w="80" w:type="dxa"/>
            <w:vAlign w:val="bottom"/>
            <w:vMerge w:val="restart"/>
          </w:tcPr>
          <w:p>
            <w:pPr>
              <w:spacing w:after="0" w:line="20" w:lineRule="exact"/>
              <w:rPr>
                <w:sz w:val="1"/>
                <w:szCs w:val="1"/>
                <w:color w:val="auto"/>
              </w:rPr>
            </w:pPr>
          </w:p>
        </w:tc>
        <w:tc>
          <w:tcPr>
            <w:tcW w:w="108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1"/>
              </w:rPr>
              <w:t>Reported</w:t>
            </w:r>
          </w:p>
        </w:tc>
        <w:tc>
          <w:tcPr>
            <w:tcW w:w="0" w:type="dxa"/>
            <w:vAlign w:val="bottom"/>
          </w:tcPr>
          <w:p>
            <w:pPr>
              <w:spacing w:after="0" w:line="20" w:lineRule="exact"/>
              <w:rPr>
                <w:sz w:val="1"/>
                <w:szCs w:val="1"/>
                <w:color w:val="auto"/>
              </w:rPr>
            </w:pPr>
          </w:p>
        </w:tc>
      </w:tr>
      <w:tr>
        <w:trPr>
          <w:trHeight w:val="153"/>
        </w:trPr>
        <w:tc>
          <w:tcPr>
            <w:tcW w:w="172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vMerge w:val="continue"/>
          </w:tcPr>
          <w:p>
            <w:pPr>
              <w:spacing w:after="0"/>
              <w:rPr>
                <w:sz w:val="13"/>
                <w:szCs w:val="13"/>
                <w:color w:val="auto"/>
              </w:rPr>
            </w:pPr>
          </w:p>
        </w:tc>
        <w:tc>
          <w:tcPr>
            <w:tcW w:w="4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500" w:type="dxa"/>
            <w:vAlign w:val="bottom"/>
            <w:tcBorders>
              <w:bottom w:val="single" w:sz="8" w:color="auto"/>
            </w:tcBorders>
            <w:gridSpan w:val="3"/>
          </w:tcPr>
          <w:p>
            <w:pPr>
              <w:jc w:val="right"/>
              <w:ind w:right="107"/>
              <w:spacing w:after="0" w:line="154" w:lineRule="exact"/>
              <w:rPr>
                <w:sz w:val="20"/>
                <w:szCs w:val="20"/>
                <w:color w:val="auto"/>
              </w:rPr>
            </w:pPr>
            <w:r>
              <w:rPr>
                <w:rFonts w:ascii="Arial" w:cs="Arial" w:eastAsia="Arial" w:hAnsi="Arial"/>
                <w:sz w:val="12"/>
                <w:szCs w:val="12"/>
                <w:b w:val="1"/>
                <w:bCs w:val="1"/>
                <w:color w:val="auto"/>
              </w:rPr>
              <w:t>Impairment Charge</w:t>
            </w:r>
            <w:r>
              <w:rPr>
                <w:rFonts w:ascii="Arial" w:cs="Arial" w:eastAsia="Arial" w:hAnsi="Arial"/>
                <w:sz w:val="15"/>
                <w:szCs w:val="15"/>
                <w:b w:val="1"/>
                <w:bCs w:val="1"/>
                <w:color w:val="auto"/>
                <w:vertAlign w:val="superscript"/>
              </w:rPr>
              <w:t>(5)</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Americas Staffing</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56.8</w:t>
            </w: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5.5</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260" w:type="dxa"/>
            <w:vAlign w:val="bottom"/>
            <w:gridSpan w:val="3"/>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2"/>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center"/>
              <w:ind w:left="226"/>
              <w:spacing w:after="0"/>
              <w:rPr>
                <w:sz w:val="20"/>
                <w:szCs w:val="20"/>
                <w:color w:val="auto"/>
              </w:rPr>
            </w:pPr>
            <w:r>
              <w:rPr>
                <w:rFonts w:ascii="Arial" w:cs="Arial" w:eastAsia="Arial" w:hAnsi="Arial"/>
                <w:sz w:val="11"/>
                <w:szCs w:val="11"/>
                <w:color w:val="auto"/>
                <w:w w:val="83"/>
              </w:rPr>
              <w:t>77.1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Arial" w:cs="Arial" w:eastAsia="Arial" w:hAnsi="Arial"/>
                <w:sz w:val="12"/>
                <w:szCs w:val="12"/>
                <w:color w:val="auto"/>
              </w:rPr>
              <w:t>Global Talent Solutions</w:t>
            </w:r>
          </w:p>
        </w:tc>
        <w:tc>
          <w:tcPr>
            <w:tcW w:w="120" w:type="dxa"/>
            <w:vAlign w:val="bottom"/>
          </w:tcPr>
          <w:p>
            <w:pPr>
              <w:spacing w:after="0"/>
              <w:rPr>
                <w:sz w:val="14"/>
                <w:szCs w:val="14"/>
                <w:color w:val="auto"/>
              </w:rPr>
            </w:pPr>
          </w:p>
        </w:tc>
        <w:tc>
          <w:tcPr>
            <w:tcW w:w="900" w:type="dxa"/>
            <w:vAlign w:val="bottom"/>
          </w:tcPr>
          <w:p>
            <w:pPr>
              <w:jc w:val="right"/>
              <w:ind w:right="85"/>
              <w:spacing w:after="0"/>
              <w:rPr>
                <w:sz w:val="20"/>
                <w:szCs w:val="20"/>
                <w:color w:val="auto"/>
              </w:rPr>
            </w:pPr>
            <w:r>
              <w:rPr>
                <w:rFonts w:ascii="Arial" w:cs="Arial" w:eastAsia="Arial" w:hAnsi="Arial"/>
                <w:sz w:val="11"/>
                <w:szCs w:val="11"/>
                <w:color w:val="auto"/>
              </w:rPr>
              <w:t>107.4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ind w:left="8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1"/>
                <w:szCs w:val="11"/>
                <w:color w:val="auto"/>
              </w:rPr>
              <w:t>101.4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jc w:val="center"/>
              <w:ind w:left="226"/>
              <w:spacing w:after="0"/>
              <w:rPr>
                <w:sz w:val="20"/>
                <w:szCs w:val="20"/>
                <w:color w:val="auto"/>
              </w:rPr>
            </w:pPr>
            <w:r>
              <w:rPr>
                <w:rFonts w:ascii="Arial" w:cs="Arial" w:eastAsia="Arial" w:hAnsi="Arial"/>
                <w:sz w:val="11"/>
                <w:szCs w:val="11"/>
                <w:color w:val="auto"/>
                <w:w w:val="83"/>
              </w:rPr>
              <w:t>84.6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International Staffing</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15.2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ind w:left="11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15.2</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00" w:type="dxa"/>
            <w:vAlign w:val="bottom"/>
            <w:shd w:val="clear" w:color="auto" w:fill="CCEEFF"/>
          </w:tcPr>
          <w:p>
            <w:pPr>
              <w:jc w:val="center"/>
              <w:ind w:left="226"/>
              <w:spacing w:after="0"/>
              <w:rPr>
                <w:sz w:val="20"/>
                <w:szCs w:val="20"/>
                <w:color w:val="auto"/>
              </w:rPr>
            </w:pPr>
            <w:r>
              <w:rPr>
                <w:rFonts w:ascii="Arial" w:cs="Arial" w:eastAsia="Arial" w:hAnsi="Arial"/>
                <w:sz w:val="11"/>
                <w:szCs w:val="11"/>
                <w:color w:val="auto"/>
                <w:w w:val="83"/>
              </w:rPr>
              <w:t>20.0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Corporate</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color w:val="auto"/>
              </w:rPr>
              <w:t>(97.6)</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ind w:left="11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1"/>
                <w:szCs w:val="11"/>
                <w:color w:val="auto"/>
              </w:rPr>
              <w:t>(12.3)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1"/>
                <w:szCs w:val="11"/>
                <w:color w:val="auto"/>
              </w:rPr>
              <w:t>15.8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color w:val="auto"/>
              </w:rPr>
              <w:t>(94.1)</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left="66"/>
              <w:spacing w:after="0"/>
              <w:rPr>
                <w:sz w:val="20"/>
                <w:szCs w:val="20"/>
                <w:color w:val="auto"/>
              </w:rPr>
            </w:pPr>
            <w:r>
              <w:rPr>
                <w:rFonts w:ascii="Arial" w:cs="Arial" w:eastAsia="Arial" w:hAnsi="Arial"/>
                <w:sz w:val="11"/>
                <w:szCs w:val="11"/>
                <w:color w:val="auto"/>
                <w:w w:val="90"/>
              </w:rPr>
              <w:t>(94.3)</w:t>
            </w: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spacing w:after="0"/>
              <w:rPr>
                <w:sz w:val="20"/>
                <w:szCs w:val="20"/>
                <w:color w:val="auto"/>
              </w:rPr>
            </w:pPr>
            <w:r>
              <w:rPr>
                <w:rFonts w:ascii="Arial" w:cs="Arial" w:eastAsia="Arial" w:hAnsi="Arial"/>
                <w:sz w:val="12"/>
                <w:szCs w:val="12"/>
                <w:color w:val="auto"/>
              </w:rPr>
              <w:t>Total Company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81.8</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5.5</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w:t>
            </w:r>
          </w:p>
        </w:tc>
        <w:tc>
          <w:tcPr>
            <w:tcW w:w="260" w:type="dxa"/>
            <w:vAlign w:val="bottom"/>
            <w:gridSpan w:val="3"/>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1240" w:type="dxa"/>
            <w:vAlign w:val="bottom"/>
            <w:gridSpan w:val="3"/>
            <w:shd w:val="clear" w:color="auto" w:fill="CCEEFF"/>
          </w:tcPr>
          <w:p>
            <w:pPr>
              <w:jc w:val="right"/>
              <w:ind w:right="43"/>
              <w:spacing w:after="0"/>
              <w:rPr>
                <w:sz w:val="20"/>
                <w:szCs w:val="20"/>
                <w:color w:val="auto"/>
              </w:rPr>
            </w:pPr>
            <w:r>
              <w:rPr>
                <w:rFonts w:ascii="Arial" w:cs="Arial" w:eastAsia="Arial" w:hAnsi="Arial"/>
                <w:sz w:val="11"/>
                <w:szCs w:val="11"/>
                <w:color w:val="auto"/>
              </w:rPr>
              <w:t>(12.3)</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306"/>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15.8</w:t>
            </w: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78.9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22"/>
              <w:spacing w:after="0"/>
              <w:rPr>
                <w:sz w:val="20"/>
                <w:szCs w:val="20"/>
                <w:color w:val="auto"/>
              </w:rPr>
            </w:pPr>
            <w:r>
              <w:rPr>
                <w:rFonts w:ascii="Arial" w:cs="Arial" w:eastAsia="Arial" w:hAnsi="Arial"/>
                <w:sz w:val="11"/>
                <w:szCs w:val="11"/>
                <w:color w:val="auto"/>
                <w:w w:val="97"/>
              </w:rPr>
              <w:t>$</w:t>
            </w:r>
          </w:p>
        </w:tc>
        <w:tc>
          <w:tcPr>
            <w:tcW w:w="500" w:type="dxa"/>
            <w:vAlign w:val="bottom"/>
            <w:shd w:val="clear" w:color="auto" w:fill="CCEEFF"/>
          </w:tcPr>
          <w:p>
            <w:pPr>
              <w:jc w:val="center"/>
              <w:ind w:left="226"/>
              <w:spacing w:after="0"/>
              <w:rPr>
                <w:sz w:val="20"/>
                <w:szCs w:val="20"/>
                <w:color w:val="auto"/>
              </w:rPr>
            </w:pPr>
            <w:r>
              <w:rPr>
                <w:rFonts w:ascii="Arial" w:cs="Arial" w:eastAsia="Arial" w:hAnsi="Arial"/>
                <w:sz w:val="11"/>
                <w:szCs w:val="11"/>
                <w:color w:val="auto"/>
                <w:w w:val="83"/>
              </w:rPr>
              <w:t>87.4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29"/>
        </w:trPr>
        <w:tc>
          <w:tcPr>
            <w:tcW w:w="17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ind w:left="880"/>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595" w:right="1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t>KELLY SERVICES, INC.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RECONCILIATION OF NON-GAAP MEASURES (continued)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(In millions of dollars except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Fourth Quarter</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December Year to Date</w:t>
            </w:r>
          </w:p>
        </w:tc>
        <w:tc>
          <w:tcPr>
            <w:tcW w:w="1020" w:type="dxa"/>
            <w:vAlign w:val="bottom"/>
            <w:tcBorders>
              <w:bottom w:val="single" w:sz="8" w:color="auto"/>
            </w:tcBorders>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r>
      <w:tr>
        <w:trPr>
          <w:trHeight w:val="124"/>
        </w:trPr>
        <w:tc>
          <w:tcPr>
            <w:tcW w:w="4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80"/>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Income tax expense (benefit)</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(27.1)</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Taxes on investment in Persol Holdings(1)</w:t>
            </w:r>
          </w:p>
        </w:tc>
        <w:tc>
          <w:tcPr>
            <w:tcW w:w="108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(0.3)</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80"/>
              <w:spacing w:after="0"/>
              <w:rPr>
                <w:sz w:val="20"/>
                <w:szCs w:val="20"/>
                <w:color w:val="auto"/>
              </w:rPr>
            </w:pPr>
            <w:r>
              <w:rPr>
                <w:rFonts w:ascii="Arial" w:cs="Arial" w:eastAsia="Arial" w:hAnsi="Arial"/>
                <w:sz w:val="12"/>
                <w:szCs w:val="12"/>
                <w:color w:val="auto"/>
              </w:rPr>
              <w:t>25.4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40"/>
              <w:spacing w:after="0"/>
              <w:rPr>
                <w:sz w:val="20"/>
                <w:szCs w:val="20"/>
                <w:color w:val="auto"/>
              </w:rPr>
            </w:pPr>
            <w:r>
              <w:rPr>
                <w:rFonts w:ascii="Arial" w:cs="Arial" w:eastAsia="Arial" w:hAnsi="Arial"/>
                <w:sz w:val="12"/>
                <w:szCs w:val="12"/>
                <w:color w:val="auto"/>
              </w:rPr>
              <w:t>(11.0)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29.4</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Taxes on restructuring charges(2)</w:t>
            </w:r>
          </w:p>
        </w:tc>
        <w:tc>
          <w:tcPr>
            <w:tcW w:w="10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Taxes on acquisitions(3)</w:t>
            </w:r>
          </w:p>
        </w:tc>
        <w:tc>
          <w:tcPr>
            <w:tcW w:w="108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(0.6)</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320" w:type="dxa"/>
            <w:vAlign w:val="bottom"/>
          </w:tcPr>
          <w:p>
            <w:pPr>
              <w:jc w:val="right"/>
              <w:ind w:right="40"/>
              <w:spacing w:after="0"/>
              <w:rPr>
                <w:sz w:val="20"/>
                <w:szCs w:val="20"/>
                <w:color w:val="auto"/>
              </w:rPr>
            </w:pPr>
            <w:r>
              <w:rPr>
                <w:rFonts w:ascii="Arial" w:cs="Arial" w:eastAsia="Arial" w:hAnsi="Arial"/>
                <w:sz w:val="12"/>
                <w:szCs w:val="12"/>
                <w:color w:val="auto"/>
              </w:rPr>
              <w:t>(3.0)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Taxes on gain on sale of assets(4)</w:t>
            </w: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(3.3)</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Taxes on asset impairment charge(5)</w:t>
            </w:r>
          </w:p>
        </w:tc>
        <w:tc>
          <w:tcPr>
            <w:tcW w:w="1080" w:type="dxa"/>
            <w:vAlign w:val="bottom"/>
          </w:tcPr>
          <w:p>
            <w:pPr>
              <w:spacing w:after="0"/>
              <w:rPr>
                <w:sz w:val="14"/>
                <w:szCs w:val="14"/>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Arial" w:cs="Arial" w:eastAsia="Arial" w:hAnsi="Arial"/>
                <w:sz w:val="12"/>
                <w:szCs w:val="12"/>
                <w:color w:val="auto"/>
              </w:rPr>
              <w:t>4.0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94"/>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income tax expense (benefit)</w:t>
            </w:r>
          </w:p>
        </w:tc>
        <w:tc>
          <w:tcPr>
            <w:tcW w:w="108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6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2"/>
                <w:szCs w:val="12"/>
                <w:b w:val="1"/>
                <w:bCs w:val="1"/>
                <w:color w:val="auto"/>
              </w:rPr>
              <w:t>Fourth Quarter</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w w:val="94"/>
              </w:rPr>
              <w:t>December Year to Date</w:t>
            </w:r>
          </w:p>
        </w:tc>
        <w:tc>
          <w:tcPr>
            <w:tcW w:w="1020" w:type="dxa"/>
            <w:vAlign w:val="bottom"/>
            <w:tcBorders>
              <w:bottom w:val="single" w:sz="8" w:color="auto"/>
            </w:tcBorders>
          </w:tcPr>
          <w:p>
            <w:pPr>
              <w:spacing w:after="0"/>
              <w:rPr>
                <w:sz w:val="14"/>
                <w:szCs w:val="14"/>
                <w:color w:val="auto"/>
              </w:rPr>
            </w:pPr>
          </w:p>
        </w:tc>
      </w:tr>
      <w:tr>
        <w:trPr>
          <w:trHeight w:val="169"/>
        </w:trPr>
        <w:tc>
          <w:tcPr>
            <w:tcW w:w="456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2019</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2019</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r>
      <w:tr>
        <w:trPr>
          <w:trHeight w:val="178"/>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Net earnings (loss)</w:t>
            </w:r>
          </w:p>
        </w:tc>
        <w:tc>
          <w:tcPr>
            <w:tcW w:w="1080" w:type="dxa"/>
            <w:vAlign w:val="bottom"/>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(23.9)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22.9</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(Gain) loss on investment in Persol Holdings, net of taxes(1)</w:t>
            </w:r>
          </w:p>
        </w:tc>
        <w:tc>
          <w:tcPr>
            <w:tcW w:w="108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(0.4)</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57.8</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(24.8)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66.8</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Restructuring charges, net of taxes(2)</w:t>
            </w: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Net earnings from acquisitions(3)</w:t>
            </w:r>
          </w:p>
        </w:tc>
        <w:tc>
          <w:tcPr>
            <w:tcW w:w="1080" w:type="dxa"/>
            <w:vAlign w:val="bottom"/>
          </w:tcPr>
          <w:p>
            <w:pPr>
              <w:spacing w:after="0"/>
              <w:rPr>
                <w:sz w:val="14"/>
                <w:szCs w:val="14"/>
                <w:color w:val="auto"/>
              </w:rPr>
            </w:pPr>
          </w:p>
        </w:tc>
        <w:tc>
          <w:tcPr>
            <w:tcW w:w="500" w:type="dxa"/>
            <w:vAlign w:val="bottom"/>
          </w:tcPr>
          <w:p>
            <w:pPr>
              <w:jc w:val="right"/>
              <w:ind w:right="40"/>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680" w:type="dxa"/>
            <w:vAlign w:val="bottom"/>
          </w:tcPr>
          <w:p>
            <w:pPr>
              <w:jc w:val="right"/>
              <w:ind w:right="40"/>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Gain on sale of assets, net of taxes(4)</w:t>
            </w:r>
          </w:p>
        </w:tc>
        <w:tc>
          <w:tcPr>
            <w:tcW w:w="10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Asset impairment charge, net of taxes(5)</w:t>
            </w:r>
          </w:p>
        </w:tc>
        <w:tc>
          <w:tcPr>
            <w:tcW w:w="1080" w:type="dxa"/>
            <w:vAlign w:val="bottom"/>
          </w:tcPr>
          <w:p>
            <w:pPr>
              <w:spacing w:after="0"/>
              <w:rPr>
                <w:sz w:val="14"/>
                <w:szCs w:val="14"/>
                <w:color w:val="auto"/>
              </w:rPr>
            </w:pPr>
          </w:p>
        </w:tc>
        <w:tc>
          <w:tcPr>
            <w:tcW w:w="500" w:type="dxa"/>
            <w:vAlign w:val="bottom"/>
          </w:tcPr>
          <w:p>
            <w:pPr>
              <w:jc w:val="right"/>
              <w:ind w:right="80"/>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94"/>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Adjusted net earnings</w:t>
            </w:r>
          </w:p>
        </w:tc>
        <w:tc>
          <w:tcPr>
            <w:tcW w:w="1080" w:type="dxa"/>
            <w:vAlign w:val="bottom"/>
            <w:tcBorders>
              <w:top w:val="single" w:sz="8" w:color="auto"/>
              <w:bottom w:val="single" w:sz="8" w:color="auto"/>
            </w:tcBorders>
            <w:shd w:val="clear" w:color="auto" w:fill="CCEEFF"/>
          </w:tcPr>
          <w:p>
            <w:pPr>
              <w:jc w:val="right"/>
              <w:ind w:right="940"/>
              <w:spacing w:after="0"/>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26.5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2"/>
                <w:szCs w:val="12"/>
                <w:color w:val="auto"/>
                <w:w w:val="89"/>
              </w:rPr>
              <w:t>$</w:t>
            </w:r>
          </w:p>
        </w:tc>
        <w:tc>
          <w:tcPr>
            <w:tcW w:w="5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33.9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89.7</w:t>
            </w: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2"/>
                <w:szCs w:val="12"/>
                <w:b w:val="1"/>
                <w:bCs w:val="1"/>
                <w:color w:val="auto"/>
              </w:rPr>
              <w:t>Fourth Quarter</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w w:val="94"/>
              </w:rPr>
              <w:t>December Year to Date</w:t>
            </w:r>
          </w:p>
        </w:tc>
        <w:tc>
          <w:tcPr>
            <w:tcW w:w="1020" w:type="dxa"/>
            <w:vAlign w:val="bottom"/>
            <w:tcBorders>
              <w:bottom w:val="single" w:sz="8" w:color="auto"/>
            </w:tcBorders>
          </w:tcPr>
          <w:p>
            <w:pPr>
              <w:spacing w:after="0"/>
              <w:rPr>
                <w:sz w:val="14"/>
                <w:szCs w:val="14"/>
                <w:color w:val="auto"/>
              </w:rPr>
            </w:pPr>
          </w:p>
        </w:tc>
      </w:tr>
      <w:tr>
        <w:trPr>
          <w:trHeight w:val="169"/>
        </w:trPr>
        <w:tc>
          <w:tcPr>
            <w:tcW w:w="4560" w:type="dxa"/>
            <w:vAlign w:val="bottom"/>
          </w:tcPr>
          <w:p>
            <w:pPr>
              <w:spacing w:after="0"/>
              <w:rPr>
                <w:sz w:val="14"/>
                <w:szCs w:val="14"/>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2019</w:t>
            </w:r>
          </w:p>
        </w:tc>
        <w:tc>
          <w:tcPr>
            <w:tcW w:w="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2018</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7"/>
              <w:spacing w:after="0"/>
              <w:rPr>
                <w:sz w:val="20"/>
                <w:szCs w:val="20"/>
                <w:color w:val="auto"/>
              </w:rPr>
            </w:pPr>
            <w:r>
              <w:rPr>
                <w:rFonts w:ascii="Arial" w:cs="Arial" w:eastAsia="Arial" w:hAnsi="Arial"/>
                <w:sz w:val="12"/>
                <w:szCs w:val="12"/>
                <w:b w:val="1"/>
                <w:bCs w:val="1"/>
                <w:color w:val="auto"/>
              </w:rPr>
              <w:t>2019</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r>
      <w:tr>
        <w:trPr>
          <w:trHeight w:val="169"/>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2"/>
          </w:tcPr>
          <w:p>
            <w:pPr>
              <w:jc w:val="right"/>
              <w:ind w:right="860"/>
              <w:spacing w:after="0"/>
              <w:rPr>
                <w:sz w:val="20"/>
                <w:szCs w:val="20"/>
                <w:color w:val="auto"/>
              </w:rPr>
            </w:pPr>
            <w:r>
              <w:rPr>
                <w:rFonts w:ascii="Arial" w:cs="Arial" w:eastAsia="Arial" w:hAnsi="Arial"/>
                <w:sz w:val="12"/>
                <w:szCs w:val="12"/>
                <w:b w:val="1"/>
                <w:bCs w:val="1"/>
                <w:color w:val="auto"/>
              </w:rPr>
              <w:t>Per Share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Per Share</w:t>
            </w:r>
          </w:p>
        </w:tc>
        <w:tc>
          <w:tcPr>
            <w:tcW w:w="1020" w:type="dxa"/>
            <w:vAlign w:val="bottom"/>
          </w:tcPr>
          <w:p>
            <w:pPr>
              <w:spacing w:after="0"/>
              <w:rPr>
                <w:sz w:val="14"/>
                <w:szCs w:val="14"/>
                <w:color w:val="auto"/>
              </w:rPr>
            </w:pP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Net earnings (loss)</w:t>
            </w: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0.43</w:t>
            </w:r>
          </w:p>
        </w:tc>
        <w:tc>
          <w:tcPr>
            <w:tcW w:w="1240" w:type="dxa"/>
            <w:vAlign w:val="bottom"/>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(0.62)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w w:val="85"/>
              </w:rPr>
              <w:t>2.84</w:t>
            </w:r>
          </w:p>
        </w:tc>
        <w:tc>
          <w:tcPr>
            <w:tcW w:w="6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0.58</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(Gain) loss on investment in Persol Holdings, net of taxes(1)</w:t>
            </w:r>
          </w:p>
        </w:tc>
        <w:tc>
          <w:tcPr>
            <w:tcW w:w="10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(0.01)</w:t>
            </w:r>
          </w:p>
        </w:tc>
        <w:tc>
          <w:tcPr>
            <w:tcW w:w="124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1.49</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jc w:val="center"/>
              <w:ind w:left="120"/>
              <w:spacing w:after="0"/>
              <w:rPr>
                <w:sz w:val="20"/>
                <w:szCs w:val="20"/>
                <w:color w:val="auto"/>
              </w:rPr>
            </w:pPr>
            <w:r>
              <w:rPr>
                <w:rFonts w:ascii="Arial" w:cs="Arial" w:eastAsia="Arial" w:hAnsi="Arial"/>
                <w:sz w:val="12"/>
                <w:szCs w:val="12"/>
                <w:color w:val="auto"/>
                <w:w w:val="95"/>
              </w:rPr>
              <w:t>(0.63)</w:t>
            </w:r>
          </w:p>
        </w:tc>
        <w:tc>
          <w:tcPr>
            <w:tcW w:w="6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1.69</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Restructuring charges, net of taxes(2)</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w w:val="85"/>
              </w:rPr>
              <w:t>0.10</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Acquisitions, net of taxes(3)</w:t>
            </w:r>
          </w:p>
        </w:tc>
        <w:tc>
          <w:tcPr>
            <w:tcW w:w="1060" w:type="dxa"/>
            <w:vAlign w:val="bottom"/>
          </w:tcPr>
          <w:p>
            <w:pPr>
              <w:spacing w:after="0"/>
              <w:rPr>
                <w:sz w:val="14"/>
                <w:szCs w:val="14"/>
                <w:color w:val="auto"/>
              </w:rPr>
            </w:pP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(0.04)</w:t>
            </w:r>
          </w:p>
        </w:tc>
        <w:tc>
          <w:tcPr>
            <w:tcW w:w="12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680" w:type="dxa"/>
            <w:vAlign w:val="bottom"/>
          </w:tcPr>
          <w:p>
            <w:pPr>
              <w:jc w:val="center"/>
              <w:ind w:left="120"/>
              <w:spacing w:after="0"/>
              <w:rPr>
                <w:sz w:val="20"/>
                <w:szCs w:val="20"/>
                <w:color w:val="auto"/>
              </w:rPr>
            </w:pPr>
            <w:r>
              <w:rPr>
                <w:rFonts w:ascii="Arial" w:cs="Arial" w:eastAsia="Arial" w:hAnsi="Arial"/>
                <w:sz w:val="12"/>
                <w:szCs w:val="12"/>
                <w:color w:val="auto"/>
                <w:w w:val="95"/>
              </w:rPr>
              <w:t>(0.22)</w:t>
            </w:r>
          </w:p>
        </w:tc>
        <w:tc>
          <w:tcPr>
            <w:tcW w:w="6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Gain on sale of assets, net of taxes(4)</w:t>
            </w: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120"/>
              <w:spacing w:after="0"/>
              <w:rPr>
                <w:sz w:val="20"/>
                <w:szCs w:val="20"/>
                <w:color w:val="auto"/>
              </w:rPr>
            </w:pPr>
            <w:r>
              <w:rPr>
                <w:rFonts w:ascii="Arial" w:cs="Arial" w:eastAsia="Arial" w:hAnsi="Arial"/>
                <w:sz w:val="12"/>
                <w:szCs w:val="12"/>
                <w:color w:val="auto"/>
                <w:w w:val="95"/>
              </w:rPr>
              <w:t>(0.23)</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71"/>
        </w:trPr>
        <w:tc>
          <w:tcPr>
            <w:tcW w:w="4560" w:type="dxa"/>
            <w:vAlign w:val="bottom"/>
          </w:tcPr>
          <w:p>
            <w:pPr>
              <w:spacing w:after="0"/>
              <w:rPr>
                <w:sz w:val="20"/>
                <w:szCs w:val="20"/>
                <w:color w:val="auto"/>
              </w:rPr>
            </w:pPr>
            <w:r>
              <w:rPr>
                <w:rFonts w:ascii="Arial" w:cs="Arial" w:eastAsia="Arial" w:hAnsi="Arial"/>
                <w:sz w:val="12"/>
                <w:szCs w:val="12"/>
                <w:color w:val="auto"/>
              </w:rPr>
              <w:t>Asset impairment charge, net of taxes(5)</w:t>
            </w:r>
          </w:p>
        </w:tc>
        <w:tc>
          <w:tcPr>
            <w:tcW w:w="106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0.30</w:t>
            </w:r>
          </w:p>
        </w:tc>
        <w:tc>
          <w:tcPr>
            <w:tcW w:w="12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tcPr>
          <w:p>
            <w:pPr>
              <w:spacing w:after="0"/>
              <w:rPr>
                <w:sz w:val="14"/>
                <w:szCs w:val="14"/>
                <w:color w:val="auto"/>
              </w:rPr>
            </w:pPr>
          </w:p>
        </w:tc>
        <w:tc>
          <w:tcPr>
            <w:tcW w:w="680" w:type="dxa"/>
            <w:vAlign w:val="bottom"/>
          </w:tcPr>
          <w:p>
            <w:pPr>
              <w:jc w:val="center"/>
              <w:ind w:left="140"/>
              <w:spacing w:after="0"/>
              <w:rPr>
                <w:sz w:val="20"/>
                <w:szCs w:val="20"/>
                <w:color w:val="auto"/>
              </w:rPr>
            </w:pPr>
            <w:r>
              <w:rPr>
                <w:rFonts w:ascii="Arial" w:cs="Arial" w:eastAsia="Arial" w:hAnsi="Arial"/>
                <w:sz w:val="12"/>
                <w:szCs w:val="12"/>
                <w:color w:val="auto"/>
                <w:w w:val="85"/>
              </w:rPr>
              <w:t>0.30</w:t>
            </w:r>
          </w:p>
        </w:tc>
        <w:tc>
          <w:tcPr>
            <w:tcW w:w="680" w:type="dxa"/>
            <w:vAlign w:val="bottom"/>
          </w:tcPr>
          <w:p>
            <w:pPr>
              <w:spacing w:after="0"/>
              <w:rPr>
                <w:sz w:val="14"/>
                <w:szCs w:val="14"/>
                <w:color w:val="auto"/>
              </w:rPr>
            </w:pPr>
          </w:p>
        </w:tc>
        <w:tc>
          <w:tcPr>
            <w:tcW w:w="102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89"/>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Adjusted net earnings</w:t>
            </w: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0.67</w:t>
            </w:r>
          </w:p>
        </w:tc>
        <w:tc>
          <w:tcPr>
            <w:tcW w:w="1240" w:type="dxa"/>
            <w:vAlign w:val="bottom"/>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0.87</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927"/>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center"/>
              <w:ind w:left="140"/>
              <w:spacing w:after="0"/>
              <w:rPr>
                <w:sz w:val="20"/>
                <w:szCs w:val="20"/>
                <w:color w:val="auto"/>
              </w:rPr>
            </w:pPr>
            <w:r>
              <w:rPr>
                <w:rFonts w:ascii="Arial" w:cs="Arial" w:eastAsia="Arial" w:hAnsi="Arial"/>
                <w:sz w:val="12"/>
                <w:szCs w:val="12"/>
                <w:color w:val="auto"/>
                <w:w w:val="85"/>
              </w:rPr>
              <w:t>2.16</w:t>
            </w:r>
          </w:p>
        </w:tc>
        <w:tc>
          <w:tcPr>
            <w:tcW w:w="6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2.27</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2"/>
          <w:szCs w:val="12"/>
          <w:color w:val="auto"/>
        </w:rPr>
        <w:t>Note: Earnings per share amounts for each quarter are required to be computed independently and may not equal the amounts computed for the total year.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595" w:right="19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2"/>
          <w:szCs w:val="12"/>
          <w:b w:val="1"/>
          <w:bCs w:val="1"/>
          <w:color w:val="auto"/>
        </w:rPr>
        <w:t>KELLY SERVICES, INC. AND SUBSIDIARIES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RECONCILIATION OF NON-GAAP MEASURES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(UNAUDITED)</w:t>
      </w:r>
    </w:p>
    <w:p>
      <w:pPr>
        <w:spacing w:after="0" w:line="159"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Management believes that the non-GAAP (Generally Accepted Accounting Principles) information excluding the 2019 and 2018 gains and losses on the investment in Persol Holdings, the 2019 restructuring charges, the 2019 acquisitions, the 2019 gain on sale of assets and the 2019 asset impairment charge are useful to understand the Company's fiscal 2019 financial performance and increases comparability. Specifically, Management believes that removing the impact of these items allows for a more meaningful comparison of current period operating performance with the operating results of prior periods. These non-GAAP measures may have limitations as analytical tools because they exclude items which can have a material impact on cash flow and earnings per share. As a result, Management considers these measures, along with reported results, when it reviews and evaluates the Company's financial performance. Management believes that these measures provide greater transparency to investors and provide insight into how Management is evaluating the Company's financial performance. Non-GAAP measures should not be considered a substitute for, or superior to, measures of financial performance prepared in accordance with GAAP.</w:t>
      </w:r>
    </w:p>
    <w:p>
      <w:pPr>
        <w:spacing w:after="0" w:line="147"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gains and losses on the investment in Persol Holdings represent the change in fair value of the investment during the period presented and the related tax expense and benefit.</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Restructuring charges in 2019 represent severance costs primarily related to U.S. branch-based staffing operations.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NextGen and GTA were acquired on January 2, 2019, and were included in the reported results of operations of Americas Staffing and GTS segments, respectively, from the date of acquisition.</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Gain on sale of assets primarily represents the excess of the proceeds over the cost of an unused parcel of land located near the Company headquarters sold during the second quarter of 2019.</w:t>
      </w:r>
    </w:p>
    <w:p>
      <w:pPr>
        <w:spacing w:after="0" w:line="168" w:lineRule="exact"/>
        <w:rPr>
          <w:rFonts w:ascii="Arial" w:cs="Arial" w:eastAsia="Arial" w:hAnsi="Arial"/>
          <w:sz w:val="12"/>
          <w:szCs w:val="12"/>
          <w:color w:val="auto"/>
        </w:rPr>
      </w:pPr>
    </w:p>
    <w:p>
      <w:pPr>
        <w:ind w:left="420" w:right="100" w:hanging="212"/>
        <w:spacing w:after="0" w:line="276" w:lineRule="auto"/>
        <w:tabs>
          <w:tab w:leader="none" w:pos="416" w:val="left"/>
        </w:tabs>
        <w:numPr>
          <w:ilvl w:val="0"/>
          <w:numId w:val="6"/>
        </w:numPr>
        <w:rPr>
          <w:rFonts w:ascii="Arial" w:cs="Arial" w:eastAsia="Arial" w:hAnsi="Arial"/>
          <w:sz w:val="12"/>
          <w:szCs w:val="12"/>
          <w:color w:val="auto"/>
        </w:rPr>
      </w:pPr>
      <w:r>
        <w:rPr>
          <w:rFonts w:ascii="Arial" w:cs="Arial" w:eastAsia="Arial" w:hAnsi="Arial"/>
          <w:sz w:val="12"/>
          <w:szCs w:val="12"/>
          <w:color w:val="auto"/>
        </w:rPr>
        <w:t>Asset impairment charge represents the write-off of previously capitalized costs associated with a U.S. front and middle office technology development project that we determined we would not complete in order to enhance and expand a technology platform already in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20"/>
          </w:cols>
          <w:pgMar w:left="220" w:top="640" w:right="259" w:bottom="1440"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61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6502400</wp:posOffset>
            </wp:positionV>
            <wp:extent cx="724471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51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51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877"/>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2020-02-13T09:54:19Z</dcterms:created>
  <dcterms:modified xsi:type="dcterms:W3CDTF">2020-02-13T09:54:19Z</dcterms:modified>
</cp:coreProperties>
</file>