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84"/>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403860</wp:posOffset>
            </wp:positionH>
            <wp:positionV relativeFrom="page">
              <wp:posOffset>163195</wp:posOffset>
            </wp:positionV>
            <wp:extent cx="6740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page">
              <wp:posOffset>403860</wp:posOffset>
            </wp:positionH>
            <wp:positionV relativeFrom="page">
              <wp:posOffset>204470</wp:posOffset>
            </wp:positionV>
            <wp:extent cx="6740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0525" cy="8255"/>
                    </a:xfrm>
                    <a:prstGeom prst="rect">
                      <a:avLst/>
                    </a:prstGeom>
                    <a:noFill/>
                  </pic:spPr>
                </pic:pic>
              </a:graphicData>
            </a:graphic>
          </wp:anchor>
        </w:drawing>
        <w:t>UNITED STATES</w:t>
      </w:r>
    </w:p>
    <w:p>
      <w:pPr>
        <w:spacing w:after="0" w:line="33" w:lineRule="exact"/>
        <w:rPr>
          <w:sz w:val="24"/>
          <w:szCs w:val="24"/>
          <w:color w:val="auto"/>
        </w:rPr>
      </w:pPr>
    </w:p>
    <w:p>
      <w:pPr>
        <w:jc w:val="center"/>
        <w:ind w:right="-784"/>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ind w:left="4244"/>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2660015</wp:posOffset>
            </wp:positionH>
            <wp:positionV relativeFrom="paragraph">
              <wp:posOffset>220345</wp:posOffset>
            </wp:positionV>
            <wp:extent cx="1421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784"/>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219" w:lineRule="exact"/>
        <w:rPr>
          <w:sz w:val="24"/>
          <w:szCs w:val="24"/>
          <w:color w:val="auto"/>
        </w:rPr>
      </w:pPr>
    </w:p>
    <w:p>
      <w:pPr>
        <w:jc w:val="center"/>
        <w:ind w:right="-784"/>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13" w:lineRule="exact"/>
        <w:rPr>
          <w:sz w:val="24"/>
          <w:szCs w:val="24"/>
          <w:color w:val="auto"/>
        </w:rPr>
      </w:pPr>
    </w:p>
    <w:p>
      <w:pPr>
        <w:jc w:val="center"/>
        <w:ind w:right="-784"/>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jc w:val="center"/>
        <w:ind w:right="-784"/>
        <w:spacing w:after="0"/>
        <w:rPr>
          <w:sz w:val="20"/>
          <w:szCs w:val="20"/>
          <w:color w:val="auto"/>
        </w:rPr>
      </w:pPr>
      <w:r>
        <w:rPr>
          <w:rFonts w:ascii="Times New Roman" w:cs="Times New Roman" w:eastAsia="Times New Roman" w:hAnsi="Times New Roman"/>
          <w:sz w:val="21"/>
          <w:szCs w:val="21"/>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2660015</wp:posOffset>
            </wp:positionH>
            <wp:positionV relativeFrom="paragraph">
              <wp:posOffset>212090</wp:posOffset>
            </wp:positionV>
            <wp:extent cx="1421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4"/>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221" w:lineRule="exact"/>
        <w:rPr>
          <w:sz w:val="24"/>
          <w:szCs w:val="24"/>
          <w:color w:val="auto"/>
        </w:rPr>
      </w:pPr>
    </w:p>
    <w:p>
      <w:pPr>
        <w:ind w:left="4"/>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5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47" w:lineRule="exact"/>
        <w:rPr>
          <w:sz w:val="24"/>
          <w:szCs w:val="24"/>
          <w:color w:val="auto"/>
        </w:rPr>
      </w:pPr>
    </w:p>
    <w:p>
      <w:pPr>
        <w:ind w:left="524" w:hanging="524"/>
        <w:spacing w:after="0"/>
        <w:tabs>
          <w:tab w:leader="none" w:pos="52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115" w:lineRule="exact"/>
        <w:rPr>
          <w:sz w:val="24"/>
          <w:szCs w:val="24"/>
          <w:color w:val="auto"/>
        </w:rPr>
      </w:pPr>
    </w:p>
    <w:p>
      <w:pPr>
        <w:ind w:left="524" w:hanging="524"/>
        <w:spacing w:after="0"/>
        <w:tabs>
          <w:tab w:leader="none" w:pos="524"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18" w:lineRule="exact"/>
        <w:rPr>
          <w:rFonts w:ascii="MS PGothic" w:cs="MS PGothic" w:eastAsia="MS PGothic" w:hAnsi="MS PGothic"/>
          <w:sz w:val="17"/>
          <w:szCs w:val="17"/>
          <w:color w:val="auto"/>
        </w:rPr>
      </w:pPr>
    </w:p>
    <w:p>
      <w:pPr>
        <w:ind w:left="524" w:hanging="524"/>
        <w:spacing w:after="0"/>
        <w:tabs>
          <w:tab w:leader="none" w:pos="524"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116" w:lineRule="exact"/>
        <w:rPr>
          <w:rFonts w:ascii="MS PGothic" w:cs="MS PGothic" w:eastAsia="MS PGothic" w:hAnsi="MS PGothic"/>
          <w:sz w:val="17"/>
          <w:szCs w:val="17"/>
          <w:color w:val="auto"/>
        </w:rPr>
      </w:pPr>
    </w:p>
    <w:p>
      <w:pPr>
        <w:ind w:left="524" w:hanging="524"/>
        <w:spacing w:after="0"/>
        <w:tabs>
          <w:tab w:leader="none" w:pos="524"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116" w:lineRule="exact"/>
        <w:rPr>
          <w:rFonts w:ascii="MS PGothic" w:cs="MS PGothic" w:eastAsia="MS PGothic" w:hAnsi="MS PGothic"/>
          <w:sz w:val="17"/>
          <w:szCs w:val="17"/>
          <w:color w:val="auto"/>
        </w:rPr>
      </w:pPr>
    </w:p>
    <w:p>
      <w:pPr>
        <w:ind w:left="524" w:hanging="524"/>
        <w:spacing w:after="0"/>
        <w:tabs>
          <w:tab w:leader="none" w:pos="524"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187" w:lineRule="exact"/>
        <w:rPr>
          <w:sz w:val="24"/>
          <w:szCs w:val="24"/>
          <w:color w:val="auto"/>
        </w:rPr>
      </w:pPr>
    </w:p>
    <w:p>
      <w:pPr>
        <w:jc w:val="center"/>
        <w:ind w:right="-784"/>
        <w:spacing w:after="0"/>
        <w:rPr>
          <w:sz w:val="20"/>
          <w:szCs w:val="20"/>
          <w:color w:val="auto"/>
        </w:rPr>
      </w:pPr>
      <w:r>
        <w:rPr>
          <w:rFonts w:ascii="Times New Roman" w:cs="Times New Roman" w:eastAsia="Times New Roman" w:hAnsi="Times New Roman"/>
          <w:sz w:val="38"/>
          <w:szCs w:val="38"/>
          <w:b w:val="1"/>
          <w:bCs w:val="1"/>
          <w:color w:val="auto"/>
        </w:rPr>
        <w:t>Kelly Services Inc.</w:t>
      </w:r>
    </w:p>
    <w:p>
      <w:pPr>
        <w:spacing w:after="0" w:line="46" w:lineRule="exact"/>
        <w:rPr>
          <w:sz w:val="24"/>
          <w:szCs w:val="24"/>
          <w:color w:val="auto"/>
        </w:rPr>
      </w:pPr>
    </w:p>
    <w:p>
      <w:pPr>
        <w:jc w:val="center"/>
        <w:ind w:right="-784"/>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199" w:lineRule="exact"/>
        <w:rPr>
          <w:sz w:val="24"/>
          <w:szCs w:val="24"/>
          <w:color w:val="auto"/>
        </w:rPr>
      </w:pPr>
    </w:p>
    <w:p>
      <w:pPr>
        <w:ind w:left="2644"/>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2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4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21" w:lineRule="exact"/>
        <w:rPr>
          <w:sz w:val="24"/>
          <w:szCs w:val="24"/>
          <w:color w:val="auto"/>
        </w:rPr>
      </w:pPr>
    </w:p>
    <w:p>
      <w:pPr>
        <w:ind w:left="544" w:hanging="544"/>
        <w:spacing w:after="0"/>
        <w:tabs>
          <w:tab w:leader="none" w:pos="544"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20" w:lineRule="exact"/>
        <w:rPr>
          <w:rFonts w:ascii="MS PGothic" w:cs="MS PGothic" w:eastAsia="MS PGothic" w:hAnsi="MS PGothic"/>
          <w:sz w:val="17"/>
          <w:szCs w:val="17"/>
          <w:color w:val="auto"/>
        </w:rPr>
      </w:pPr>
    </w:p>
    <w:p>
      <w:pPr>
        <w:ind w:left="544" w:hanging="544"/>
        <w:spacing w:after="0"/>
        <w:tabs>
          <w:tab w:leader="none" w:pos="544"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6740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217805</wp:posOffset>
            </wp:positionV>
            <wp:extent cx="6740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9823"/>
          </w:cols>
          <w:pgMar w:left="636" w:top="496"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75501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310" cy="7550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right"/>
        <w:ind w:right="1860"/>
        <w:spacing w:after="0"/>
        <w:rPr>
          <w:sz w:val="20"/>
          <w:szCs w:val="20"/>
          <w:color w:val="auto"/>
        </w:rPr>
      </w:pPr>
      <w:r>
        <w:rPr>
          <w:rFonts w:ascii="Arial" w:cs="Arial" w:eastAsia="Arial" w:hAnsi="Arial"/>
          <w:sz w:val="64"/>
          <w:szCs w:val="64"/>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Letter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-413385</wp:posOffset>
            </wp:positionV>
            <wp:extent cx="875665" cy="528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75665" cy="52895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       </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April 15, 2024</w:t>
      </w:r>
    </w:p>
    <w:p>
      <w:pPr>
        <w:sectPr>
          <w:pgSz w:w="11900" w:h="16838" w:orient="portrait"/>
          <w:cols w:equalWidth="0" w:num="1">
            <w:col w:w="10580"/>
          </w:cols>
          <w:pgMar w:left="640" w:top="368" w:right="679" w:bottom="144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Dear Shareholders,</w:t>
      </w:r>
    </w:p>
    <w:p>
      <w:pPr>
        <w:spacing w:after="0" w:line="145"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2023 marked a year of transformative action as we set out to build upon the progress we have achieved on Kelly’s specialty growth journey during the last three years. We began the year with a clear vision for the company’s future defined by significantly improved profitability, sustainable growth, and greater value creation for all stakeholders. Notwithstanding ongoing macroeconomic uncertainty, we focused on what we can control, steering the company through a challenging operating environment while executing on our vision with urgency and agility.</w:t>
      </w:r>
    </w:p>
    <w:p>
      <w:pPr>
        <w:spacing w:after="0" w:line="54" w:lineRule="exact"/>
        <w:rPr>
          <w:sz w:val="20"/>
          <w:szCs w:val="20"/>
          <w:color w:val="auto"/>
        </w:rPr>
      </w:pPr>
    </w:p>
    <w:p>
      <w:pPr>
        <w:ind w:right="60"/>
        <w:spacing w:after="0" w:line="275" w:lineRule="auto"/>
        <w:rPr>
          <w:sz w:val="20"/>
          <w:szCs w:val="20"/>
          <w:color w:val="auto"/>
        </w:rPr>
      </w:pPr>
      <w:r>
        <w:rPr>
          <w:rFonts w:ascii="Arial" w:cs="Arial" w:eastAsia="Arial" w:hAnsi="Arial"/>
          <w:sz w:val="14"/>
          <w:szCs w:val="14"/>
          <w:color w:val="auto"/>
        </w:rPr>
        <w:t>Amid persistent headwinds that impacted demand for staffing and recruitment process outsourcing services in Science, Engineering &amp; Technology, Professional &amp; Industrial, and Outsourcing &amp; Consulting, we captured growth in more resilient markets. Kelly Education continued to be a high-performing asset within the company’s portfolio, growing</w:t>
      </w:r>
    </w:p>
    <w:p>
      <w:pPr>
        <w:spacing w:after="0" w:line="2" w:lineRule="exact"/>
        <w:rPr>
          <w:sz w:val="20"/>
          <w:szCs w:val="20"/>
          <w:color w:val="auto"/>
        </w:rPr>
      </w:pPr>
    </w:p>
    <w:p>
      <w:pPr>
        <w:ind w:right="40"/>
        <w:spacing w:after="0"/>
        <w:rPr>
          <w:sz w:val="20"/>
          <w:szCs w:val="20"/>
          <w:color w:val="auto"/>
        </w:rPr>
      </w:pPr>
      <w:r>
        <w:rPr>
          <w:rFonts w:ascii="Arial" w:cs="Arial" w:eastAsia="Arial" w:hAnsi="Arial"/>
          <w:sz w:val="16"/>
          <w:szCs w:val="16"/>
          <w:color w:val="auto"/>
        </w:rPr>
        <w:t>27 percent through improved fill rates, strong demand from existing customers, and new customer wins. In Professional &amp; Industrial, revenue from higher-margin outcome-based solutions also increased as demand for value-added services remained steady.</w:t>
      </w:r>
    </w:p>
    <w:p>
      <w:pPr>
        <w:spacing w:after="0" w:line="44"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Concurrent with our focus on driving results in the near term, we kept an eye trained on the future as well, reviewing our long-term growth and efficiency objectives to identify opportunities to accelerate progress on our specialty growth journey. As a result of the review, Kelly announced a comprehensive transformation initiative to optimize operations in a sustainable manner, unlock additional value-creating opportunities, and accelerate profitable growth. As part of the initiative, we committed to making long-term, structural improvements across the enterprise to significantly improve Kelly’s EBITDA margin. Following careful analysis, we took swift and decisive action to deliver on our commitment.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Driving Efficiency and Effectiveness</w:t>
      </w:r>
    </w:p>
    <w:p>
      <w:pPr>
        <w:spacing w:after="0" w:line="71" w:lineRule="exact"/>
        <w:rPr>
          <w:sz w:val="20"/>
          <w:szCs w:val="20"/>
          <w:color w:val="auto"/>
        </w:rPr>
      </w:pPr>
    </w:p>
    <w:p>
      <w:pPr>
        <w:ind w:right="520"/>
        <w:spacing w:after="0" w:line="265" w:lineRule="auto"/>
        <w:rPr>
          <w:sz w:val="20"/>
          <w:szCs w:val="20"/>
          <w:color w:val="auto"/>
        </w:rPr>
      </w:pPr>
      <w:r>
        <w:rPr>
          <w:rFonts w:ascii="Arial" w:cs="Arial" w:eastAsia="Arial" w:hAnsi="Arial"/>
          <w:sz w:val="16"/>
          <w:szCs w:val="16"/>
          <w:color w:val="auto"/>
        </w:rPr>
        <w:t>In July, we implemented strategic restructuring actions that further streamlined Kelly’s operating model. Among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actions: simplifying Kelly’s organizational structure, renegotiating supplier agreements; and revamping the company’s performance management process. We also made the difficult decision to implement a workforce reduction plan to align our resources with new ways of working. These actions delivered a structural reduction in the company’s cost base and accordingly, a significant improvement to EBITDA margin, ending the year at 2.6 percent on an adjusted basis. We are committed to sustaining these efficiencies and have established controls to provide visibility into resources and expenses across the company.</w:t>
      </w:r>
    </w:p>
    <w:p>
      <w:pPr>
        <w:spacing w:after="0" w:line="54"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With the efficiency measures in place, we pivoted to the second phase of our transformation: driving growth. In this phase, we undertook several strategic initiatives to increase top-line results over the long term. They include a comprehensive strategy to deliver the full suite of Kelly solutions to large enterprise customers. This approach is transforming the culture, capabilities, and technology across each segment to serve the most critical accounts more efficiently and effectively. We are now executing this strategy with an initial set of focus accounts which represent a meaningful portion of the company’s revenue base. This approach will accelerate our progress on capturing share-of-wallet, shifting Kelly’s business mix, and optimizing expenses over a large subset of the business.</w:t>
      </w:r>
    </w:p>
    <w:p>
      <w:pPr>
        <w:spacing w:after="0" w:line="204"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In Kelly’s Professional &amp; Industrial segment, we implemented an enhanced localized delivery model to meet commercial and light industrial talent and customers where they are. Underpinning this model is a network of physical branch locations through which Kelly can more quickly address customer and talent needs, uncover deeper insights into local market dynamics, and stimulate greater collaboration among branch team members. The model continues to generate positive momentum, benefiting further from the Kelly Now mobile app. The app is now live nationwide and actively serving up tailored job opportunities in commercial and light industrial to thousands of highly qualified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631825</wp:posOffset>
            </wp:positionV>
            <wp:extent cx="6740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782" w:lineRule="exact"/>
        <w:rPr>
          <w:sz w:val="20"/>
          <w:szCs w:val="20"/>
          <w:color w:val="auto"/>
        </w:rPr>
      </w:pPr>
    </w:p>
    <w:p>
      <w:pPr>
        <w:sectPr>
          <w:pgSz w:w="11900" w:h="16838" w:orient="portrait"/>
          <w:cols w:equalWidth="0" w:num="2">
            <w:col w:w="5060" w:space="360"/>
            <w:col w:w="5160"/>
          </w:cols>
          <w:pgMar w:left="640" w:top="368" w:right="67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both"/>
        <w:ind w:right="600"/>
        <w:spacing w:after="0" w:line="286" w:lineRule="auto"/>
        <w:rPr>
          <w:sz w:val="20"/>
          <w:szCs w:val="20"/>
          <w:color w:val="auto"/>
        </w:rPr>
      </w:pPr>
      <w:r>
        <w:rPr>
          <w:rFonts w:ascii="Arial" w:cs="Arial" w:eastAsia="Arial" w:hAnsi="Arial"/>
          <w:sz w:val="22"/>
          <w:szCs w:val="22"/>
          <w:b w:val="1"/>
          <w:bCs w:val="1"/>
          <w:color w:val="auto"/>
        </w:rPr>
        <w:t>“The change we set out to create within Kelly is no longer hypothetical; our transformation is delivering results. I am confident that the collective strength and resilience of Team Kelly will continue to propel us forward on our journey in 2024, as it has over the past 77 years.”</w:t>
      </w:r>
    </w:p>
    <w:p>
      <w:pPr>
        <w:spacing w:after="0" w:line="127"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Peter Quigley</w:t>
      </w:r>
      <w:r>
        <w:rPr>
          <w:rFonts w:ascii="Arial" w:cs="Arial" w:eastAsia="Arial" w:hAnsi="Arial"/>
          <w:sz w:val="14"/>
          <w:szCs w:val="14"/>
          <w:color w:val="auto"/>
        </w:rPr>
        <w:t xml:space="preserve">, President and CEO    </w:t>
      </w:r>
    </w:p>
    <w:p>
      <w:pPr>
        <w:spacing w:after="0" w:line="152" w:lineRule="exact"/>
        <w:rPr>
          <w:sz w:val="20"/>
          <w:szCs w:val="20"/>
          <w:color w:val="auto"/>
        </w:rPr>
      </w:pPr>
    </w:p>
    <w:tbl>
      <w:tblPr>
        <w:tblLayout w:type="fixed"/>
        <w:tblInd w:w="8900" w:type="dxa"/>
        <w:tblCellMar>
          <w:top w:w="0" w:type="dxa"/>
          <w:left w:w="0" w:type="dxa"/>
          <w:bottom w:w="0" w:type="dxa"/>
          <w:right w:w="0" w:type="dxa"/>
        </w:tblCellMar>
      </w:tblPr>
      <w:tr>
        <w:trPr>
          <w:trHeight w:val="26"/>
        </w:trPr>
        <w:tc>
          <w:tcPr>
            <w:tcW w:w="480" w:type="dxa"/>
            <w:vAlign w:val="bottom"/>
            <w:vMerge w:val="restart"/>
          </w:tcPr>
          <w:p>
            <w:pPr>
              <w:spacing w:after="0"/>
              <w:rPr>
                <w:sz w:val="20"/>
                <w:szCs w:val="20"/>
                <w:color w:val="auto"/>
              </w:rPr>
            </w:pPr>
            <w:r>
              <w:rPr>
                <w:rFonts w:ascii="Arial" w:cs="Arial" w:eastAsia="Arial" w:hAnsi="Arial"/>
                <w:sz w:val="21"/>
                <w:szCs w:val="21"/>
                <w:color w:val="auto"/>
              </w:rPr>
              <w:t> </w:t>
            </w:r>
          </w:p>
        </w:tc>
        <w:tc>
          <w:tcPr>
            <w:tcW w:w="680" w:type="dxa"/>
            <w:vAlign w:val="bottom"/>
            <w:vMerge w:val="restart"/>
          </w:tcPr>
          <w:p>
            <w:pPr>
              <w:ind w:left="400"/>
              <w:spacing w:after="0"/>
              <w:rPr>
                <w:sz w:val="20"/>
                <w:szCs w:val="20"/>
                <w:color w:val="auto"/>
              </w:rPr>
            </w:pPr>
            <w:r>
              <w:rPr>
                <w:rFonts w:ascii="Arial" w:cs="Arial" w:eastAsia="Arial" w:hAnsi="Arial"/>
                <w:sz w:val="21"/>
                <w:szCs w:val="21"/>
                <w:color w:val="auto"/>
                <w:w w:val="96"/>
              </w:rPr>
              <w:t xml:space="preserve">  </w:t>
            </w:r>
          </w:p>
        </w:tc>
        <w:tc>
          <w:tcPr>
            <w:tcW w:w="20" w:type="dxa"/>
            <w:vAlign w:val="bottom"/>
          </w:tcPr>
          <w:p>
            <w:pPr>
              <w:spacing w:after="0"/>
              <w:rPr>
                <w:sz w:val="2"/>
                <w:szCs w:val="2"/>
                <w:color w:val="auto"/>
              </w:rPr>
            </w:pPr>
          </w:p>
        </w:tc>
        <w:tc>
          <w:tcPr>
            <w:tcW w:w="460" w:type="dxa"/>
            <w:vAlign w:val="bottom"/>
            <w:vMerge w:val="restart"/>
          </w:tcPr>
          <w:p>
            <w:pPr>
              <w:ind w:left="80"/>
              <w:spacing w:after="0"/>
              <w:rPr>
                <w:sz w:val="20"/>
                <w:szCs w:val="20"/>
                <w:color w:val="auto"/>
              </w:rPr>
            </w:pPr>
            <w:r>
              <w:rPr>
                <w:rFonts w:ascii="Arial" w:cs="Arial" w:eastAsia="Arial" w:hAnsi="Arial"/>
                <w:sz w:val="21"/>
                <w:szCs w:val="21"/>
                <w:color w:val="auto"/>
                <w:w w:val="71"/>
              </w:rPr>
              <w:t>    1</w:t>
            </w:r>
          </w:p>
        </w:tc>
        <w:tc>
          <w:tcPr>
            <w:tcW w:w="0" w:type="dxa"/>
            <w:vAlign w:val="bottom"/>
          </w:tcPr>
          <w:p>
            <w:pPr>
              <w:spacing w:after="0" w:line="20" w:lineRule="exact"/>
              <w:rPr>
                <w:sz w:val="1"/>
                <w:szCs w:val="1"/>
                <w:color w:val="auto"/>
              </w:rPr>
            </w:pPr>
          </w:p>
        </w:tc>
      </w:tr>
      <w:tr>
        <w:trPr>
          <w:trHeight w:val="248"/>
        </w:trPr>
        <w:tc>
          <w:tcPr>
            <w:tcW w:w="48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4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5821680</wp:posOffset>
            </wp:positionH>
            <wp:positionV relativeFrom="paragraph">
              <wp:posOffset>-222250</wp:posOffset>
            </wp:positionV>
            <wp:extent cx="396240" cy="189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6240" cy="189865"/>
                    </a:xfrm>
                    <a:prstGeom prst="rect">
                      <a:avLst/>
                    </a:prstGeom>
                    <a:noFill/>
                  </pic:spPr>
                </pic:pic>
              </a:graphicData>
            </a:graphic>
          </wp:anchor>
        </w:drawing>
      </w:r>
    </w:p>
    <w:p>
      <w:pPr>
        <w:sectPr>
          <w:pgSz w:w="11900" w:h="16838" w:orient="portrait"/>
          <w:cols w:equalWidth="0" w:num="1">
            <w:col w:w="10580"/>
          </w:cols>
          <w:pgMar w:left="640" w:top="368" w:right="6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b w:val="1"/>
          <w:bCs w:val="1"/>
          <w:color w:val="auto"/>
        </w:rPr>
        <w:t>Sharpening our Focus</w:t>
      </w:r>
    </w:p>
    <w:p>
      <w:pPr>
        <w:spacing w:after="0" w:line="71"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color w:val="auto"/>
        </w:rPr>
        <w:t>We also took bold steps in 2023 to optimize Kelly’s portfolio of businesses and unlock capital in support of our specialty strategy. In November, Kelly entered into an agreement to sell its European staffing business for more than $100 million. The transaction, which closed in January, sharpens our focus on higher margin, higher growth MSP and RPO solutions globally, and specialty outcome-based and staffing services in North America. Furthermore, it accelerates our transformation efforts, boosting Kelly’s EBITDA margin to 3.0 percent on an adjusted basis entering 2024 – a step change from the company’s historical EBITDA margin average of approximately 2.0 percent.</w:t>
      </w:r>
    </w:p>
    <w:p>
      <w:pPr>
        <w:spacing w:after="0" w:line="215"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Having added significant capital to Kelly’s available liquidity, we are redoubling our efforts to identify high-margin, high-growth inorganic opportunities. We remain committed to pursuing acquisitions in our Science, Engineering &amp; Technology and Education segments – and more opportunistically, Outsourcing &amp; Consulting. With a strong balance sheet, a disciplined approach to evaluating opportunities, and clear inorganic priorities, Kelly is poised to pursue deals in any macroeconomic environment.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Accelerating Profitable Growth</w:t>
      </w:r>
    </w:p>
    <w:p>
      <w:pPr>
        <w:spacing w:after="0" w:line="84"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Through the decisive action and rapid progress, the Kelly team delivered in 2023, we have laid the groundwork for 2024 to be an inflection point in the company’s 77-year history. With the efficiency measures delivering sustained results and growth initiatives in the implementation phase, Kelly is well positioned to capture increased customer demand when the macroeconomic environment improves. While there is work to be done, we are confident that 2024 is the start of a new era of profitable growth – a year in which we will begin to reap the full benefits of our transformation and create value for all of Kelly’s stakeholders.</w:t>
      </w:r>
    </w:p>
    <w:p>
      <w:pPr>
        <w:spacing w:after="0" w:line="202"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We extend our sincere appreciation to the members of Kelly’s board of directors, each of whom brings a diverse set of experiences and skills that have proven invaluable as we have executed this transformation. We are particularly appreciative of Donald Parfet, who concluded a five-year term as chairman of the board of directors in May. Kelly has benefited immensely from his guidance and insights as we have positioned the company for the future. We thank him for his leadership, and are grateful for his continued service on Kelly’s board as an independent director.</w:t>
      </w:r>
    </w:p>
    <w:p>
      <w:pPr>
        <w:spacing w:after="0" w:line="1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Finally, to Kelly’s shareholders: thank you for placing your trust in us. With our Noble Purpose as our guide, we look forward to realizing our collective ambitions and rewarding you for recognizing the value-creating potential of this great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With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-339725</wp:posOffset>
            </wp:positionV>
            <wp:extent cx="7179310" cy="53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p>
    <w:p>
      <w:pPr>
        <w:spacing w:after="0" w:line="69"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-108585</wp:posOffset>
            </wp:positionV>
            <wp:extent cx="2395855" cy="537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95855" cy="53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2260" w:val="left"/>
        </w:tabs>
        <w:rPr>
          <w:sz w:val="20"/>
          <w:szCs w:val="20"/>
          <w:color w:val="auto"/>
        </w:rPr>
      </w:pPr>
      <w:r>
        <w:rPr>
          <w:rFonts w:ascii="Arial" w:cs="Arial" w:eastAsia="Arial" w:hAnsi="Arial"/>
          <w:sz w:val="16"/>
          <w:szCs w:val="16"/>
          <w:b w:val="1"/>
          <w:bCs w:val="1"/>
          <w:color w:val="auto"/>
        </w:rPr>
        <w:t>Terrence B. Larkin</w:t>
      </w:r>
      <w:r>
        <w:rPr>
          <w:sz w:val="20"/>
          <w:szCs w:val="20"/>
          <w:color w:val="auto"/>
        </w:rPr>
        <w:tab/>
      </w:r>
      <w:r>
        <w:rPr>
          <w:rFonts w:ascii="Arial" w:cs="Arial" w:eastAsia="Arial" w:hAnsi="Arial"/>
          <w:sz w:val="14"/>
          <w:szCs w:val="14"/>
          <w:b w:val="1"/>
          <w:bCs w:val="1"/>
          <w:color w:val="auto"/>
        </w:rPr>
        <w:t>Peter W. Quigley</w:t>
      </w:r>
    </w:p>
    <w:p>
      <w:pPr>
        <w:spacing w:after="0" w:line="14" w:lineRule="exact"/>
        <w:rPr>
          <w:sz w:val="20"/>
          <w:szCs w:val="20"/>
          <w:color w:val="auto"/>
        </w:rPr>
      </w:pPr>
    </w:p>
    <w:p>
      <w:pPr>
        <w:spacing w:after="0"/>
        <w:tabs>
          <w:tab w:leader="none" w:pos="2260" w:val="left"/>
        </w:tabs>
        <w:rPr>
          <w:sz w:val="20"/>
          <w:szCs w:val="20"/>
          <w:color w:val="auto"/>
        </w:rPr>
      </w:pPr>
      <w:r>
        <w:rPr>
          <w:rFonts w:ascii="Arial" w:cs="Arial" w:eastAsia="Arial" w:hAnsi="Arial"/>
          <w:sz w:val="16"/>
          <w:szCs w:val="16"/>
          <w:color w:val="auto"/>
        </w:rPr>
        <w:t>Chairman of the Board</w:t>
      </w:r>
      <w:r>
        <w:rPr>
          <w:sz w:val="20"/>
          <w:szCs w:val="20"/>
          <w:color w:val="auto"/>
        </w:rPr>
        <w:tab/>
      </w:r>
      <w:r>
        <w:rPr>
          <w:rFonts w:ascii="Arial" w:cs="Arial" w:eastAsia="Arial" w:hAnsi="Arial"/>
          <w:sz w:val="14"/>
          <w:szCs w:val="14"/>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154305</wp:posOffset>
            </wp:positionV>
            <wp:extent cx="6781800" cy="5262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81800" cy="5262245"/>
                    </a:xfrm>
                    <a:prstGeom prst="rect">
                      <a:avLst/>
                    </a:prstGeom>
                    <a:noFill/>
                  </pic:spPr>
                </pic:pic>
              </a:graphicData>
            </a:graphic>
          </wp:anchor>
        </w:drawing>
      </w:r>
    </w:p>
    <w:p>
      <w:pPr>
        <w:spacing w:after="0" w:line="6688" w:lineRule="exact"/>
        <w:rPr>
          <w:sz w:val="20"/>
          <w:szCs w:val="20"/>
          <w:color w:val="auto"/>
        </w:rPr>
      </w:pPr>
    </w:p>
    <w:p>
      <w:pPr>
        <w:sectPr>
          <w:pgSz w:w="11900" w:h="16838" w:orient="portrait"/>
          <w:cols w:equalWidth="0" w:num="2">
            <w:col w:w="5080" w:space="340"/>
            <w:col w:w="5120"/>
          </w:cols>
          <w:pgMar w:left="640" w:top="485"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58" w:lineRule="auto"/>
        <w:rPr>
          <w:sz w:val="20"/>
          <w:szCs w:val="20"/>
          <w:color w:val="auto"/>
        </w:rPr>
      </w:pPr>
      <w:r>
        <w:rPr>
          <w:rFonts w:ascii="Arial" w:cs="Arial" w:eastAsia="Arial" w:hAnsi="Arial"/>
          <w:sz w:val="23"/>
          <w:szCs w:val="23"/>
          <w:b w:val="1"/>
          <w:bCs w:val="1"/>
          <w:color w:val="auto"/>
        </w:rPr>
        <w:t>“After serving for more than a decade as a member of Kelly’s board of directors, I have never been more optimistic about the company’s future than I am today. I am grateful for the privilege to lead this board as chairman and work together with its distinguished members to carry out our responsibility to Kelly’s shareholders as the company accelerates forward into a new era of profitable growth.”</w:t>
      </w:r>
    </w:p>
    <w:p>
      <w:pPr>
        <w:spacing w:after="0" w:line="156"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Terrence Larkin</w:t>
      </w:r>
      <w:r>
        <w:rPr>
          <w:rFonts w:ascii="Arial" w:cs="Arial" w:eastAsia="Arial" w:hAnsi="Arial"/>
          <w:sz w:val="14"/>
          <w:szCs w:val="14"/>
          <w:color w:val="auto"/>
        </w:rPr>
        <w:t xml:space="preserve">, Chairman of the Board    </w:t>
      </w:r>
    </w:p>
    <w:p>
      <w:pPr>
        <w:spacing w:after="0" w:line="80"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38"/>
          <w:szCs w:val="38"/>
          <w:color w:val="auto"/>
          <w:vertAlign w:val="superscript"/>
        </w:rPr>
        <w:t>2 </w:t>
      </w:r>
      <w:r>
        <w:rPr>
          <w:sz w:val="20"/>
          <w:szCs w:val="20"/>
          <w:color w:val="auto"/>
        </w:rPr>
        <w:tab/>
      </w:r>
      <w:r>
        <w:rPr>
          <w:rFonts w:ascii="Arial" w:cs="Arial" w:eastAsia="Arial" w:hAnsi="Arial"/>
          <w:sz w:val="20"/>
          <w:szCs w:val="20"/>
          <w:color w:val="auto"/>
        </w:rPr>
        <w:t xml:space="preserve">    </w:t>
      </w:r>
      <w:r>
        <w:rPr>
          <w:sz w:val="1"/>
          <w:szCs w:val="1"/>
          <w:color w:val="auto"/>
        </w:rPr>
        <w:drawing>
          <wp:inline distT="0" distB="0" distL="0" distR="0">
            <wp:extent cx="396240" cy="1898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-214630</wp:posOffset>
            </wp:positionV>
            <wp:extent cx="8255"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540"/>
          </w:cols>
          <w:pgMar w:left="640" w:top="485" w:right="7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Notice of Annual Meeting of Shareholders</w:t>
      </w: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2024 Annual Meeting of Shareholders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080" w:type="dxa"/>
            <w:vAlign w:val="bottom"/>
            <w:shd w:val="clear" w:color="auto" w:fill="EDEDED"/>
          </w:tcPr>
          <w:p>
            <w:pPr>
              <w:spacing w:after="0"/>
              <w:rPr>
                <w:sz w:val="20"/>
                <w:szCs w:val="20"/>
                <w:color w:val="auto"/>
              </w:rPr>
            </w:pPr>
            <w:r>
              <w:rPr>
                <w:rFonts w:ascii="Arial" w:cs="Arial" w:eastAsia="Arial" w:hAnsi="Arial"/>
                <w:sz w:val="16"/>
                <w:szCs w:val="16"/>
                <w:b w:val="1"/>
                <w:bCs w:val="1"/>
                <w:color w:val="auto"/>
              </w:rPr>
              <w:t>  Date and Time:</w:t>
            </w:r>
          </w:p>
        </w:tc>
        <w:tc>
          <w:tcPr>
            <w:tcW w:w="4560" w:type="dxa"/>
            <w:vAlign w:val="bottom"/>
            <w:shd w:val="clear" w:color="auto" w:fill="EDEDED"/>
          </w:tcPr>
          <w:p>
            <w:pPr>
              <w:ind w:left="1280"/>
              <w:spacing w:after="0"/>
              <w:rPr>
                <w:sz w:val="20"/>
                <w:szCs w:val="20"/>
                <w:color w:val="auto"/>
              </w:rPr>
            </w:pPr>
            <w:r>
              <w:rPr>
                <w:rFonts w:ascii="Arial" w:cs="Arial" w:eastAsia="Arial" w:hAnsi="Arial"/>
                <w:sz w:val="16"/>
                <w:szCs w:val="16"/>
                <w:b w:val="1"/>
                <w:bCs w:val="1"/>
                <w:color w:val="auto"/>
              </w:rPr>
              <w:t>Place:</w:t>
            </w:r>
          </w:p>
        </w:tc>
        <w:tc>
          <w:tcPr>
            <w:tcW w:w="2980" w:type="dxa"/>
            <w:vAlign w:val="bottom"/>
            <w:shd w:val="clear" w:color="auto" w:fill="EDEDED"/>
          </w:tcPr>
          <w:p>
            <w:pPr>
              <w:ind w:left="100"/>
              <w:spacing w:after="0"/>
              <w:rPr>
                <w:sz w:val="20"/>
                <w:szCs w:val="20"/>
                <w:color w:val="auto"/>
              </w:rPr>
            </w:pPr>
            <w:r>
              <w:rPr>
                <w:rFonts w:ascii="Arial" w:cs="Arial" w:eastAsia="Arial" w:hAnsi="Arial"/>
                <w:sz w:val="16"/>
                <w:szCs w:val="16"/>
                <w:b w:val="1"/>
                <w:bCs w:val="1"/>
                <w:color w:val="auto"/>
              </w:rPr>
              <w:t>Record Date:</w:t>
            </w:r>
          </w:p>
        </w:tc>
      </w:tr>
      <w:tr>
        <w:trPr>
          <w:trHeight w:val="274"/>
        </w:trPr>
        <w:tc>
          <w:tcPr>
            <w:tcW w:w="3080" w:type="dxa"/>
            <w:vAlign w:val="bottom"/>
            <w:shd w:val="clear" w:color="auto" w:fill="EDEDED"/>
          </w:tcPr>
          <w:p>
            <w:pPr>
              <w:spacing w:after="0"/>
              <w:rPr>
                <w:sz w:val="20"/>
                <w:szCs w:val="20"/>
                <w:color w:val="auto"/>
              </w:rPr>
            </w:pPr>
            <w:r>
              <w:rPr>
                <w:rFonts w:ascii="Arial" w:cs="Arial" w:eastAsia="Arial" w:hAnsi="Arial"/>
                <w:sz w:val="17"/>
                <w:szCs w:val="17"/>
                <w:color w:val="auto"/>
              </w:rPr>
              <w:t>  Thursday, May 9, 2024 at</w:t>
            </w:r>
          </w:p>
        </w:tc>
        <w:tc>
          <w:tcPr>
            <w:tcW w:w="4560" w:type="dxa"/>
            <w:vAlign w:val="bottom"/>
            <w:shd w:val="clear" w:color="auto" w:fill="EDEDED"/>
          </w:tcPr>
          <w:p>
            <w:pPr>
              <w:ind w:left="1280"/>
              <w:spacing w:after="0"/>
              <w:rPr>
                <w:sz w:val="20"/>
                <w:szCs w:val="20"/>
                <w:color w:val="auto"/>
              </w:rPr>
            </w:pPr>
            <w:r>
              <w:rPr>
                <w:rFonts w:ascii="Arial" w:cs="Arial" w:eastAsia="Arial" w:hAnsi="Arial"/>
                <w:sz w:val="16"/>
                <w:szCs w:val="16"/>
                <w:color w:val="auto"/>
              </w:rPr>
              <w:t>Virtual Meeting:</w:t>
            </w:r>
          </w:p>
        </w:tc>
        <w:tc>
          <w:tcPr>
            <w:tcW w:w="2980" w:type="dxa"/>
            <w:vAlign w:val="bottom"/>
            <w:shd w:val="clear" w:color="auto" w:fill="EDEDED"/>
          </w:tcPr>
          <w:p>
            <w:pPr>
              <w:ind w:left="100"/>
              <w:spacing w:after="0"/>
              <w:rPr>
                <w:sz w:val="20"/>
                <w:szCs w:val="20"/>
                <w:color w:val="auto"/>
              </w:rPr>
            </w:pPr>
            <w:r>
              <w:rPr>
                <w:rFonts w:ascii="Arial" w:cs="Arial" w:eastAsia="Arial" w:hAnsi="Arial"/>
                <w:sz w:val="16"/>
                <w:szCs w:val="16"/>
                <w:color w:val="auto"/>
              </w:rPr>
              <w:t>Close of Business, Eastern Daylight</w:t>
            </w:r>
          </w:p>
        </w:tc>
      </w:tr>
      <w:tr>
        <w:trPr>
          <w:trHeight w:val="218"/>
        </w:trPr>
        <w:tc>
          <w:tcPr>
            <w:tcW w:w="3080" w:type="dxa"/>
            <w:vAlign w:val="bottom"/>
            <w:shd w:val="clear" w:color="auto" w:fill="EDEDED"/>
          </w:tcPr>
          <w:p>
            <w:pPr>
              <w:spacing w:after="0"/>
              <w:rPr>
                <w:sz w:val="20"/>
                <w:szCs w:val="20"/>
                <w:color w:val="auto"/>
              </w:rPr>
            </w:pPr>
            <w:r>
              <w:rPr>
                <w:rFonts w:ascii="Arial" w:cs="Arial" w:eastAsia="Arial" w:hAnsi="Arial"/>
                <w:sz w:val="16"/>
                <w:szCs w:val="16"/>
                <w:color w:val="auto"/>
              </w:rPr>
              <w:t>  12:00 p.m., Eastern Daylight Time</w:t>
            </w:r>
          </w:p>
        </w:tc>
        <w:tc>
          <w:tcPr>
            <w:tcW w:w="4560" w:type="dxa"/>
            <w:vAlign w:val="bottom"/>
            <w:shd w:val="clear" w:color="auto" w:fill="EDEDED"/>
          </w:tcPr>
          <w:p>
            <w:pPr>
              <w:ind w:left="1280"/>
              <w:spacing w:after="0"/>
              <w:rPr>
                <w:sz w:val="20"/>
                <w:szCs w:val="20"/>
                <w:color w:val="auto"/>
              </w:rPr>
            </w:pPr>
            <w:r>
              <w:rPr>
                <w:rFonts w:ascii="Arial" w:cs="Arial" w:eastAsia="Arial" w:hAnsi="Arial"/>
                <w:sz w:val="16"/>
                <w:szCs w:val="16"/>
                <w:color w:val="auto"/>
              </w:rPr>
              <w:t>kellyservices.com</w:t>
            </w:r>
          </w:p>
        </w:tc>
        <w:tc>
          <w:tcPr>
            <w:tcW w:w="2980" w:type="dxa"/>
            <w:vAlign w:val="bottom"/>
            <w:shd w:val="clear" w:color="auto" w:fill="EDEDED"/>
          </w:tcPr>
          <w:p>
            <w:pPr>
              <w:ind w:left="100"/>
              <w:spacing w:after="0"/>
              <w:rPr>
                <w:sz w:val="20"/>
                <w:szCs w:val="20"/>
                <w:color w:val="auto"/>
              </w:rPr>
            </w:pPr>
            <w:r>
              <w:rPr>
                <w:rFonts w:ascii="Arial" w:cs="Arial" w:eastAsia="Arial" w:hAnsi="Arial"/>
                <w:sz w:val="16"/>
                <w:szCs w:val="16"/>
                <w:color w:val="auto"/>
              </w:rPr>
              <w:t>Time, March 21, 2024</w:t>
            </w:r>
          </w:p>
        </w:tc>
      </w:tr>
      <w:tr>
        <w:trPr>
          <w:trHeight w:val="67"/>
        </w:trPr>
        <w:tc>
          <w:tcPr>
            <w:tcW w:w="3080" w:type="dxa"/>
            <w:vAlign w:val="bottom"/>
            <w:shd w:val="clear" w:color="auto" w:fill="EDEDED"/>
          </w:tcPr>
          <w:p>
            <w:pPr>
              <w:spacing w:after="0"/>
              <w:rPr>
                <w:sz w:val="5"/>
                <w:szCs w:val="5"/>
                <w:color w:val="auto"/>
              </w:rPr>
            </w:pPr>
          </w:p>
        </w:tc>
        <w:tc>
          <w:tcPr>
            <w:tcW w:w="4560" w:type="dxa"/>
            <w:vAlign w:val="bottom"/>
            <w:shd w:val="clear" w:color="auto" w:fill="EDEDED"/>
          </w:tcPr>
          <w:p>
            <w:pPr>
              <w:spacing w:after="0"/>
              <w:rPr>
                <w:sz w:val="5"/>
                <w:szCs w:val="5"/>
                <w:color w:val="auto"/>
              </w:rPr>
            </w:pPr>
          </w:p>
        </w:tc>
        <w:tc>
          <w:tcPr>
            <w:tcW w:w="2980" w:type="dxa"/>
            <w:vAlign w:val="bottom"/>
            <w:shd w:val="clear" w:color="auto" w:fill="EDEDED"/>
          </w:tcPr>
          <w:p>
            <w:pPr>
              <w:spacing w:after="0"/>
              <w:rPr>
                <w:sz w:val="5"/>
                <w:szCs w:val="5"/>
                <w:color w:val="auto"/>
              </w:rPr>
            </w:pPr>
          </w:p>
        </w:tc>
      </w:tr>
      <w:tr>
        <w:trPr>
          <w:trHeight w:val="500"/>
        </w:trPr>
        <w:tc>
          <w:tcPr>
            <w:tcW w:w="3080" w:type="dxa"/>
            <w:vAlign w:val="bottom"/>
          </w:tcPr>
          <w:p>
            <w:pPr>
              <w:spacing w:after="0"/>
              <w:rPr>
                <w:sz w:val="20"/>
                <w:szCs w:val="20"/>
                <w:color w:val="auto"/>
              </w:rPr>
            </w:pPr>
            <w:r>
              <w:rPr>
                <w:rFonts w:ascii="Arial" w:cs="Arial" w:eastAsia="Arial" w:hAnsi="Arial"/>
                <w:sz w:val="16"/>
                <w:szCs w:val="16"/>
                <w:b w:val="1"/>
                <w:bCs w:val="1"/>
                <w:color w:val="auto"/>
              </w:rPr>
              <w:t>Voting Matters</w:t>
            </w:r>
          </w:p>
        </w:tc>
        <w:tc>
          <w:tcPr>
            <w:tcW w:w="4560" w:type="dxa"/>
            <w:vAlign w:val="bottom"/>
          </w:tcPr>
          <w:p>
            <w:pPr>
              <w:ind w:left="1080"/>
              <w:spacing w:after="0"/>
              <w:rPr>
                <w:sz w:val="20"/>
                <w:szCs w:val="20"/>
                <w:color w:val="auto"/>
              </w:rPr>
            </w:pPr>
            <w:r>
              <w:rPr>
                <w:rFonts w:ascii="Arial" w:cs="Arial" w:eastAsia="Arial" w:hAnsi="Arial"/>
                <w:sz w:val="16"/>
                <w:szCs w:val="16"/>
                <w:b w:val="1"/>
                <w:bCs w:val="1"/>
                <w:color w:val="auto"/>
              </w:rPr>
              <w:t>How to Vote</w:t>
            </w:r>
          </w:p>
        </w:tc>
        <w:tc>
          <w:tcPr>
            <w:tcW w:w="2980" w:type="dxa"/>
            <w:vAlign w:val="bottom"/>
          </w:tcPr>
          <w:p>
            <w:pPr>
              <w:spacing w:after="0"/>
              <w:rPr>
                <w:sz w:val="24"/>
                <w:szCs w:val="24"/>
                <w:color w:val="auto"/>
              </w:rPr>
            </w:pPr>
          </w:p>
        </w:tc>
      </w:tr>
    </w:tbl>
    <w:p>
      <w:pPr>
        <w:spacing w:after="0" w:line="136" w:lineRule="exact"/>
        <w:rPr>
          <w:sz w:val="20"/>
          <w:szCs w:val="20"/>
          <w:color w:val="auto"/>
        </w:rPr>
      </w:pPr>
    </w:p>
    <w:p>
      <w:pPr>
        <w:sectPr>
          <w:pgSz w:w="11900" w:h="16838" w:orient="portrait"/>
          <w:cols w:equalWidth="0" w:num="1">
            <w:col w:w="10620"/>
          </w:cols>
          <w:pgMar w:left="640" w:top="423" w:right="639" w:bottom="1440" w:gutter="0" w:footer="0" w:header="0"/>
        </w:sectPr>
      </w:pPr>
    </w:p>
    <w:p>
      <w:pPr>
        <w:spacing w:after="0"/>
        <w:rPr>
          <w:sz w:val="20"/>
          <w:szCs w:val="20"/>
          <w:color w:val="auto"/>
        </w:rPr>
      </w:pPr>
      <w:r>
        <w:rPr>
          <w:rFonts w:ascii="Arial" w:cs="Arial" w:eastAsia="Arial" w:hAnsi="Arial"/>
          <w:sz w:val="16"/>
          <w:szCs w:val="16"/>
          <w:b w:val="1"/>
          <w:bCs w:val="1"/>
          <w:color w:val="auto"/>
        </w:rPr>
        <w:t>At the Annual Meeting, you</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be asked to consider</w:t>
      </w:r>
    </w:p>
    <w:p>
      <w:pPr>
        <w:spacing w:after="0"/>
        <w:rPr>
          <w:sz w:val="20"/>
          <w:szCs w:val="20"/>
          <w:color w:val="auto"/>
        </w:rPr>
      </w:pPr>
      <w:r>
        <w:rPr>
          <w:rFonts w:ascii="Arial" w:cs="Arial" w:eastAsia="Arial" w:hAnsi="Arial"/>
          <w:sz w:val="16"/>
          <w:szCs w:val="16"/>
          <w:b w:val="1"/>
          <w:bCs w:val="1"/>
          <w:color w:val="auto"/>
        </w:rPr>
        <w:t>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20897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8978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1.</w:t>
      </w:r>
    </w:p>
    <w:p>
      <w:pPr>
        <w:spacing w:after="0" w:line="14" w:lineRule="exact"/>
        <w:rPr>
          <w:sz w:val="20"/>
          <w:szCs w:val="20"/>
          <w:color w:val="auto"/>
        </w:rPr>
      </w:pPr>
    </w:p>
    <w:p>
      <w:pPr>
        <w:ind w:right="300"/>
        <w:spacing w:after="0" w:line="247" w:lineRule="auto"/>
        <w:rPr>
          <w:sz w:val="20"/>
          <w:szCs w:val="20"/>
          <w:color w:val="auto"/>
        </w:rPr>
      </w:pPr>
      <w:r>
        <w:rPr>
          <w:rFonts w:ascii="Arial" w:cs="Arial" w:eastAsia="Arial" w:hAnsi="Arial"/>
          <w:sz w:val="16"/>
          <w:szCs w:val="16"/>
          <w:color w:val="auto"/>
        </w:rPr>
        <w:t>Election of nine Board-recommended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20897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8978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2.</w:t>
      </w:r>
    </w:p>
    <w:p>
      <w:pPr>
        <w:spacing w:after="0" w:line="14"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Advisory approval of the Company’s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20897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8978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Online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-437515</wp:posOffset>
            </wp:positionV>
            <wp:extent cx="305435" cy="305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5435" cy="3054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www.envisionreports.com/kelyb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305435" cy="305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5435" cy="30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auto"/>
        </w:rPr>
        <w:t xml:space="preserve">Calling - </w:t>
      </w:r>
      <w:r>
        <w:rPr>
          <w:rFonts w:ascii="Arial" w:cs="Arial" w:eastAsia="Arial" w:hAnsi="Arial"/>
          <w:sz w:val="16"/>
          <w:szCs w:val="16"/>
          <w:color w:val="auto"/>
        </w:rPr>
        <w:t>1-800-652-VOTE (8683) Within the</w:t>
      </w:r>
      <w:r>
        <w:rPr>
          <w:rFonts w:ascii="Arial" w:cs="Arial" w:eastAsia="Arial" w:hAnsi="Arial"/>
          <w:sz w:val="16"/>
          <w:szCs w:val="16"/>
          <w:b w:val="1"/>
          <w:bCs w:val="1"/>
          <w:color w:val="auto"/>
        </w:rPr>
        <w:t xml:space="preserve"> </w:t>
      </w:r>
      <w:r>
        <w:rPr>
          <w:rFonts w:ascii="Arial" w:cs="Arial" w:eastAsia="Arial" w:hAnsi="Arial"/>
          <w:sz w:val="16"/>
          <w:szCs w:val="16"/>
          <w:color w:val="auto"/>
        </w:rPr>
        <w:t>U.S., U.S. territories &amp; Canada on a touch tone telephone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QR code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-454025</wp:posOffset>
            </wp:positionV>
            <wp:extent cx="338455" cy="3467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8455" cy="3467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Scan and vote with your mobile device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102870</wp:posOffset>
            </wp:positionV>
            <wp:extent cx="305435" cy="305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5435" cy="30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Mail -</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Return the signed proxy card</w:t>
      </w:r>
    </w:p>
    <w:p>
      <w:pPr>
        <w:spacing w:after="0" w:line="505" w:lineRule="exact"/>
        <w:rPr>
          <w:sz w:val="20"/>
          <w:szCs w:val="20"/>
          <w:color w:val="auto"/>
        </w:rPr>
      </w:pPr>
    </w:p>
    <w:p>
      <w:pPr>
        <w:sectPr>
          <w:pgSz w:w="11900" w:h="16838" w:orient="portrait"/>
          <w:cols w:equalWidth="0" w:num="3">
            <w:col w:w="3440" w:space="720"/>
            <w:col w:w="3080" w:space="200"/>
            <w:col w:w="3180"/>
          </w:cols>
          <w:pgMar w:left="640" w:top="423" w:right="639" w:bottom="1440" w:gutter="0" w:footer="0" w:header="0"/>
          <w:type w:val="continuous"/>
        </w:sectPr>
      </w:pPr>
    </w:p>
    <w:p>
      <w:pPr>
        <w:ind w:right="360"/>
        <w:spacing w:after="0"/>
        <w:rPr>
          <w:sz w:val="20"/>
          <w:szCs w:val="20"/>
          <w:color w:val="auto"/>
        </w:rPr>
      </w:pPr>
      <w:r>
        <w:rPr>
          <w:rFonts w:ascii="Arial" w:cs="Arial" w:eastAsia="Arial" w:hAnsi="Arial"/>
          <w:sz w:val="16"/>
          <w:szCs w:val="16"/>
          <w:color w:val="auto"/>
        </w:rPr>
        <w:t>Amendment of the Company’s Restated Certificate of Incorporation to reflect updated Delaware law provisions permitting officer exculpation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20897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8978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4.</w:t>
      </w:r>
    </w:p>
    <w:p>
      <w:pPr>
        <w:spacing w:after="0" w:line="14"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Ratification of PricewaterhouseCoopers LLP as the Company’s independent registered public accounting firm for the 2024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20897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89785"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5.</w:t>
      </w:r>
    </w:p>
    <w:p>
      <w:pPr>
        <w:spacing w:after="0" w:line="14" w:lineRule="exact"/>
        <w:rPr>
          <w:sz w:val="20"/>
          <w:szCs w:val="20"/>
          <w:color w:val="auto"/>
        </w:rPr>
      </w:pPr>
    </w:p>
    <w:p>
      <w:pPr>
        <w:ind w:right="560"/>
        <w:spacing w:after="0" w:line="247" w:lineRule="auto"/>
        <w:rPr>
          <w:sz w:val="20"/>
          <w:szCs w:val="20"/>
          <w:color w:val="auto"/>
        </w:rPr>
      </w:pPr>
      <w:r>
        <w:rPr>
          <w:rFonts w:ascii="Arial" w:cs="Arial" w:eastAsia="Arial" w:hAnsi="Arial"/>
          <w:sz w:val="16"/>
          <w:szCs w:val="16"/>
          <w:color w:val="auto"/>
        </w:rPr>
        <w:t>Transaction of any other business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20897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897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Proxies submitted online or by telephone must be received by 11:59 p.m., Central Daylight Time, on May 8, 2024. If you vote by mail, your proxy card must be received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-581025</wp:posOffset>
            </wp:positionV>
            <wp:extent cx="41719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71950" cy="8255"/>
                    </a:xfrm>
                    <a:prstGeom prst="rect">
                      <a:avLst/>
                    </a:prstGeom>
                    <a:noFill/>
                  </pic:spPr>
                </pic:pic>
              </a:graphicData>
            </a:graphic>
          </wp:anchor>
        </w:drawing>
      </w:r>
    </w:p>
    <w:p>
      <w:pPr>
        <w:spacing w:after="0" w:line="64"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b w:val="1"/>
          <w:bCs w:val="1"/>
          <w:color w:val="auto"/>
        </w:rPr>
        <w:t>Beneficial owners</w:t>
      </w:r>
      <w:r>
        <w:rPr>
          <w:rFonts w:ascii="Arial" w:cs="Arial" w:eastAsia="Arial" w:hAnsi="Arial"/>
          <w:sz w:val="16"/>
          <w:szCs w:val="16"/>
          <w:color w:val="auto"/>
        </w:rPr>
        <w:t>, who own shares through a bank, brokerage firm, or other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 can vote by returning the voting instruction form, or by following the instructions for voting via telephone or the Internet, provided by the bank, broker, or other organization. If you own shares in different accounts or in more than one name, you may receive different voting instructions for each type of ownership. Please vote all your shares.</w:t>
      </w:r>
    </w:p>
    <w:p>
      <w:pPr>
        <w:spacing w:after="0" w:line="89" w:lineRule="exact"/>
        <w:rPr>
          <w:sz w:val="20"/>
          <w:szCs w:val="20"/>
          <w:color w:val="auto"/>
        </w:rPr>
      </w:pPr>
    </w:p>
    <w:p>
      <w:pPr>
        <w:ind w:right="220"/>
        <w:spacing w:after="0" w:line="267" w:lineRule="auto"/>
        <w:rPr>
          <w:sz w:val="20"/>
          <w:szCs w:val="20"/>
          <w:color w:val="auto"/>
        </w:rPr>
      </w:pPr>
      <w:r>
        <w:rPr>
          <w:rFonts w:ascii="Arial" w:cs="Arial" w:eastAsia="Arial" w:hAnsi="Arial"/>
          <w:sz w:val="16"/>
          <w:szCs w:val="16"/>
          <w:color w:val="auto"/>
        </w:rPr>
        <w:t xml:space="preserve">If you are a </w:t>
      </w:r>
      <w:r>
        <w:rPr>
          <w:rFonts w:ascii="Arial" w:cs="Arial" w:eastAsia="Arial" w:hAnsi="Arial"/>
          <w:sz w:val="16"/>
          <w:szCs w:val="16"/>
          <w:b w:val="1"/>
          <w:bCs w:val="1"/>
          <w:color w:val="auto"/>
        </w:rPr>
        <w:t>registered shareholder</w:t>
      </w:r>
      <w:r>
        <w:rPr>
          <w:rFonts w:ascii="Arial" w:cs="Arial" w:eastAsia="Arial" w:hAnsi="Arial"/>
          <w:sz w:val="16"/>
          <w:szCs w:val="16"/>
          <w:color w:val="auto"/>
        </w:rPr>
        <w:t xml:space="preserve"> (i.e., you hold your shares through our transfer agent, Computershare), you may vote online, by telephone, or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-2643505</wp:posOffset>
            </wp:positionH>
            <wp:positionV relativeFrom="paragraph">
              <wp:posOffset>252730</wp:posOffset>
            </wp:positionV>
            <wp:extent cx="6740525" cy="1866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40525" cy="1866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720"/>
            <w:col w:w="6460"/>
          </w:cols>
          <w:pgMar w:left="640" w:top="423" w:right="639" w:bottom="1440" w:gutter="0" w:footer="0" w:header="0"/>
          <w:type w:val="continuous"/>
        </w:sectPr>
      </w:pPr>
    </w:p>
    <w:p>
      <w:pPr>
        <w:spacing w:after="0" w:line="355" w:lineRule="exact"/>
        <w:rPr>
          <w:sz w:val="20"/>
          <w:szCs w:val="20"/>
          <w:color w:val="auto"/>
        </w:rPr>
      </w:pPr>
    </w:p>
    <w:p>
      <w:pPr>
        <w:ind w:left="100" w:right="140"/>
        <w:spacing w:after="0" w:line="265" w:lineRule="auto"/>
        <w:rPr>
          <w:sz w:val="20"/>
          <w:szCs w:val="20"/>
          <w:color w:val="auto"/>
        </w:rPr>
      </w:pPr>
      <w:r>
        <w:rPr>
          <w:rFonts w:ascii="Arial" w:cs="Arial" w:eastAsia="Arial" w:hAnsi="Arial"/>
          <w:sz w:val="16"/>
          <w:szCs w:val="16"/>
          <w:color w:val="auto"/>
        </w:rPr>
        <w:t>If you were a holder of record of the Company’s Class B Common Stock at the close of business on the Record Date, March 21, 2024, you are entitled to vote at the Annual Meeting.</w:t>
      </w:r>
    </w:p>
    <w:p>
      <w:pPr>
        <w:spacing w:after="0" w:line="62" w:lineRule="exact"/>
        <w:rPr>
          <w:sz w:val="20"/>
          <w:szCs w:val="20"/>
          <w:color w:val="auto"/>
        </w:rPr>
      </w:pPr>
    </w:p>
    <w:p>
      <w:pPr>
        <w:ind w:left="100" w:right="220"/>
        <w:spacing w:after="0" w:line="265" w:lineRule="auto"/>
        <w:rPr>
          <w:sz w:val="20"/>
          <w:szCs w:val="20"/>
          <w:color w:val="auto"/>
        </w:rPr>
      </w:pPr>
      <w:r>
        <w:rPr>
          <w:rFonts w:ascii="Arial" w:cs="Arial" w:eastAsia="Arial" w:hAnsi="Arial"/>
          <w:sz w:val="16"/>
          <w:szCs w:val="16"/>
          <w:color w:val="auto"/>
        </w:rPr>
        <w:t>Please promptly submit your vote by internet, telephone, or by signing, dating, and returning the enclosed proxy card or voting instructions form in the postage-paid envelope provided so that your shares will be represented and voted at the meeting.</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Thank you for your interest in Kelly.</w:t>
      </w:r>
    </w:p>
    <w:p>
      <w:pPr>
        <w:spacing w:after="0" w:line="10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By Order of the Board of Directors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  </w:t>
      </w:r>
      <w:r>
        <w:rPr>
          <w:sz w:val="1"/>
          <w:szCs w:val="1"/>
          <w:color w:val="auto"/>
        </w:rPr>
        <w:drawing>
          <wp:inline distT="0" distB="0" distL="0" distR="0">
            <wp:extent cx="1189355" cy="19812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9355" cy="198120"/>
                    </a:xfrm>
                    <a:prstGeom prst="rect">
                      <a:avLst/>
                    </a:prstGeom>
                    <a:noFill/>
                    <a:ln>
                      <a:noFill/>
                    </a:ln>
                  </pic:spPr>
                </pic:pic>
              </a:graphicData>
            </a:graphic>
          </wp:inline>
        </w:drawing>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VANESSA P. WILLIAMS</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Corporate Secretary</w:t>
      </w:r>
    </w:p>
    <w:p>
      <w:pPr>
        <w:spacing w:after="0" w:line="308" w:lineRule="exact"/>
        <w:rPr>
          <w:sz w:val="20"/>
          <w:szCs w:val="20"/>
          <w:color w:val="auto"/>
        </w:rPr>
      </w:pPr>
    </w:p>
    <w:p>
      <w:pPr>
        <w:jc w:val="right"/>
        <w:ind w:right="80"/>
        <w:spacing w:after="0"/>
        <w:tabs>
          <w:tab w:leader="none" w:pos="360" w:val="left"/>
        </w:tabs>
        <w:rPr>
          <w:sz w:val="20"/>
          <w:szCs w:val="20"/>
          <w:color w:val="auto"/>
        </w:rPr>
      </w:pPr>
      <w:r>
        <w:rPr>
          <w:rFonts w:ascii="Arial" w:cs="Arial" w:eastAsia="Arial" w:hAnsi="Arial"/>
          <w:sz w:val="21"/>
          <w:szCs w:val="21"/>
          <w:color w:val="auto"/>
        </w:rPr>
        <w:t xml:space="preserve">   </w:t>
      </w:r>
      <w:r>
        <w:rPr>
          <w:sz w:val="1"/>
          <w:szCs w:val="1"/>
          <w:color w:val="auto"/>
        </w:rPr>
        <w:drawing>
          <wp:inline distT="0" distB="0" distL="0" distR="0">
            <wp:extent cx="396240" cy="18986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rPr>
        <w:t xml:space="preserve">  </w:t>
      </w:r>
      <w:r>
        <w:rPr>
          <w:sz w:val="20"/>
          <w:szCs w:val="20"/>
          <w:color w:val="auto"/>
        </w:rPr>
        <w:tab/>
      </w:r>
      <w:r>
        <w:rPr>
          <w:rFonts w:ascii="Arial" w:cs="Arial" w:eastAsia="Arial" w:hAnsi="Arial"/>
          <w:sz w:val="23"/>
          <w:szCs w:val="23"/>
          <w:color w:val="auto"/>
          <w:vertAlign w:val="superscript"/>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-200660</wp:posOffset>
            </wp:positionV>
            <wp:extent cx="8255"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423" w:right="6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31"/>
          <w:szCs w:val="31"/>
          <w:b w:val="1"/>
          <w:bCs w:val="1"/>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00" w:type="dxa"/>
            <w:vAlign w:val="bottom"/>
            <w:gridSpan w:val="48"/>
          </w:tcPr>
          <w:p>
            <w:pPr>
              <w:spacing w:after="0"/>
              <w:rPr>
                <w:sz w:val="20"/>
                <w:szCs w:val="20"/>
                <w:color w:val="auto"/>
              </w:rPr>
            </w:pPr>
            <w:r>
              <w:rPr>
                <w:rFonts w:ascii="Arial" w:cs="Arial" w:eastAsia="Arial" w:hAnsi="Arial"/>
                <w:sz w:val="15"/>
                <w:szCs w:val="15"/>
                <w:b w:val="1"/>
                <w:bCs w:val="1"/>
                <w:color w:val="0000EE"/>
              </w:rPr>
              <w:t>Proxy Summary</w:t>
            </w:r>
          </w:p>
        </w:tc>
        <w:tc>
          <w:tcPr>
            <w:tcW w:w="380" w:type="dxa"/>
            <w:vAlign w:val="bottom"/>
          </w:tcPr>
          <w:p>
            <w:pPr>
              <w:jc w:val="right"/>
              <w:ind w:right="6"/>
              <w:spacing w:after="0"/>
              <w:rPr>
                <w:sz w:val="20"/>
                <w:szCs w:val="20"/>
                <w:color w:val="auto"/>
              </w:rPr>
            </w:pPr>
            <w:r>
              <w:rPr>
                <w:rFonts w:ascii="Arial" w:cs="Arial" w:eastAsia="Arial" w:hAnsi="Arial"/>
                <w:sz w:val="15"/>
                <w:szCs w:val="15"/>
                <w:b w:val="1"/>
                <w:bCs w:val="1"/>
                <w:color w:val="0A9E50"/>
              </w:rPr>
              <w:t>5</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30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38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700" w:type="dxa"/>
            <w:vAlign w:val="bottom"/>
            <w:gridSpan w:val="48"/>
          </w:tcPr>
          <w:p>
            <w:pPr>
              <w:spacing w:after="0" w:line="136" w:lineRule="exact"/>
              <w:rPr>
                <w:sz w:val="20"/>
                <w:szCs w:val="20"/>
                <w:color w:val="auto"/>
              </w:rPr>
            </w:pPr>
            <w:r>
              <w:rPr>
                <w:rFonts w:ascii="Arial" w:cs="Arial" w:eastAsia="Arial" w:hAnsi="Arial"/>
                <w:sz w:val="15"/>
                <w:szCs w:val="15"/>
                <w:color w:val="0000EE"/>
              </w:rPr>
              <w:t>2024 Annual Meeting of Shareholders Details</w:t>
            </w:r>
          </w:p>
        </w:tc>
        <w:tc>
          <w:tcPr>
            <w:tcW w:w="380" w:type="dxa"/>
            <w:vAlign w:val="bottom"/>
          </w:tcPr>
          <w:p>
            <w:pPr>
              <w:jc w:val="right"/>
              <w:ind w:right="6"/>
              <w:spacing w:after="0" w:line="136"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62"/>
        </w:trPr>
        <w:tc>
          <w:tcPr>
            <w:tcW w:w="1520" w:type="dxa"/>
            <w:vAlign w:val="bottom"/>
            <w:tcBorders>
              <w:top w:val="single" w:sz="8" w:color="0000EE"/>
              <w:bottom w:val="single" w:sz="8" w:color="0000EE"/>
            </w:tcBorders>
            <w:gridSpan w:val="16"/>
          </w:tcPr>
          <w:p>
            <w:pPr>
              <w:spacing w:after="0" w:line="162" w:lineRule="exact"/>
              <w:rPr>
                <w:sz w:val="20"/>
                <w:szCs w:val="20"/>
                <w:color w:val="auto"/>
              </w:rPr>
            </w:pPr>
            <w:r>
              <w:rPr>
                <w:rFonts w:ascii="Arial" w:cs="Arial" w:eastAsia="Arial" w:hAnsi="Arial"/>
                <w:sz w:val="15"/>
                <w:szCs w:val="15"/>
                <w:color w:val="0000EE"/>
                <w:w w:val="97"/>
              </w:rPr>
              <w:t>Proxy Voting Roadmap</w:t>
            </w:r>
          </w:p>
        </w:tc>
        <w:tc>
          <w:tcPr>
            <w:tcW w:w="1440" w:type="dxa"/>
            <w:vAlign w:val="bottom"/>
            <w:tcBorders>
              <w:top w:val="single" w:sz="8" w:color="0000EE"/>
            </w:tcBorders>
            <w:gridSpan w:val="21"/>
          </w:tcPr>
          <w:p>
            <w:pPr>
              <w:spacing w:after="0"/>
              <w:rPr>
                <w:sz w:val="14"/>
                <w:szCs w:val="14"/>
                <w:color w:val="auto"/>
              </w:rPr>
            </w:pPr>
          </w:p>
        </w:tc>
        <w:tc>
          <w:tcPr>
            <w:tcW w:w="1740" w:type="dxa"/>
            <w:vAlign w:val="bottom"/>
            <w:gridSpan w:val="11"/>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Director Nominees</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200" w:type="dxa"/>
            <w:vAlign w:val="bottom"/>
            <w:tcBorders>
              <w:bottom w:val="single" w:sz="8" w:color="0000EE"/>
            </w:tcBorders>
            <w:gridSpan w:val="29"/>
          </w:tcPr>
          <w:p>
            <w:pPr>
              <w:spacing w:after="0" w:line="162" w:lineRule="exact"/>
              <w:rPr>
                <w:sz w:val="20"/>
                <w:szCs w:val="20"/>
                <w:color w:val="auto"/>
              </w:rPr>
            </w:pPr>
            <w:r>
              <w:rPr>
                <w:rFonts w:ascii="Arial" w:cs="Arial" w:eastAsia="Arial" w:hAnsi="Arial"/>
                <w:sz w:val="15"/>
                <w:szCs w:val="15"/>
                <w:color w:val="0000EE"/>
                <w:w w:val="97"/>
              </w:rPr>
              <w:t>Corporate Governance Highlights</w:t>
            </w:r>
          </w:p>
        </w:tc>
        <w:tc>
          <w:tcPr>
            <w:tcW w:w="2500" w:type="dxa"/>
            <w:vAlign w:val="bottom"/>
            <w:gridSpan w:val="19"/>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Meet Today’s Kelly</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62"/>
        </w:trPr>
        <w:tc>
          <w:tcPr>
            <w:tcW w:w="1120" w:type="dxa"/>
            <w:vAlign w:val="bottom"/>
            <w:tcBorders>
              <w:top w:val="single" w:sz="8" w:color="0000EE"/>
              <w:bottom w:val="single" w:sz="8" w:color="0000EE"/>
            </w:tcBorders>
            <w:gridSpan w:val="8"/>
          </w:tcPr>
          <w:p>
            <w:pPr>
              <w:spacing w:after="0" w:line="162" w:lineRule="exact"/>
              <w:rPr>
                <w:sz w:val="20"/>
                <w:szCs w:val="20"/>
                <w:color w:val="auto"/>
              </w:rPr>
            </w:pPr>
            <w:r>
              <w:rPr>
                <w:rFonts w:ascii="Arial" w:cs="Arial" w:eastAsia="Arial" w:hAnsi="Arial"/>
                <w:sz w:val="15"/>
                <w:szCs w:val="15"/>
                <w:color w:val="0000EE"/>
                <w:w w:val="95"/>
              </w:rPr>
              <w:t>A Year in Review</w:t>
            </w:r>
          </w:p>
        </w:tc>
        <w:tc>
          <w:tcPr>
            <w:tcW w:w="100" w:type="dxa"/>
            <w:vAlign w:val="bottom"/>
            <w:tcBorders>
              <w:top w:val="single" w:sz="8" w:color="0000EE"/>
            </w:tcBorders>
            <w:gridSpan w:val="2"/>
          </w:tcPr>
          <w:p>
            <w:pPr>
              <w:spacing w:after="0"/>
              <w:rPr>
                <w:sz w:val="14"/>
                <w:szCs w:val="14"/>
                <w:color w:val="auto"/>
              </w:rPr>
            </w:pPr>
          </w:p>
        </w:tc>
        <w:tc>
          <w:tcPr>
            <w:tcW w:w="3480" w:type="dxa"/>
            <w:vAlign w:val="bottom"/>
            <w:gridSpan w:val="38"/>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62"/>
        </w:trPr>
        <w:tc>
          <w:tcPr>
            <w:tcW w:w="1660" w:type="dxa"/>
            <w:vAlign w:val="bottom"/>
            <w:tcBorders>
              <w:bottom w:val="single" w:sz="8" w:color="0000EE"/>
            </w:tcBorders>
            <w:gridSpan w:val="20"/>
          </w:tcPr>
          <w:p>
            <w:pPr>
              <w:spacing w:after="0" w:line="162" w:lineRule="exact"/>
              <w:rPr>
                <w:sz w:val="20"/>
                <w:szCs w:val="20"/>
                <w:color w:val="auto"/>
              </w:rPr>
            </w:pPr>
            <w:r>
              <w:rPr>
                <w:rFonts w:ascii="Arial" w:cs="Arial" w:eastAsia="Arial" w:hAnsi="Arial"/>
                <w:sz w:val="15"/>
                <w:szCs w:val="15"/>
                <w:color w:val="0000EE"/>
                <w:w w:val="97"/>
              </w:rPr>
              <w:t>2023 Financial Highlights</w:t>
            </w:r>
          </w:p>
        </w:tc>
        <w:tc>
          <w:tcPr>
            <w:tcW w:w="3040" w:type="dxa"/>
            <w:vAlign w:val="bottom"/>
            <w:gridSpan w:val="28"/>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62"/>
        </w:trPr>
        <w:tc>
          <w:tcPr>
            <w:tcW w:w="1980" w:type="dxa"/>
            <w:vAlign w:val="bottom"/>
            <w:tcBorders>
              <w:bottom w:val="single" w:sz="8" w:color="0000EE"/>
            </w:tcBorders>
            <w:gridSpan w:val="23"/>
          </w:tcPr>
          <w:p>
            <w:pPr>
              <w:spacing w:after="0" w:line="162" w:lineRule="exact"/>
              <w:rPr>
                <w:sz w:val="20"/>
                <w:szCs w:val="20"/>
                <w:color w:val="auto"/>
              </w:rPr>
            </w:pPr>
            <w:r>
              <w:rPr>
                <w:rFonts w:ascii="Arial" w:cs="Arial" w:eastAsia="Arial" w:hAnsi="Arial"/>
                <w:sz w:val="15"/>
                <w:szCs w:val="15"/>
                <w:color w:val="0000EE"/>
                <w:w w:val="97"/>
              </w:rPr>
              <w:t>Select Awards &amp; Recognitions</w:t>
            </w:r>
          </w:p>
        </w:tc>
        <w:tc>
          <w:tcPr>
            <w:tcW w:w="2720" w:type="dxa"/>
            <w:vAlign w:val="bottom"/>
            <w:gridSpan w:val="25"/>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62"/>
        </w:trPr>
        <w:tc>
          <w:tcPr>
            <w:tcW w:w="2320" w:type="dxa"/>
            <w:vAlign w:val="bottom"/>
            <w:tcBorders>
              <w:bottom w:val="single" w:sz="8" w:color="0000EE"/>
            </w:tcBorders>
            <w:gridSpan w:val="32"/>
          </w:tcPr>
          <w:p>
            <w:pPr>
              <w:spacing w:after="0" w:line="162" w:lineRule="exact"/>
              <w:rPr>
                <w:sz w:val="20"/>
                <w:szCs w:val="20"/>
                <w:color w:val="auto"/>
              </w:rPr>
            </w:pPr>
            <w:r>
              <w:rPr>
                <w:rFonts w:ascii="Arial" w:cs="Arial" w:eastAsia="Arial" w:hAnsi="Arial"/>
                <w:sz w:val="15"/>
                <w:szCs w:val="15"/>
                <w:color w:val="0000EE"/>
                <w:w w:val="97"/>
              </w:rPr>
              <w:t>Executive Compensation Highlights</w:t>
            </w:r>
          </w:p>
        </w:tc>
        <w:tc>
          <w:tcPr>
            <w:tcW w:w="2380" w:type="dxa"/>
            <w:vAlign w:val="bottom"/>
            <w:gridSpan w:val="16"/>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8"/>
        </w:trPr>
        <w:tc>
          <w:tcPr>
            <w:tcW w:w="4700" w:type="dxa"/>
            <w:vAlign w:val="bottom"/>
            <w:gridSpan w:val="48"/>
          </w:tcPr>
          <w:p>
            <w:pPr>
              <w:spacing w:after="0"/>
              <w:rPr>
                <w:sz w:val="20"/>
                <w:szCs w:val="20"/>
                <w:color w:val="auto"/>
              </w:rPr>
            </w:pPr>
            <w:r>
              <w:rPr>
                <w:rFonts w:ascii="Arial" w:cs="Arial" w:eastAsia="Arial" w:hAnsi="Arial"/>
                <w:sz w:val="15"/>
                <w:szCs w:val="15"/>
                <w:b w:val="1"/>
                <w:bCs w:val="1"/>
                <w:color w:val="0000EE"/>
              </w:rPr>
              <w:t>Proposal 1: Election of Directors</w:t>
            </w:r>
          </w:p>
        </w:tc>
        <w:tc>
          <w:tcPr>
            <w:tcW w:w="380" w:type="dxa"/>
            <w:vAlign w:val="bottom"/>
          </w:tcPr>
          <w:p>
            <w:pPr>
              <w:jc w:val="right"/>
              <w:ind w:right="6"/>
              <w:spacing w:after="0"/>
              <w:rPr>
                <w:sz w:val="20"/>
                <w:szCs w:val="20"/>
                <w:color w:val="auto"/>
              </w:rPr>
            </w:pPr>
            <w:r>
              <w:rPr>
                <w:rFonts w:ascii="Arial" w:cs="Arial" w:eastAsia="Arial" w:hAnsi="Arial"/>
                <w:sz w:val="15"/>
                <w:szCs w:val="15"/>
                <w:b w:val="1"/>
                <w:bCs w:val="1"/>
                <w:color w:val="0A9E50"/>
              </w:rPr>
              <w:t>14</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14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30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38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500" w:type="dxa"/>
            <w:vAlign w:val="bottom"/>
            <w:tcBorders>
              <w:bottom w:val="single" w:sz="8" w:color="0000EE"/>
            </w:tcBorders>
            <w:gridSpan w:val="15"/>
          </w:tcPr>
          <w:p>
            <w:pPr>
              <w:spacing w:after="0" w:line="136" w:lineRule="exact"/>
              <w:rPr>
                <w:sz w:val="20"/>
                <w:szCs w:val="20"/>
                <w:color w:val="auto"/>
              </w:rPr>
            </w:pPr>
            <w:r>
              <w:rPr>
                <w:rFonts w:ascii="Arial" w:cs="Arial" w:eastAsia="Arial" w:hAnsi="Arial"/>
                <w:sz w:val="15"/>
                <w:szCs w:val="15"/>
                <w:color w:val="0000EE"/>
                <w:w w:val="97"/>
              </w:rPr>
              <w:t>Director Independence</w:t>
            </w:r>
          </w:p>
        </w:tc>
        <w:tc>
          <w:tcPr>
            <w:tcW w:w="3200" w:type="dxa"/>
            <w:vAlign w:val="bottom"/>
            <w:gridSpan w:val="33"/>
          </w:tcPr>
          <w:p>
            <w:pPr>
              <w:spacing w:after="0"/>
              <w:rPr>
                <w:sz w:val="11"/>
                <w:szCs w:val="11"/>
                <w:color w:val="auto"/>
              </w:rPr>
            </w:pPr>
          </w:p>
        </w:tc>
        <w:tc>
          <w:tcPr>
            <w:tcW w:w="380" w:type="dxa"/>
            <w:vAlign w:val="bottom"/>
          </w:tcPr>
          <w:p>
            <w:pPr>
              <w:jc w:val="right"/>
              <w:ind w:right="6"/>
              <w:spacing w:after="0" w:line="136"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2"/>
        </w:trPr>
        <w:tc>
          <w:tcPr>
            <w:tcW w:w="1100" w:type="dxa"/>
            <w:vAlign w:val="bottom"/>
            <w:tcBorders>
              <w:bottom w:val="single" w:sz="8" w:color="0000EE"/>
            </w:tcBorders>
            <w:gridSpan w:val="7"/>
          </w:tcPr>
          <w:p>
            <w:pPr>
              <w:spacing w:after="0" w:line="162" w:lineRule="exact"/>
              <w:rPr>
                <w:sz w:val="20"/>
                <w:szCs w:val="20"/>
                <w:color w:val="auto"/>
              </w:rPr>
            </w:pPr>
            <w:r>
              <w:rPr>
                <w:rFonts w:ascii="Arial" w:cs="Arial" w:eastAsia="Arial" w:hAnsi="Arial"/>
                <w:sz w:val="15"/>
                <w:szCs w:val="15"/>
                <w:color w:val="0000EE"/>
                <w:w w:val="96"/>
              </w:rPr>
              <w:t>Board Nominees</w:t>
            </w:r>
          </w:p>
        </w:tc>
        <w:tc>
          <w:tcPr>
            <w:tcW w:w="3600" w:type="dxa"/>
            <w:vAlign w:val="bottom"/>
            <w:gridSpan w:val="41"/>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2"/>
        </w:trPr>
        <w:tc>
          <w:tcPr>
            <w:tcW w:w="1260" w:type="dxa"/>
            <w:vAlign w:val="bottom"/>
            <w:tcBorders>
              <w:bottom w:val="single" w:sz="8" w:color="0000EE"/>
            </w:tcBorders>
            <w:gridSpan w:val="11"/>
          </w:tcPr>
          <w:p>
            <w:pPr>
              <w:spacing w:after="0" w:line="162" w:lineRule="exact"/>
              <w:rPr>
                <w:sz w:val="20"/>
                <w:szCs w:val="20"/>
                <w:color w:val="auto"/>
              </w:rPr>
            </w:pPr>
            <w:r>
              <w:rPr>
                <w:rFonts w:ascii="Arial" w:cs="Arial" w:eastAsia="Arial" w:hAnsi="Arial"/>
                <w:sz w:val="15"/>
                <w:szCs w:val="15"/>
                <w:color w:val="0000EE"/>
                <w:w w:val="97"/>
              </w:rPr>
              <w:t>Board Composition</w:t>
            </w:r>
          </w:p>
        </w:tc>
        <w:tc>
          <w:tcPr>
            <w:tcW w:w="3440" w:type="dxa"/>
            <w:vAlign w:val="bottom"/>
            <w:gridSpan w:val="37"/>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0000EE"/>
            </w:tcBorders>
            <w:gridSpan w:val="5"/>
          </w:tcPr>
          <w:p>
            <w:pPr>
              <w:spacing w:after="0" w:line="162" w:lineRule="exact"/>
              <w:rPr>
                <w:sz w:val="20"/>
                <w:szCs w:val="20"/>
                <w:color w:val="auto"/>
              </w:rPr>
            </w:pPr>
            <w:r>
              <w:rPr>
                <w:rFonts w:ascii="Arial" w:cs="Arial" w:eastAsia="Arial" w:hAnsi="Arial"/>
                <w:sz w:val="15"/>
                <w:szCs w:val="15"/>
                <w:color w:val="0000EE"/>
                <w:w w:val="96"/>
              </w:rPr>
              <w:t>Board Diversity</w:t>
            </w:r>
          </w:p>
        </w:tc>
        <w:tc>
          <w:tcPr>
            <w:tcW w:w="3700" w:type="dxa"/>
            <w:vAlign w:val="bottom"/>
            <w:gridSpan w:val="43"/>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62"/>
        </w:trPr>
        <w:tc>
          <w:tcPr>
            <w:tcW w:w="3280" w:type="dxa"/>
            <w:vAlign w:val="bottom"/>
            <w:tcBorders>
              <w:bottom w:val="single" w:sz="8" w:color="0000EE"/>
            </w:tcBorders>
            <w:gridSpan w:val="39"/>
          </w:tcPr>
          <w:p>
            <w:pPr>
              <w:spacing w:after="0" w:line="162" w:lineRule="exact"/>
              <w:rPr>
                <w:sz w:val="20"/>
                <w:szCs w:val="20"/>
                <w:color w:val="auto"/>
              </w:rPr>
            </w:pPr>
            <w:r>
              <w:rPr>
                <w:rFonts w:ascii="Arial" w:cs="Arial" w:eastAsia="Arial" w:hAnsi="Arial"/>
                <w:sz w:val="15"/>
                <w:szCs w:val="15"/>
                <w:color w:val="0000EE"/>
                <w:w w:val="97"/>
              </w:rPr>
              <w:t>Biographical Information About Director Nominees</w:t>
            </w:r>
          </w:p>
        </w:tc>
        <w:tc>
          <w:tcPr>
            <w:tcW w:w="1420" w:type="dxa"/>
            <w:vAlign w:val="bottom"/>
            <w:gridSpan w:val="9"/>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88"/>
        </w:trPr>
        <w:tc>
          <w:tcPr>
            <w:tcW w:w="4700" w:type="dxa"/>
            <w:vAlign w:val="bottom"/>
            <w:gridSpan w:val="48"/>
          </w:tcPr>
          <w:p>
            <w:pPr>
              <w:spacing w:after="0"/>
              <w:rPr>
                <w:sz w:val="20"/>
                <w:szCs w:val="20"/>
                <w:color w:val="auto"/>
              </w:rPr>
            </w:pPr>
            <w:r>
              <w:rPr>
                <w:rFonts w:ascii="Arial" w:cs="Arial" w:eastAsia="Arial" w:hAnsi="Arial"/>
                <w:sz w:val="15"/>
                <w:szCs w:val="15"/>
                <w:b w:val="1"/>
                <w:bCs w:val="1"/>
                <w:color w:val="0000EE"/>
              </w:rPr>
              <w:t>Corporate Governance</w:t>
            </w:r>
          </w:p>
        </w:tc>
        <w:tc>
          <w:tcPr>
            <w:tcW w:w="380" w:type="dxa"/>
            <w:vAlign w:val="bottom"/>
          </w:tcPr>
          <w:p>
            <w:pPr>
              <w:jc w:val="right"/>
              <w:ind w:right="6"/>
              <w:spacing w:after="0"/>
              <w:rPr>
                <w:sz w:val="20"/>
                <w:szCs w:val="20"/>
                <w:color w:val="auto"/>
              </w:rPr>
            </w:pPr>
            <w:r>
              <w:rPr>
                <w:rFonts w:ascii="Arial" w:cs="Arial" w:eastAsia="Arial" w:hAnsi="Arial"/>
                <w:sz w:val="15"/>
                <w:szCs w:val="15"/>
                <w:b w:val="1"/>
                <w:bCs w:val="1"/>
                <w:color w:val="0A9E50"/>
              </w:rPr>
              <w:t>23</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30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38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700" w:type="dxa"/>
            <w:vAlign w:val="bottom"/>
            <w:gridSpan w:val="48"/>
          </w:tcPr>
          <w:p>
            <w:pPr>
              <w:spacing w:after="0" w:line="136" w:lineRule="exact"/>
              <w:rPr>
                <w:sz w:val="20"/>
                <w:szCs w:val="20"/>
                <w:color w:val="auto"/>
              </w:rPr>
            </w:pPr>
            <w:r>
              <w:rPr>
                <w:rFonts w:ascii="Arial" w:cs="Arial" w:eastAsia="Arial" w:hAnsi="Arial"/>
                <w:sz w:val="15"/>
                <w:szCs w:val="15"/>
                <w:color w:val="0000EE"/>
              </w:rPr>
              <w:t>Compliance with Nasdaq Independence Standards for Non-Controlled</w:t>
            </w:r>
          </w:p>
        </w:tc>
        <w:tc>
          <w:tcPr>
            <w:tcW w:w="380" w:type="dxa"/>
            <w:vAlign w:val="bottom"/>
            <w:vMerge w:val="restart"/>
          </w:tcPr>
          <w:p>
            <w:pPr>
              <w:jc w:val="right"/>
              <w:ind w:right="6"/>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36"/>
        </w:trPr>
        <w:tc>
          <w:tcPr>
            <w:tcW w:w="4560" w:type="dxa"/>
            <w:vAlign w:val="bottom"/>
            <w:tcBorders>
              <w:top w:val="single" w:sz="8" w:color="0000EE"/>
            </w:tcBorders>
            <w:gridSpan w:val="47"/>
          </w:tcPr>
          <w:p>
            <w:pPr>
              <w:spacing w:after="0" w:line="136" w:lineRule="exact"/>
              <w:rPr>
                <w:sz w:val="20"/>
                <w:szCs w:val="20"/>
                <w:color w:val="auto"/>
              </w:rPr>
            </w:pPr>
            <w:r>
              <w:rPr>
                <w:rFonts w:ascii="Arial" w:cs="Arial" w:eastAsia="Arial" w:hAnsi="Arial"/>
                <w:sz w:val="15"/>
                <w:szCs w:val="15"/>
                <w:color w:val="0000EE"/>
              </w:rPr>
              <w:t>Companies</w:t>
            </w:r>
          </w:p>
        </w:tc>
        <w:tc>
          <w:tcPr>
            <w:tcW w:w="1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Role of the Board of Directors</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40" w:type="dxa"/>
            <w:vAlign w:val="bottom"/>
            <w:tcBorders>
              <w:bottom w:val="single" w:sz="8" w:color="0000EE"/>
            </w:tcBorders>
            <w:gridSpan w:val="36"/>
          </w:tcPr>
          <w:p>
            <w:pPr>
              <w:spacing w:after="0" w:line="162" w:lineRule="exact"/>
              <w:rPr>
                <w:sz w:val="20"/>
                <w:szCs w:val="20"/>
                <w:color w:val="auto"/>
              </w:rPr>
            </w:pPr>
            <w:r>
              <w:rPr>
                <w:rFonts w:ascii="Arial" w:cs="Arial" w:eastAsia="Arial" w:hAnsi="Arial"/>
                <w:sz w:val="15"/>
                <w:szCs w:val="15"/>
                <w:color w:val="0000EE"/>
                <w:w w:val="97"/>
              </w:rPr>
              <w:t>Board Leadership and Governance Structure</w:t>
            </w:r>
          </w:p>
        </w:tc>
        <w:tc>
          <w:tcPr>
            <w:tcW w:w="1760" w:type="dxa"/>
            <w:vAlign w:val="bottom"/>
            <w:gridSpan w:val="12"/>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62"/>
        </w:trPr>
        <w:tc>
          <w:tcPr>
            <w:tcW w:w="1640" w:type="dxa"/>
            <w:vAlign w:val="bottom"/>
            <w:tcBorders>
              <w:bottom w:val="single" w:sz="8" w:color="0000EE"/>
            </w:tcBorders>
            <w:gridSpan w:val="19"/>
          </w:tcPr>
          <w:p>
            <w:pPr>
              <w:spacing w:after="0" w:line="162" w:lineRule="exact"/>
              <w:rPr>
                <w:sz w:val="20"/>
                <w:szCs w:val="20"/>
                <w:color w:val="auto"/>
              </w:rPr>
            </w:pPr>
            <w:r>
              <w:rPr>
                <w:rFonts w:ascii="Arial" w:cs="Arial" w:eastAsia="Arial" w:hAnsi="Arial"/>
                <w:sz w:val="15"/>
                <w:szCs w:val="15"/>
                <w:color w:val="0000EE"/>
                <w:w w:val="97"/>
              </w:rPr>
              <w:t>Committees of the Board</w:t>
            </w:r>
          </w:p>
        </w:tc>
        <w:tc>
          <w:tcPr>
            <w:tcW w:w="3060" w:type="dxa"/>
            <w:vAlign w:val="bottom"/>
            <w:gridSpan w:val="29"/>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Executive Leadership</w:t>
            </w:r>
          </w:p>
        </w:tc>
        <w:tc>
          <w:tcPr>
            <w:tcW w:w="380" w:type="dxa"/>
            <w:vAlign w:val="bottom"/>
          </w:tcPr>
          <w:p>
            <w:pPr>
              <w:jc w:val="right"/>
              <w:ind w:right="126"/>
              <w:spacing w:after="0" w:line="162" w:lineRule="exact"/>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20" w:type="dxa"/>
            <w:vAlign w:val="bottom"/>
            <w:tcBorders>
              <w:bottom w:val="single" w:sz="8" w:color="0000EE"/>
            </w:tcBorders>
            <w:gridSpan w:val="27"/>
          </w:tcPr>
          <w:p>
            <w:pPr>
              <w:spacing w:after="0" w:line="162" w:lineRule="exact"/>
              <w:rPr>
                <w:sz w:val="20"/>
                <w:szCs w:val="20"/>
                <w:color w:val="auto"/>
              </w:rPr>
            </w:pPr>
            <w:r>
              <w:rPr>
                <w:rFonts w:ascii="Arial" w:cs="Arial" w:eastAsia="Arial" w:hAnsi="Arial"/>
                <w:sz w:val="15"/>
                <w:szCs w:val="15"/>
                <w:color w:val="0000EE"/>
                <w:w w:val="98"/>
              </w:rPr>
              <w:t>Risk Governance and Oversight</w:t>
            </w:r>
          </w:p>
        </w:tc>
        <w:tc>
          <w:tcPr>
            <w:tcW w:w="2580" w:type="dxa"/>
            <w:vAlign w:val="bottom"/>
            <w:gridSpan w:val="21"/>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Kelly’s Corporate Sustainability and ESG Strategy – Growing with</w:t>
            </w:r>
          </w:p>
        </w:tc>
        <w:tc>
          <w:tcPr>
            <w:tcW w:w="380" w:type="dxa"/>
            <w:vAlign w:val="bottom"/>
            <w:vMerge w:val="restart"/>
          </w:tcPr>
          <w:p>
            <w:pPr>
              <w:jc w:val="right"/>
              <w:ind w:right="6"/>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36"/>
        </w:trPr>
        <w:tc>
          <w:tcPr>
            <w:tcW w:w="4280" w:type="dxa"/>
            <w:vAlign w:val="bottom"/>
            <w:tcBorders>
              <w:top w:val="single" w:sz="8" w:color="0000EE"/>
            </w:tcBorders>
            <w:gridSpan w:val="44"/>
          </w:tcPr>
          <w:p>
            <w:pPr>
              <w:spacing w:after="0" w:line="136" w:lineRule="exact"/>
              <w:rPr>
                <w:sz w:val="20"/>
                <w:szCs w:val="20"/>
                <w:color w:val="auto"/>
              </w:rPr>
            </w:pPr>
            <w:r>
              <w:rPr>
                <w:rFonts w:ascii="Arial" w:cs="Arial" w:eastAsia="Arial" w:hAnsi="Arial"/>
                <w:sz w:val="15"/>
                <w:szCs w:val="15"/>
                <w:color w:val="0000EE"/>
              </w:rPr>
              <w:t>Purpose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980" w:type="dxa"/>
            <w:vAlign w:val="bottom"/>
            <w:tcBorders>
              <w:bottom w:val="single" w:sz="8" w:color="0000EE"/>
            </w:tcBorders>
            <w:gridSpan w:val="4"/>
          </w:tcPr>
          <w:p>
            <w:pPr>
              <w:spacing w:after="0" w:line="162" w:lineRule="exact"/>
              <w:rPr>
                <w:sz w:val="20"/>
                <w:szCs w:val="20"/>
                <w:color w:val="auto"/>
              </w:rPr>
            </w:pPr>
            <w:r>
              <w:rPr>
                <w:rFonts w:ascii="Arial" w:cs="Arial" w:eastAsia="Arial" w:hAnsi="Arial"/>
                <w:sz w:val="15"/>
                <w:szCs w:val="15"/>
                <w:color w:val="0000EE"/>
                <w:w w:val="96"/>
              </w:rPr>
              <w:t>Human Capital</w:t>
            </w:r>
          </w:p>
        </w:tc>
        <w:tc>
          <w:tcPr>
            <w:tcW w:w="3720" w:type="dxa"/>
            <w:vAlign w:val="bottom"/>
            <w:gridSpan w:val="44"/>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62"/>
        </w:trPr>
        <w:tc>
          <w:tcPr>
            <w:tcW w:w="1740" w:type="dxa"/>
            <w:vAlign w:val="bottom"/>
            <w:tcBorders>
              <w:bottom w:val="single" w:sz="8" w:color="0000EE"/>
            </w:tcBorders>
            <w:gridSpan w:val="21"/>
          </w:tcPr>
          <w:p>
            <w:pPr>
              <w:spacing w:after="0" w:line="162" w:lineRule="exact"/>
              <w:rPr>
                <w:sz w:val="20"/>
                <w:szCs w:val="20"/>
                <w:color w:val="auto"/>
              </w:rPr>
            </w:pPr>
            <w:r>
              <w:rPr>
                <w:rFonts w:ascii="Arial" w:cs="Arial" w:eastAsia="Arial" w:hAnsi="Arial"/>
                <w:sz w:val="15"/>
                <w:szCs w:val="15"/>
                <w:color w:val="0000EE"/>
                <w:w w:val="97"/>
              </w:rPr>
              <w:t>Director Selection Process</w:t>
            </w:r>
          </w:p>
        </w:tc>
        <w:tc>
          <w:tcPr>
            <w:tcW w:w="2960" w:type="dxa"/>
            <w:vAlign w:val="bottom"/>
            <w:gridSpan w:val="27"/>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Director Attendance</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62"/>
        </w:trPr>
        <w:tc>
          <w:tcPr>
            <w:tcW w:w="1140" w:type="dxa"/>
            <w:vAlign w:val="bottom"/>
            <w:tcBorders>
              <w:top w:val="single" w:sz="8" w:color="0000EE"/>
              <w:bottom w:val="single" w:sz="8" w:color="0000EE"/>
            </w:tcBorders>
            <w:gridSpan w:val="9"/>
          </w:tcPr>
          <w:p>
            <w:pPr>
              <w:spacing w:after="0" w:line="162" w:lineRule="exact"/>
              <w:rPr>
                <w:sz w:val="20"/>
                <w:szCs w:val="20"/>
                <w:color w:val="auto"/>
              </w:rPr>
            </w:pPr>
            <w:r>
              <w:rPr>
                <w:rFonts w:ascii="Arial" w:cs="Arial" w:eastAsia="Arial" w:hAnsi="Arial"/>
                <w:sz w:val="15"/>
                <w:szCs w:val="15"/>
                <w:color w:val="0000EE"/>
                <w:w w:val="97"/>
              </w:rPr>
              <w:t>Size of the Board</w:t>
            </w:r>
          </w:p>
        </w:tc>
        <w:tc>
          <w:tcPr>
            <w:tcW w:w="160" w:type="dxa"/>
            <w:vAlign w:val="bottom"/>
            <w:tcBorders>
              <w:top w:val="single" w:sz="8" w:color="0000EE"/>
            </w:tcBorders>
            <w:gridSpan w:val="3"/>
          </w:tcPr>
          <w:p>
            <w:pPr>
              <w:spacing w:after="0"/>
              <w:rPr>
                <w:sz w:val="14"/>
                <w:szCs w:val="14"/>
                <w:color w:val="auto"/>
              </w:rPr>
            </w:pPr>
          </w:p>
        </w:tc>
        <w:tc>
          <w:tcPr>
            <w:tcW w:w="3400" w:type="dxa"/>
            <w:vAlign w:val="bottom"/>
            <w:gridSpan w:val="36"/>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Director Tenure</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Director Service on Outside Public Company Boards</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62"/>
        </w:trPr>
        <w:tc>
          <w:tcPr>
            <w:tcW w:w="3420" w:type="dxa"/>
            <w:vAlign w:val="bottom"/>
            <w:tcBorders>
              <w:top w:val="single" w:sz="8" w:color="0000EE"/>
            </w:tcBorders>
            <w:gridSpan w:val="40"/>
          </w:tcPr>
          <w:p>
            <w:pPr>
              <w:spacing w:after="0" w:line="162" w:lineRule="exact"/>
              <w:rPr>
                <w:sz w:val="20"/>
                <w:szCs w:val="20"/>
                <w:color w:val="auto"/>
              </w:rPr>
            </w:pPr>
            <w:r>
              <w:rPr>
                <w:rFonts w:ascii="Arial" w:cs="Arial" w:eastAsia="Arial" w:hAnsi="Arial"/>
                <w:sz w:val="15"/>
                <w:szCs w:val="15"/>
                <w:color w:val="0000EE"/>
              </w:rPr>
              <w:t>Director Orientation and Continuing Education</w:t>
            </w:r>
          </w:p>
        </w:tc>
        <w:tc>
          <w:tcPr>
            <w:tcW w:w="1280" w:type="dxa"/>
            <w:vAlign w:val="bottom"/>
            <w:gridSpan w:val="8"/>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62"/>
        </w:trPr>
        <w:tc>
          <w:tcPr>
            <w:tcW w:w="2600" w:type="dxa"/>
            <w:vAlign w:val="bottom"/>
            <w:tcBorders>
              <w:top w:val="single" w:sz="8" w:color="0000EE"/>
              <w:bottom w:val="single" w:sz="8" w:color="0000EE"/>
            </w:tcBorders>
            <w:gridSpan w:val="34"/>
          </w:tcPr>
          <w:p>
            <w:pPr>
              <w:spacing w:after="0" w:line="162" w:lineRule="exact"/>
              <w:rPr>
                <w:sz w:val="20"/>
                <w:szCs w:val="20"/>
                <w:color w:val="auto"/>
              </w:rPr>
            </w:pPr>
            <w:r>
              <w:rPr>
                <w:rFonts w:ascii="Arial" w:cs="Arial" w:eastAsia="Arial" w:hAnsi="Arial"/>
                <w:sz w:val="15"/>
                <w:szCs w:val="15"/>
                <w:color w:val="0000EE"/>
                <w:w w:val="97"/>
              </w:rPr>
              <w:t>Board, Committee, and Peer Evaluation</w:t>
            </w:r>
          </w:p>
        </w:tc>
        <w:tc>
          <w:tcPr>
            <w:tcW w:w="400" w:type="dxa"/>
            <w:vAlign w:val="bottom"/>
            <w:tcBorders>
              <w:top w:val="single" w:sz="8" w:color="0000EE"/>
            </w:tcBorders>
            <w:gridSpan w:val="4"/>
          </w:tcPr>
          <w:p>
            <w:pPr>
              <w:spacing w:after="0"/>
              <w:rPr>
                <w:sz w:val="14"/>
                <w:szCs w:val="14"/>
                <w:color w:val="auto"/>
              </w:rPr>
            </w:pPr>
          </w:p>
        </w:tc>
        <w:tc>
          <w:tcPr>
            <w:tcW w:w="1700" w:type="dxa"/>
            <w:vAlign w:val="bottom"/>
            <w:gridSpan w:val="10"/>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62"/>
        </w:trPr>
        <w:tc>
          <w:tcPr>
            <w:tcW w:w="2480" w:type="dxa"/>
            <w:vAlign w:val="bottom"/>
            <w:tcBorders>
              <w:bottom w:val="single" w:sz="8" w:color="0000EE"/>
            </w:tcBorders>
            <w:gridSpan w:val="33"/>
          </w:tcPr>
          <w:p>
            <w:pPr>
              <w:spacing w:after="0" w:line="162" w:lineRule="exact"/>
              <w:rPr>
                <w:sz w:val="20"/>
                <w:szCs w:val="20"/>
                <w:color w:val="auto"/>
              </w:rPr>
            </w:pPr>
            <w:r>
              <w:rPr>
                <w:rFonts w:ascii="Arial" w:cs="Arial" w:eastAsia="Arial" w:hAnsi="Arial"/>
                <w:sz w:val="15"/>
                <w:szCs w:val="15"/>
                <w:color w:val="0000EE"/>
                <w:w w:val="97"/>
              </w:rPr>
              <w:t>Code of Business Conduct and Ethics</w:t>
            </w:r>
          </w:p>
        </w:tc>
        <w:tc>
          <w:tcPr>
            <w:tcW w:w="2220" w:type="dxa"/>
            <w:vAlign w:val="bottom"/>
            <w:gridSpan w:val="15"/>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Related Person Transactions and Certain Relationships</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88"/>
        </w:trPr>
        <w:tc>
          <w:tcPr>
            <w:tcW w:w="3620" w:type="dxa"/>
            <w:vAlign w:val="bottom"/>
            <w:tcBorders>
              <w:top w:val="single" w:sz="8" w:color="0000EE"/>
            </w:tcBorders>
            <w:gridSpan w:val="42"/>
          </w:tcPr>
          <w:p>
            <w:pPr>
              <w:spacing w:after="0"/>
              <w:rPr>
                <w:sz w:val="20"/>
                <w:szCs w:val="20"/>
                <w:color w:val="auto"/>
              </w:rPr>
            </w:pPr>
            <w:r>
              <w:rPr>
                <w:rFonts w:ascii="Arial" w:cs="Arial" w:eastAsia="Arial" w:hAnsi="Arial"/>
                <w:sz w:val="15"/>
                <w:szCs w:val="15"/>
                <w:b w:val="1"/>
                <w:bCs w:val="1"/>
                <w:color w:val="0000EE"/>
              </w:rPr>
              <w:t>Director Compensation</w:t>
            </w:r>
          </w:p>
        </w:tc>
        <w:tc>
          <w:tcPr>
            <w:tcW w:w="1080" w:type="dxa"/>
            <w:vAlign w:val="bottom"/>
            <w:gridSpan w:val="6"/>
          </w:tcPr>
          <w:p>
            <w:pPr>
              <w:spacing w:after="0"/>
              <w:rPr>
                <w:sz w:val="16"/>
                <w:szCs w:val="16"/>
                <w:color w:val="auto"/>
              </w:rPr>
            </w:pPr>
          </w:p>
        </w:tc>
        <w:tc>
          <w:tcPr>
            <w:tcW w:w="380" w:type="dxa"/>
            <w:vAlign w:val="bottom"/>
          </w:tcPr>
          <w:p>
            <w:pPr>
              <w:jc w:val="right"/>
              <w:ind w:right="6"/>
              <w:spacing w:after="0"/>
              <w:rPr>
                <w:sz w:val="20"/>
                <w:szCs w:val="20"/>
                <w:color w:val="auto"/>
              </w:rPr>
            </w:pPr>
            <w:r>
              <w:rPr>
                <w:rFonts w:ascii="Arial" w:cs="Arial" w:eastAsia="Arial" w:hAnsi="Arial"/>
                <w:sz w:val="15"/>
                <w:szCs w:val="15"/>
                <w:b w:val="1"/>
                <w:bCs w:val="1"/>
                <w:color w:val="0A9E50"/>
              </w:rPr>
              <w:t>41</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30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38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700" w:type="dxa"/>
            <w:vAlign w:val="bottom"/>
            <w:gridSpan w:val="48"/>
          </w:tcPr>
          <w:p>
            <w:pPr>
              <w:spacing w:after="0" w:line="136" w:lineRule="exact"/>
              <w:rPr>
                <w:sz w:val="20"/>
                <w:szCs w:val="20"/>
                <w:color w:val="auto"/>
              </w:rPr>
            </w:pPr>
            <w:r>
              <w:rPr>
                <w:rFonts w:ascii="Arial" w:cs="Arial" w:eastAsia="Arial" w:hAnsi="Arial"/>
                <w:sz w:val="15"/>
                <w:szCs w:val="15"/>
                <w:color w:val="0000EE"/>
              </w:rPr>
              <w:t>Director Compensation Design</w:t>
            </w:r>
          </w:p>
        </w:tc>
        <w:tc>
          <w:tcPr>
            <w:tcW w:w="380" w:type="dxa"/>
            <w:vAlign w:val="bottom"/>
          </w:tcPr>
          <w:p>
            <w:pPr>
              <w:jc w:val="right"/>
              <w:ind w:right="6"/>
              <w:spacing w:after="0" w:line="136" w:lineRule="exact"/>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300" w:type="dxa"/>
            <w:vAlign w:val="bottom"/>
            <w:gridSpan w:val="7"/>
            <w:shd w:val="clear" w:color="auto" w:fill="0000EE"/>
          </w:tcPr>
          <w:p>
            <w:pPr>
              <w:spacing w:after="0" w:line="20" w:lineRule="exact"/>
              <w:rPr>
                <w:sz w:val="1"/>
                <w:szCs w:val="1"/>
                <w:color w:val="auto"/>
              </w:rPr>
            </w:pPr>
          </w:p>
        </w:tc>
        <w:tc>
          <w:tcPr>
            <w:tcW w:w="560" w:type="dxa"/>
            <w:vAlign w:val="bottom"/>
            <w:tcBorders>
              <w:right w:val="single" w:sz="8" w:color="0000EE"/>
            </w:tcBorders>
            <w:gridSpan w:val="9"/>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00" w:type="dxa"/>
            <w:vAlign w:val="bottom"/>
            <w:tcBorders>
              <w:bottom w:val="single" w:sz="8" w:color="0000EE"/>
            </w:tcBorders>
            <w:gridSpan w:val="26"/>
          </w:tcPr>
          <w:p>
            <w:pPr>
              <w:spacing w:after="0" w:line="162" w:lineRule="exact"/>
              <w:rPr>
                <w:sz w:val="20"/>
                <w:szCs w:val="20"/>
                <w:color w:val="auto"/>
              </w:rPr>
            </w:pPr>
            <w:r>
              <w:rPr>
                <w:rFonts w:ascii="Arial" w:cs="Arial" w:eastAsia="Arial" w:hAnsi="Arial"/>
                <w:sz w:val="15"/>
                <w:szCs w:val="15"/>
                <w:color w:val="0000EE"/>
                <w:w w:val="98"/>
              </w:rPr>
              <w:t>Stock Ownership Requirements</w:t>
            </w:r>
          </w:p>
        </w:tc>
        <w:tc>
          <w:tcPr>
            <w:tcW w:w="2600" w:type="dxa"/>
            <w:vAlign w:val="bottom"/>
            <w:gridSpan w:val="22"/>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62"/>
        </w:trPr>
        <w:tc>
          <w:tcPr>
            <w:tcW w:w="4700" w:type="dxa"/>
            <w:vAlign w:val="bottom"/>
            <w:gridSpan w:val="48"/>
          </w:tcPr>
          <w:p>
            <w:pPr>
              <w:spacing w:after="0" w:line="162" w:lineRule="exact"/>
              <w:rPr>
                <w:sz w:val="20"/>
                <w:szCs w:val="20"/>
                <w:color w:val="auto"/>
              </w:rPr>
            </w:pPr>
            <w:r>
              <w:rPr>
                <w:rFonts w:ascii="Arial" w:cs="Arial" w:eastAsia="Arial" w:hAnsi="Arial"/>
                <w:sz w:val="15"/>
                <w:szCs w:val="15"/>
                <w:color w:val="0000EE"/>
              </w:rPr>
              <w:t>Non-Employee Directors Deferred Compensation Plan</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62"/>
        </w:trPr>
        <w:tc>
          <w:tcPr>
            <w:tcW w:w="1880" w:type="dxa"/>
            <w:vAlign w:val="bottom"/>
            <w:tcBorders>
              <w:top w:val="single" w:sz="8" w:color="0000EE"/>
              <w:bottom w:val="single" w:sz="8" w:color="0000EE"/>
            </w:tcBorders>
            <w:gridSpan w:val="22"/>
          </w:tcPr>
          <w:p>
            <w:pPr>
              <w:spacing w:after="0" w:line="162" w:lineRule="exact"/>
              <w:rPr>
                <w:sz w:val="20"/>
                <w:szCs w:val="20"/>
                <w:color w:val="auto"/>
              </w:rPr>
            </w:pPr>
            <w:r>
              <w:rPr>
                <w:rFonts w:ascii="Arial" w:cs="Arial" w:eastAsia="Arial" w:hAnsi="Arial"/>
                <w:sz w:val="15"/>
                <w:szCs w:val="15"/>
                <w:color w:val="0000EE"/>
                <w:w w:val="96"/>
              </w:rPr>
              <w:t>2023 Director Compensation</w:t>
            </w:r>
          </w:p>
        </w:tc>
        <w:tc>
          <w:tcPr>
            <w:tcW w:w="1660" w:type="dxa"/>
            <w:vAlign w:val="bottom"/>
            <w:tcBorders>
              <w:top w:val="single" w:sz="8" w:color="0000EE"/>
            </w:tcBorders>
            <w:gridSpan w:val="19"/>
          </w:tcPr>
          <w:p>
            <w:pPr>
              <w:spacing w:after="0"/>
              <w:rPr>
                <w:sz w:val="14"/>
                <w:szCs w:val="14"/>
                <w:color w:val="auto"/>
              </w:rPr>
            </w:pPr>
          </w:p>
        </w:tc>
        <w:tc>
          <w:tcPr>
            <w:tcW w:w="1160" w:type="dxa"/>
            <w:vAlign w:val="bottom"/>
            <w:gridSpan w:val="7"/>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88"/>
        </w:trPr>
        <w:tc>
          <w:tcPr>
            <w:tcW w:w="4700" w:type="dxa"/>
            <w:vAlign w:val="bottom"/>
            <w:gridSpan w:val="48"/>
          </w:tcPr>
          <w:p>
            <w:pPr>
              <w:spacing w:after="0"/>
              <w:rPr>
                <w:sz w:val="20"/>
                <w:szCs w:val="20"/>
                <w:color w:val="auto"/>
              </w:rPr>
            </w:pPr>
            <w:r>
              <w:rPr>
                <w:rFonts w:ascii="Arial" w:cs="Arial" w:eastAsia="Arial" w:hAnsi="Arial"/>
                <w:sz w:val="15"/>
                <w:szCs w:val="15"/>
                <w:b w:val="1"/>
                <w:bCs w:val="1"/>
                <w:color w:val="0000EE"/>
              </w:rPr>
              <w:t>Beneficial Ownership of Shares</w:t>
            </w:r>
          </w:p>
        </w:tc>
        <w:tc>
          <w:tcPr>
            <w:tcW w:w="380" w:type="dxa"/>
            <w:vAlign w:val="bottom"/>
          </w:tcPr>
          <w:p>
            <w:pPr>
              <w:jc w:val="right"/>
              <w:ind w:right="6"/>
              <w:spacing w:after="0"/>
              <w:rPr>
                <w:sz w:val="20"/>
                <w:szCs w:val="20"/>
                <w:color w:val="auto"/>
              </w:rPr>
            </w:pPr>
            <w:r>
              <w:rPr>
                <w:rFonts w:ascii="Arial" w:cs="Arial" w:eastAsia="Arial" w:hAnsi="Arial"/>
                <w:sz w:val="15"/>
                <w:szCs w:val="15"/>
                <w:b w:val="1"/>
                <w:bCs w:val="1"/>
                <w:color w:val="0A9E50"/>
              </w:rPr>
              <w:t>43</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14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30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38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180" w:type="dxa"/>
            <w:vAlign w:val="bottom"/>
            <w:tcBorders>
              <w:bottom w:val="single" w:sz="8" w:color="0000EE"/>
            </w:tcBorders>
            <w:gridSpan w:val="28"/>
          </w:tcPr>
          <w:p>
            <w:pPr>
              <w:spacing w:after="0" w:line="136" w:lineRule="exact"/>
              <w:rPr>
                <w:sz w:val="20"/>
                <w:szCs w:val="20"/>
                <w:color w:val="auto"/>
              </w:rPr>
            </w:pPr>
            <w:r>
              <w:rPr>
                <w:rFonts w:ascii="Arial" w:cs="Arial" w:eastAsia="Arial" w:hAnsi="Arial"/>
                <w:sz w:val="15"/>
                <w:szCs w:val="15"/>
                <w:color w:val="0000EE"/>
                <w:w w:val="97"/>
              </w:rPr>
              <w:t>Delinquent Section 16(a) Reports</w:t>
            </w:r>
          </w:p>
        </w:tc>
        <w:tc>
          <w:tcPr>
            <w:tcW w:w="2520" w:type="dxa"/>
            <w:vAlign w:val="bottom"/>
            <w:gridSpan w:val="20"/>
          </w:tcPr>
          <w:p>
            <w:pPr>
              <w:spacing w:after="0"/>
              <w:rPr>
                <w:sz w:val="11"/>
                <w:szCs w:val="11"/>
                <w:color w:val="auto"/>
              </w:rPr>
            </w:pPr>
          </w:p>
        </w:tc>
        <w:tc>
          <w:tcPr>
            <w:tcW w:w="380" w:type="dxa"/>
            <w:vAlign w:val="bottom"/>
          </w:tcPr>
          <w:p>
            <w:pPr>
              <w:jc w:val="right"/>
              <w:ind w:right="6"/>
              <w:spacing w:after="0" w:line="136" w:lineRule="exact"/>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88"/>
        </w:trPr>
        <w:tc>
          <w:tcPr>
            <w:tcW w:w="4700" w:type="dxa"/>
            <w:vAlign w:val="bottom"/>
            <w:gridSpan w:val="48"/>
          </w:tcPr>
          <w:p>
            <w:pPr>
              <w:spacing w:after="0"/>
              <w:rPr>
                <w:sz w:val="20"/>
                <w:szCs w:val="20"/>
                <w:color w:val="auto"/>
              </w:rPr>
            </w:pPr>
            <w:r>
              <w:rPr>
                <w:rFonts w:ascii="Arial" w:cs="Arial" w:eastAsia="Arial" w:hAnsi="Arial"/>
                <w:sz w:val="15"/>
                <w:szCs w:val="15"/>
                <w:b w:val="1"/>
                <w:bCs w:val="1"/>
                <w:color w:val="0000EE"/>
              </w:rPr>
              <w:t>Proposal 2: Advisory Vote to Approve the Company’s Executive</w:t>
            </w:r>
          </w:p>
        </w:tc>
        <w:tc>
          <w:tcPr>
            <w:tcW w:w="38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0A9E50"/>
              </w:rPr>
              <w:t>45</w:t>
            </w:r>
          </w:p>
        </w:tc>
        <w:tc>
          <w:tcPr>
            <w:tcW w:w="0" w:type="dxa"/>
            <w:vAlign w:val="bottom"/>
          </w:tcPr>
          <w:p>
            <w:pPr>
              <w:spacing w:after="0"/>
              <w:rPr>
                <w:sz w:val="1"/>
                <w:szCs w:val="1"/>
                <w:color w:val="auto"/>
              </w:rPr>
            </w:pPr>
          </w:p>
        </w:tc>
      </w:tr>
      <w:tr>
        <w:trPr>
          <w:trHeight w:val="136"/>
        </w:trPr>
        <w:tc>
          <w:tcPr>
            <w:tcW w:w="4460" w:type="dxa"/>
            <w:vAlign w:val="bottom"/>
            <w:tcBorders>
              <w:top w:val="single" w:sz="8" w:color="0000EE"/>
            </w:tcBorders>
            <w:gridSpan w:val="45"/>
          </w:tcPr>
          <w:p>
            <w:pPr>
              <w:spacing w:after="0" w:line="136" w:lineRule="exact"/>
              <w:rPr>
                <w:sz w:val="20"/>
                <w:szCs w:val="20"/>
                <w:color w:val="auto"/>
              </w:rPr>
            </w:pPr>
            <w:r>
              <w:rPr>
                <w:rFonts w:ascii="Arial" w:cs="Arial" w:eastAsia="Arial" w:hAnsi="Arial"/>
                <w:sz w:val="15"/>
                <w:szCs w:val="15"/>
                <w:b w:val="1"/>
                <w:bCs w:val="1"/>
                <w:color w:val="0000EE"/>
              </w:rPr>
              <w:t>Compensation</w:t>
            </w:r>
          </w:p>
        </w:tc>
        <w:tc>
          <w:tcPr>
            <w:tcW w:w="2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30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38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700" w:type="dxa"/>
            <w:vAlign w:val="bottom"/>
            <w:gridSpan w:val="48"/>
          </w:tcPr>
          <w:p>
            <w:pPr>
              <w:spacing w:after="0" w:line="149" w:lineRule="exact"/>
              <w:rPr>
                <w:sz w:val="20"/>
                <w:szCs w:val="20"/>
                <w:color w:val="auto"/>
              </w:rPr>
            </w:pPr>
            <w:r>
              <w:rPr>
                <w:rFonts w:ascii="Arial" w:cs="Arial" w:eastAsia="Arial" w:hAnsi="Arial"/>
                <w:sz w:val="15"/>
                <w:szCs w:val="15"/>
                <w:b w:val="1"/>
                <w:bCs w:val="1"/>
                <w:color w:val="0000EE"/>
              </w:rPr>
              <w:t>Compensation Discussion and Analysis</w:t>
            </w:r>
          </w:p>
        </w:tc>
        <w:tc>
          <w:tcPr>
            <w:tcW w:w="380" w:type="dxa"/>
            <w:vAlign w:val="bottom"/>
          </w:tcPr>
          <w:p>
            <w:pPr>
              <w:jc w:val="right"/>
              <w:ind w:right="6"/>
              <w:spacing w:after="0" w:line="149" w:lineRule="exact"/>
              <w:rPr>
                <w:sz w:val="20"/>
                <w:szCs w:val="20"/>
                <w:color w:val="auto"/>
              </w:rPr>
            </w:pPr>
            <w:r>
              <w:rPr>
                <w:rFonts w:ascii="Arial" w:cs="Arial" w:eastAsia="Arial" w:hAnsi="Arial"/>
                <w:sz w:val="15"/>
                <w:szCs w:val="15"/>
                <w:b w:val="1"/>
                <w:bCs w:val="1"/>
                <w:color w:val="0A9E50"/>
              </w:rPr>
              <w:t>46</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14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160" w:type="dxa"/>
            <w:vAlign w:val="bottom"/>
            <w:tcBorders>
              <w:top w:val="single" w:sz="8" w:color="0000EE"/>
              <w:bottom w:val="single" w:sz="8" w:color="0A9E50"/>
            </w:tcBorders>
          </w:tcPr>
          <w:p>
            <w:pPr>
              <w:spacing w:after="0"/>
              <w:rPr>
                <w:sz w:val="5"/>
                <w:szCs w:val="5"/>
                <w:color w:val="auto"/>
              </w:rPr>
            </w:pPr>
          </w:p>
        </w:tc>
        <w:tc>
          <w:tcPr>
            <w:tcW w:w="12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30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38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080" w:type="dxa"/>
            <w:vAlign w:val="bottom"/>
            <w:tcBorders>
              <w:bottom w:val="single" w:sz="8" w:color="0000EE"/>
            </w:tcBorders>
            <w:gridSpan w:val="25"/>
          </w:tcPr>
          <w:p>
            <w:pPr>
              <w:spacing w:after="0" w:line="136" w:lineRule="exact"/>
              <w:rPr>
                <w:sz w:val="20"/>
                <w:szCs w:val="20"/>
                <w:color w:val="auto"/>
              </w:rPr>
            </w:pPr>
            <w:r>
              <w:rPr>
                <w:rFonts w:ascii="Arial" w:cs="Arial" w:eastAsia="Arial" w:hAnsi="Arial"/>
                <w:sz w:val="15"/>
                <w:szCs w:val="15"/>
                <w:color w:val="0000EE"/>
                <w:w w:val="97"/>
              </w:rPr>
              <w:t>2023 Named Executive Officers</w:t>
            </w:r>
          </w:p>
        </w:tc>
        <w:tc>
          <w:tcPr>
            <w:tcW w:w="2620" w:type="dxa"/>
            <w:vAlign w:val="bottom"/>
            <w:gridSpan w:val="23"/>
          </w:tcPr>
          <w:p>
            <w:pPr>
              <w:spacing w:after="0"/>
              <w:rPr>
                <w:sz w:val="11"/>
                <w:szCs w:val="11"/>
                <w:color w:val="auto"/>
              </w:rPr>
            </w:pPr>
          </w:p>
        </w:tc>
        <w:tc>
          <w:tcPr>
            <w:tcW w:w="380" w:type="dxa"/>
            <w:vAlign w:val="bottom"/>
          </w:tcPr>
          <w:p>
            <w:pPr>
              <w:jc w:val="right"/>
              <w:ind w:right="6"/>
              <w:spacing w:after="0" w:line="136"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62"/>
        </w:trPr>
        <w:tc>
          <w:tcPr>
            <w:tcW w:w="1320" w:type="dxa"/>
            <w:vAlign w:val="bottom"/>
            <w:tcBorders>
              <w:bottom w:val="single" w:sz="8" w:color="0000EE"/>
            </w:tcBorders>
            <w:gridSpan w:val="13"/>
          </w:tcPr>
          <w:p>
            <w:pPr>
              <w:spacing w:after="0" w:line="162" w:lineRule="exact"/>
              <w:rPr>
                <w:sz w:val="20"/>
                <w:szCs w:val="20"/>
                <w:color w:val="auto"/>
              </w:rPr>
            </w:pPr>
            <w:r>
              <w:rPr>
                <w:rFonts w:ascii="Arial" w:cs="Arial" w:eastAsia="Arial" w:hAnsi="Arial"/>
                <w:sz w:val="15"/>
                <w:szCs w:val="15"/>
                <w:color w:val="0000EE"/>
                <w:w w:val="97"/>
              </w:rPr>
              <w:t>Executive Summary</w:t>
            </w:r>
          </w:p>
        </w:tc>
        <w:tc>
          <w:tcPr>
            <w:tcW w:w="3380" w:type="dxa"/>
            <w:vAlign w:val="bottom"/>
            <w:gridSpan w:val="35"/>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460" w:type="dxa"/>
            <w:vAlign w:val="bottom"/>
            <w:gridSpan w:val="47"/>
          </w:tcPr>
          <w:p>
            <w:pPr>
              <w:spacing w:after="0" w:line="162" w:lineRule="exact"/>
              <w:rPr>
                <w:sz w:val="20"/>
                <w:szCs w:val="20"/>
                <w:color w:val="auto"/>
              </w:rPr>
            </w:pPr>
            <w:r>
              <w:rPr>
                <w:rFonts w:ascii="Arial" w:cs="Arial" w:eastAsia="Arial" w:hAnsi="Arial"/>
                <w:sz w:val="15"/>
                <w:szCs w:val="15"/>
                <w:color w:val="0000EE"/>
              </w:rPr>
              <w:t>Fiscal 2023 Performance</w:t>
            </w: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640" w:type="dxa"/>
            <w:vAlign w:val="bottom"/>
            <w:tcBorders>
              <w:right w:val="single" w:sz="8" w:color="0000EE"/>
            </w:tcBorders>
            <w:gridSpan w:val="21"/>
            <w:shd w:val="clear" w:color="auto" w:fill="0000EE"/>
          </w:tcPr>
          <w:p>
            <w:pPr>
              <w:spacing w:after="0" w:line="20" w:lineRule="exact"/>
              <w:rPr>
                <w:sz w:val="1"/>
                <w:szCs w:val="1"/>
                <w:color w:val="auto"/>
              </w:rPr>
            </w:pPr>
          </w:p>
        </w:tc>
        <w:tc>
          <w:tcPr>
            <w:tcW w:w="2100" w:type="dxa"/>
            <w:vAlign w:val="bottom"/>
            <w:gridSpan w:val="21"/>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4240" w:type="dxa"/>
            <w:vAlign w:val="bottom"/>
            <w:tcBorders>
              <w:bottom w:val="single" w:sz="8" w:color="0000EE"/>
            </w:tcBorders>
            <w:gridSpan w:val="45"/>
          </w:tcPr>
          <w:p>
            <w:pPr>
              <w:spacing w:after="0" w:line="162" w:lineRule="exact"/>
              <w:rPr>
                <w:sz w:val="20"/>
                <w:szCs w:val="20"/>
                <w:color w:val="auto"/>
              </w:rPr>
            </w:pPr>
            <w:r>
              <w:rPr>
                <w:rFonts w:ascii="Arial" w:cs="Arial" w:eastAsia="Arial" w:hAnsi="Arial"/>
                <w:sz w:val="15"/>
                <w:szCs w:val="15"/>
                <w:color w:val="0000EE"/>
                <w:w w:val="98"/>
              </w:rPr>
              <w:t>Key Executive Compensation Program Highlights for Fiscal 2023</w:t>
            </w:r>
          </w:p>
        </w:tc>
        <w:tc>
          <w:tcPr>
            <w:tcW w:w="220" w:type="dxa"/>
            <w:vAlign w:val="bottom"/>
            <w:gridSpan w:val="2"/>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640" w:type="dxa"/>
            <w:vAlign w:val="bottom"/>
            <w:tcBorders>
              <w:bottom w:val="single" w:sz="8" w:color="0000EE"/>
            </w:tcBorders>
            <w:gridSpan w:val="21"/>
          </w:tcPr>
          <w:p>
            <w:pPr>
              <w:spacing w:after="0" w:line="162" w:lineRule="exact"/>
              <w:rPr>
                <w:sz w:val="20"/>
                <w:szCs w:val="20"/>
                <w:color w:val="auto"/>
              </w:rPr>
            </w:pPr>
            <w:r>
              <w:rPr>
                <w:rFonts w:ascii="Arial" w:cs="Arial" w:eastAsia="Arial" w:hAnsi="Arial"/>
                <w:sz w:val="15"/>
                <w:szCs w:val="15"/>
                <w:color w:val="0000EE"/>
                <w:w w:val="98"/>
              </w:rPr>
              <w:t>Annual Say on Pay Vote</w:t>
            </w:r>
          </w:p>
        </w:tc>
        <w:tc>
          <w:tcPr>
            <w:tcW w:w="2820" w:type="dxa"/>
            <w:vAlign w:val="bottom"/>
            <w:gridSpan w:val="26"/>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62"/>
        </w:trPr>
        <w:tc>
          <w:tcPr>
            <w:tcW w:w="3980" w:type="dxa"/>
            <w:vAlign w:val="bottom"/>
            <w:tcBorders>
              <w:bottom w:val="single" w:sz="8" w:color="0000EE"/>
            </w:tcBorders>
            <w:gridSpan w:val="43"/>
          </w:tcPr>
          <w:p>
            <w:pPr>
              <w:spacing w:after="0" w:line="162" w:lineRule="exact"/>
              <w:rPr>
                <w:sz w:val="20"/>
                <w:szCs w:val="20"/>
                <w:color w:val="auto"/>
              </w:rPr>
            </w:pPr>
            <w:r>
              <w:rPr>
                <w:rFonts w:ascii="Arial" w:cs="Arial" w:eastAsia="Arial" w:hAnsi="Arial"/>
                <w:sz w:val="15"/>
                <w:szCs w:val="15"/>
                <w:color w:val="0000EE"/>
                <w:w w:val="97"/>
              </w:rPr>
              <w:t>Executive Compensation Philosophy, Objectives, and Design</w:t>
            </w:r>
          </w:p>
        </w:tc>
        <w:tc>
          <w:tcPr>
            <w:tcW w:w="720" w:type="dxa"/>
            <w:vAlign w:val="bottom"/>
            <w:gridSpan w:val="5"/>
          </w:tcPr>
          <w:p>
            <w:pPr>
              <w:spacing w:after="0"/>
              <w:rPr>
                <w:sz w:val="14"/>
                <w:szCs w:val="14"/>
                <w:color w:val="auto"/>
              </w:rPr>
            </w:pPr>
          </w:p>
        </w:tc>
        <w:tc>
          <w:tcPr>
            <w:tcW w:w="380" w:type="dxa"/>
            <w:vAlign w:val="bottom"/>
          </w:tcPr>
          <w:p>
            <w:pPr>
              <w:jc w:val="right"/>
              <w:ind w:right="6"/>
              <w:spacing w:after="0" w:line="162"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38"/>
          <w:szCs w:val="38"/>
          <w:color w:val="auto"/>
          <w:vertAlign w:val="superscript"/>
        </w:rPr>
        <w:t>4 </w:t>
      </w:r>
      <w:r>
        <w:rPr>
          <w:sz w:val="20"/>
          <w:szCs w:val="20"/>
          <w:color w:val="auto"/>
        </w:rPr>
        <w:tab/>
      </w:r>
      <w:r>
        <w:rPr>
          <w:rFonts w:ascii="Arial" w:cs="Arial" w:eastAsia="Arial" w:hAnsi="Arial"/>
          <w:sz w:val="20"/>
          <w:szCs w:val="20"/>
          <w:color w:val="auto"/>
        </w:rPr>
        <w:t xml:space="preserve">    </w:t>
      </w:r>
      <w:r>
        <w:rPr>
          <w:sz w:val="1"/>
          <w:szCs w:val="1"/>
          <w:color w:val="auto"/>
        </w:rPr>
        <w:drawing>
          <wp:inline distT="0" distB="0" distL="0" distR="0">
            <wp:extent cx="396240" cy="18986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-214630</wp:posOffset>
            </wp:positionV>
            <wp:extent cx="8255"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4600" w:type="dxa"/>
            <w:vAlign w:val="bottom"/>
            <w:gridSpan w:val="38"/>
          </w:tcPr>
          <w:p>
            <w:pPr>
              <w:spacing w:after="0"/>
              <w:rPr>
                <w:sz w:val="20"/>
                <w:szCs w:val="20"/>
                <w:color w:val="auto"/>
              </w:rPr>
            </w:pPr>
            <w:r>
              <w:rPr>
                <w:rFonts w:ascii="Arial" w:cs="Arial" w:eastAsia="Arial" w:hAnsi="Arial"/>
                <w:sz w:val="15"/>
                <w:szCs w:val="15"/>
                <w:color w:val="0000EE"/>
              </w:rPr>
              <w:t>CEO and Other Named Executive Officers Pay Mix</w:t>
            </w:r>
          </w:p>
        </w:tc>
        <w:tc>
          <w:tcPr>
            <w:tcW w:w="360" w:type="dxa"/>
            <w:vAlign w:val="bottom"/>
          </w:tcPr>
          <w:p>
            <w:pPr>
              <w:jc w:val="right"/>
              <w:ind w:right="26"/>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Elements of Compensation for Named Executive Officers</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720" w:type="dxa"/>
            <w:vAlign w:val="bottom"/>
            <w:tcBorders>
              <w:top w:val="single" w:sz="8" w:color="0000EE"/>
            </w:tcBorders>
            <w:gridSpan w:val="30"/>
          </w:tcPr>
          <w:p>
            <w:pPr>
              <w:spacing w:after="0" w:line="162" w:lineRule="exact"/>
              <w:rPr>
                <w:sz w:val="20"/>
                <w:szCs w:val="20"/>
                <w:color w:val="auto"/>
              </w:rPr>
            </w:pPr>
            <w:r>
              <w:rPr>
                <w:rFonts w:ascii="Arial" w:cs="Arial" w:eastAsia="Arial" w:hAnsi="Arial"/>
                <w:sz w:val="15"/>
                <w:szCs w:val="15"/>
                <w:color w:val="0000EE"/>
              </w:rPr>
              <w:t>2024 Executive Incentive Plans</w:t>
            </w:r>
          </w:p>
        </w:tc>
        <w:tc>
          <w:tcPr>
            <w:tcW w:w="880" w:type="dxa"/>
            <w:vAlign w:val="bottom"/>
            <w:gridSpan w:val="8"/>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840" w:type="dxa"/>
            <w:vAlign w:val="bottom"/>
            <w:gridSpan w:val="39"/>
          </w:tcPr>
          <w:p>
            <w:pPr>
              <w:spacing w:after="0" w:line="162" w:lineRule="exact"/>
              <w:rPr>
                <w:sz w:val="20"/>
                <w:szCs w:val="20"/>
                <w:color w:val="auto"/>
              </w:rPr>
            </w:pPr>
            <w:r>
              <w:rPr>
                <w:rFonts w:ascii="Arial" w:cs="Arial" w:eastAsia="Arial" w:hAnsi="Arial"/>
                <w:sz w:val="15"/>
                <w:szCs w:val="15"/>
                <w:color w:val="0000EE"/>
              </w:rPr>
              <w:t>Process for Determining Executive Compensation</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Role of the Compensation and Talent Management</w:t>
            </w:r>
          </w:p>
        </w:tc>
        <w:tc>
          <w:tcPr>
            <w:tcW w:w="360" w:type="dxa"/>
            <w:vAlign w:val="bottom"/>
            <w:vMerge w:val="restart"/>
          </w:tcPr>
          <w:p>
            <w:pPr>
              <w:jc w:val="right"/>
              <w:ind w:right="26"/>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36"/>
        </w:trPr>
        <w:tc>
          <w:tcPr>
            <w:tcW w:w="240" w:type="dxa"/>
            <w:vAlign w:val="bottom"/>
          </w:tcPr>
          <w:p>
            <w:pPr>
              <w:spacing w:after="0"/>
              <w:rPr>
                <w:sz w:val="11"/>
                <w:szCs w:val="11"/>
                <w:color w:val="auto"/>
              </w:rPr>
            </w:pPr>
          </w:p>
        </w:tc>
        <w:tc>
          <w:tcPr>
            <w:tcW w:w="720" w:type="dxa"/>
            <w:vAlign w:val="bottom"/>
            <w:tcBorders>
              <w:top w:val="single" w:sz="8" w:color="0000EE"/>
              <w:bottom w:val="single" w:sz="8" w:color="0000EE"/>
            </w:tcBorders>
            <w:gridSpan w:val="2"/>
          </w:tcPr>
          <w:p>
            <w:pPr>
              <w:spacing w:after="0" w:line="136" w:lineRule="exact"/>
              <w:rPr>
                <w:sz w:val="20"/>
                <w:szCs w:val="20"/>
                <w:color w:val="auto"/>
              </w:rPr>
            </w:pPr>
            <w:r>
              <w:rPr>
                <w:rFonts w:ascii="Arial" w:cs="Arial" w:eastAsia="Arial" w:hAnsi="Arial"/>
                <w:sz w:val="15"/>
                <w:szCs w:val="15"/>
                <w:color w:val="0000EE"/>
                <w:w w:val="96"/>
              </w:rPr>
              <w:t>Committee</w:t>
            </w:r>
          </w:p>
        </w:tc>
        <w:tc>
          <w:tcPr>
            <w:tcW w:w="2640" w:type="dxa"/>
            <w:vAlign w:val="bottom"/>
            <w:tcBorders>
              <w:top w:val="single" w:sz="8" w:color="0000EE"/>
            </w:tcBorders>
            <w:gridSpan w:val="24"/>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Role of the Independent Compensation Consultant</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320" w:type="dxa"/>
            <w:vAlign w:val="bottom"/>
            <w:tcBorders>
              <w:top w:val="single" w:sz="8" w:color="0000EE"/>
            </w:tcBorders>
            <w:gridSpan w:val="25"/>
          </w:tcPr>
          <w:p>
            <w:pPr>
              <w:spacing w:after="0" w:line="162" w:lineRule="exact"/>
              <w:rPr>
                <w:sz w:val="20"/>
                <w:szCs w:val="20"/>
                <w:color w:val="auto"/>
              </w:rPr>
            </w:pPr>
            <w:r>
              <w:rPr>
                <w:rFonts w:ascii="Arial" w:cs="Arial" w:eastAsia="Arial" w:hAnsi="Arial"/>
                <w:sz w:val="15"/>
                <w:szCs w:val="15"/>
                <w:color w:val="0000EE"/>
              </w:rPr>
              <w:t>Role of Management</w:t>
            </w:r>
          </w:p>
        </w:tc>
        <w:tc>
          <w:tcPr>
            <w:tcW w:w="1280" w:type="dxa"/>
            <w:vAlign w:val="bottom"/>
            <w:gridSpan w:val="13"/>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360" w:type="dxa"/>
            <w:vAlign w:val="bottom"/>
            <w:tcBorders>
              <w:top w:val="single" w:sz="8" w:color="0000EE"/>
            </w:tcBorders>
            <w:gridSpan w:val="8"/>
          </w:tcPr>
          <w:p>
            <w:pPr>
              <w:spacing w:after="0" w:line="162" w:lineRule="exact"/>
              <w:rPr>
                <w:sz w:val="20"/>
                <w:szCs w:val="20"/>
                <w:color w:val="auto"/>
              </w:rPr>
            </w:pPr>
            <w:r>
              <w:rPr>
                <w:rFonts w:ascii="Arial" w:cs="Arial" w:eastAsia="Arial" w:hAnsi="Arial"/>
                <w:sz w:val="15"/>
                <w:szCs w:val="15"/>
                <w:color w:val="0000EE"/>
              </w:rPr>
              <w:t>Comparator Data</w:t>
            </w:r>
          </w:p>
        </w:tc>
        <w:tc>
          <w:tcPr>
            <w:tcW w:w="3240" w:type="dxa"/>
            <w:vAlign w:val="bottom"/>
            <w:gridSpan w:val="30"/>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4080" w:type="dxa"/>
            <w:vAlign w:val="bottom"/>
            <w:tcBorders>
              <w:bottom w:val="single" w:sz="8" w:color="0000EE"/>
            </w:tcBorders>
            <w:gridSpan w:val="34"/>
          </w:tcPr>
          <w:p>
            <w:pPr>
              <w:spacing w:after="0" w:line="162" w:lineRule="exact"/>
              <w:rPr>
                <w:sz w:val="20"/>
                <w:szCs w:val="20"/>
                <w:color w:val="auto"/>
              </w:rPr>
            </w:pPr>
            <w:r>
              <w:rPr>
                <w:rFonts w:ascii="Arial" w:cs="Arial" w:eastAsia="Arial" w:hAnsi="Arial"/>
                <w:sz w:val="15"/>
                <w:szCs w:val="15"/>
                <w:color w:val="0000EE"/>
                <w:w w:val="97"/>
              </w:rPr>
              <w:t>Senior Officer Performance Reviews and Succession Planning</w:t>
            </w:r>
          </w:p>
        </w:tc>
        <w:tc>
          <w:tcPr>
            <w:tcW w:w="520" w:type="dxa"/>
            <w:vAlign w:val="bottom"/>
            <w:gridSpan w:val="4"/>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62"/>
        </w:trPr>
        <w:tc>
          <w:tcPr>
            <w:tcW w:w="4840" w:type="dxa"/>
            <w:vAlign w:val="bottom"/>
            <w:gridSpan w:val="39"/>
          </w:tcPr>
          <w:p>
            <w:pPr>
              <w:spacing w:after="0" w:line="162" w:lineRule="exact"/>
              <w:rPr>
                <w:sz w:val="20"/>
                <w:szCs w:val="20"/>
                <w:color w:val="auto"/>
              </w:rPr>
            </w:pPr>
            <w:r>
              <w:rPr>
                <w:rFonts w:ascii="Arial" w:cs="Arial" w:eastAsia="Arial" w:hAnsi="Arial"/>
                <w:sz w:val="15"/>
                <w:szCs w:val="15"/>
                <w:color w:val="0000EE"/>
              </w:rPr>
              <w:t>Compensation Programs: Decisions and Actions in 2023</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62"/>
        </w:trPr>
        <w:tc>
          <w:tcPr>
            <w:tcW w:w="240" w:type="dxa"/>
            <w:vAlign w:val="bottom"/>
            <w:tcBorders>
              <w:top w:val="single" w:sz="8" w:color="0000EE"/>
            </w:tcBorders>
          </w:tcPr>
          <w:p>
            <w:pPr>
              <w:spacing w:after="0"/>
              <w:rPr>
                <w:sz w:val="14"/>
                <w:szCs w:val="14"/>
                <w:color w:val="auto"/>
              </w:rPr>
            </w:pPr>
          </w:p>
        </w:tc>
        <w:tc>
          <w:tcPr>
            <w:tcW w:w="800" w:type="dxa"/>
            <w:vAlign w:val="bottom"/>
            <w:tcBorders>
              <w:top w:val="single" w:sz="8" w:color="0000EE"/>
              <w:bottom w:val="single" w:sz="8" w:color="0000EE"/>
            </w:tcBorders>
            <w:gridSpan w:val="4"/>
          </w:tcPr>
          <w:p>
            <w:pPr>
              <w:spacing w:after="0" w:line="162" w:lineRule="exact"/>
              <w:rPr>
                <w:sz w:val="20"/>
                <w:szCs w:val="20"/>
                <w:color w:val="auto"/>
              </w:rPr>
            </w:pPr>
            <w:r>
              <w:rPr>
                <w:rFonts w:ascii="Arial" w:cs="Arial" w:eastAsia="Arial" w:hAnsi="Arial"/>
                <w:sz w:val="15"/>
                <w:szCs w:val="15"/>
                <w:color w:val="0000EE"/>
                <w:w w:val="96"/>
              </w:rPr>
              <w:t>Base Salary</w:t>
            </w:r>
          </w:p>
        </w:tc>
        <w:tc>
          <w:tcPr>
            <w:tcW w:w="2640" w:type="dxa"/>
            <w:vAlign w:val="bottom"/>
            <w:tcBorders>
              <w:top w:val="single" w:sz="8" w:color="0000EE"/>
            </w:tcBorders>
            <w:gridSpan w:val="23"/>
          </w:tcPr>
          <w:p>
            <w:pPr>
              <w:spacing w:after="0"/>
              <w:rPr>
                <w:sz w:val="14"/>
                <w:szCs w:val="14"/>
                <w:color w:val="auto"/>
              </w:rPr>
            </w:pPr>
          </w:p>
        </w:tc>
        <w:tc>
          <w:tcPr>
            <w:tcW w:w="1160" w:type="dxa"/>
            <w:vAlign w:val="bottom"/>
            <w:gridSpan w:val="11"/>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480" w:type="dxa"/>
            <w:vAlign w:val="bottom"/>
            <w:tcBorders>
              <w:bottom w:val="single" w:sz="8" w:color="0000EE"/>
            </w:tcBorders>
            <w:gridSpan w:val="11"/>
          </w:tcPr>
          <w:p>
            <w:pPr>
              <w:spacing w:after="0" w:line="162" w:lineRule="exact"/>
              <w:rPr>
                <w:sz w:val="20"/>
                <w:szCs w:val="20"/>
                <w:color w:val="auto"/>
              </w:rPr>
            </w:pPr>
            <w:r>
              <w:rPr>
                <w:rFonts w:ascii="Arial" w:cs="Arial" w:eastAsia="Arial" w:hAnsi="Arial"/>
                <w:sz w:val="15"/>
                <w:szCs w:val="15"/>
                <w:color w:val="0000EE"/>
                <w:w w:val="97"/>
              </w:rPr>
              <w:t>Annual Cash Incentive</w:t>
            </w:r>
          </w:p>
        </w:tc>
        <w:tc>
          <w:tcPr>
            <w:tcW w:w="3120" w:type="dxa"/>
            <w:vAlign w:val="bottom"/>
            <w:gridSpan w:val="27"/>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Long-Term Incentives</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300" w:type="dxa"/>
            <w:vAlign w:val="bottom"/>
            <w:tcBorders>
              <w:top w:val="single" w:sz="8" w:color="0000EE"/>
              <w:bottom w:val="single" w:sz="8" w:color="0000EE"/>
            </w:tcBorders>
            <w:gridSpan w:val="7"/>
          </w:tcPr>
          <w:p>
            <w:pPr>
              <w:spacing w:after="0" w:line="162" w:lineRule="exact"/>
              <w:rPr>
                <w:sz w:val="20"/>
                <w:szCs w:val="20"/>
                <w:color w:val="auto"/>
              </w:rPr>
            </w:pPr>
            <w:r>
              <w:rPr>
                <w:rFonts w:ascii="Arial" w:cs="Arial" w:eastAsia="Arial" w:hAnsi="Arial"/>
                <w:sz w:val="15"/>
                <w:szCs w:val="15"/>
                <w:color w:val="0000EE"/>
                <w:w w:val="97"/>
              </w:rPr>
              <w:t>Retirement Benefits</w:t>
            </w:r>
          </w:p>
        </w:tc>
        <w:tc>
          <w:tcPr>
            <w:tcW w:w="100" w:type="dxa"/>
            <w:vAlign w:val="bottom"/>
            <w:tcBorders>
              <w:top w:val="single" w:sz="8" w:color="0000EE"/>
            </w:tcBorders>
            <w:gridSpan w:val="2"/>
          </w:tcPr>
          <w:p>
            <w:pPr>
              <w:spacing w:after="0"/>
              <w:rPr>
                <w:sz w:val="14"/>
                <w:szCs w:val="14"/>
                <w:color w:val="auto"/>
              </w:rPr>
            </w:pPr>
          </w:p>
        </w:tc>
        <w:tc>
          <w:tcPr>
            <w:tcW w:w="3200" w:type="dxa"/>
            <w:vAlign w:val="bottom"/>
            <w:gridSpan w:val="29"/>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1840" w:type="dxa"/>
            <w:vAlign w:val="bottom"/>
            <w:tcBorders>
              <w:bottom w:val="single" w:sz="8" w:color="0000EE"/>
            </w:tcBorders>
            <w:gridSpan w:val="13"/>
          </w:tcPr>
          <w:p>
            <w:pPr>
              <w:spacing w:after="0" w:line="162" w:lineRule="exact"/>
              <w:rPr>
                <w:sz w:val="20"/>
                <w:szCs w:val="20"/>
                <w:color w:val="auto"/>
              </w:rPr>
            </w:pPr>
            <w:r>
              <w:rPr>
                <w:rFonts w:ascii="Arial" w:cs="Arial" w:eastAsia="Arial" w:hAnsi="Arial"/>
                <w:sz w:val="15"/>
                <w:szCs w:val="15"/>
                <w:color w:val="0000EE"/>
                <w:w w:val="97"/>
              </w:rPr>
              <w:t>Health and Welfare Benefits</w:t>
            </w:r>
          </w:p>
        </w:tc>
        <w:tc>
          <w:tcPr>
            <w:tcW w:w="2760" w:type="dxa"/>
            <w:vAlign w:val="bottom"/>
            <w:gridSpan w:val="25"/>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Perquisites</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Senior Executive Severance Plan</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320" w:type="dxa"/>
            <w:vAlign w:val="bottom"/>
            <w:tcBorders>
              <w:bottom w:val="single" w:sz="8" w:color="0000EE"/>
            </w:tcBorders>
            <w:gridSpan w:val="24"/>
          </w:tcPr>
          <w:p>
            <w:pPr>
              <w:spacing w:after="0" w:line="162" w:lineRule="exact"/>
              <w:rPr>
                <w:sz w:val="20"/>
                <w:szCs w:val="20"/>
                <w:color w:val="auto"/>
              </w:rPr>
            </w:pPr>
            <w:r>
              <w:rPr>
                <w:rFonts w:ascii="Arial" w:cs="Arial" w:eastAsia="Arial" w:hAnsi="Arial"/>
                <w:sz w:val="15"/>
                <w:szCs w:val="15"/>
                <w:color w:val="0000EE"/>
                <w:w w:val="97"/>
              </w:rPr>
              <w:t>Governance of Executive Compensation Programs</w:t>
            </w:r>
          </w:p>
        </w:tc>
        <w:tc>
          <w:tcPr>
            <w:tcW w:w="1520" w:type="dxa"/>
            <w:vAlign w:val="bottom"/>
            <w:gridSpan w:val="15"/>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Executive Stock Ownership and Retention Requirements</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3560" w:type="dxa"/>
            <w:vAlign w:val="bottom"/>
            <w:tcBorders>
              <w:top w:val="single" w:sz="8" w:color="0000EE"/>
              <w:bottom w:val="single" w:sz="8" w:color="0000EE"/>
            </w:tcBorders>
            <w:gridSpan w:val="28"/>
          </w:tcPr>
          <w:p>
            <w:pPr>
              <w:spacing w:after="0" w:line="162" w:lineRule="exact"/>
              <w:rPr>
                <w:sz w:val="20"/>
                <w:szCs w:val="20"/>
                <w:color w:val="auto"/>
              </w:rPr>
            </w:pPr>
            <w:r>
              <w:rPr>
                <w:rFonts w:ascii="Arial" w:cs="Arial" w:eastAsia="Arial" w:hAnsi="Arial"/>
                <w:sz w:val="15"/>
                <w:szCs w:val="15"/>
                <w:color w:val="0000EE"/>
                <w:w w:val="97"/>
              </w:rPr>
              <w:t>Incentive Compensation Recovery (“Clawback”) Policy</w:t>
            </w:r>
          </w:p>
        </w:tc>
        <w:tc>
          <w:tcPr>
            <w:tcW w:w="140" w:type="dxa"/>
            <w:vAlign w:val="bottom"/>
            <w:tcBorders>
              <w:top w:val="single" w:sz="8" w:color="0000EE"/>
            </w:tcBorders>
          </w:tcPr>
          <w:p>
            <w:pPr>
              <w:spacing w:after="0"/>
              <w:rPr>
                <w:sz w:val="14"/>
                <w:szCs w:val="14"/>
                <w:color w:val="auto"/>
              </w:rPr>
            </w:pPr>
          </w:p>
        </w:tc>
        <w:tc>
          <w:tcPr>
            <w:tcW w:w="900" w:type="dxa"/>
            <w:vAlign w:val="bottom"/>
            <w:gridSpan w:val="9"/>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Hedging and Pledging of Shares</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Tax Considerations: Deductibility of Executive Compensation</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840" w:type="dxa"/>
            <w:vAlign w:val="bottom"/>
            <w:gridSpan w:val="39"/>
          </w:tcPr>
          <w:p>
            <w:pPr>
              <w:spacing w:after="0" w:line="162" w:lineRule="exact"/>
              <w:rPr>
                <w:sz w:val="20"/>
                <w:szCs w:val="20"/>
                <w:color w:val="auto"/>
              </w:rPr>
            </w:pPr>
            <w:r>
              <w:rPr>
                <w:rFonts w:ascii="Arial" w:cs="Arial" w:eastAsia="Arial" w:hAnsi="Arial"/>
                <w:sz w:val="15"/>
                <w:szCs w:val="15"/>
                <w:color w:val="0000EE"/>
              </w:rPr>
              <w:t>Compensation and Talent Management Committee Report</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88"/>
        </w:trPr>
        <w:tc>
          <w:tcPr>
            <w:tcW w:w="3800" w:type="dxa"/>
            <w:vAlign w:val="bottom"/>
            <w:tcBorders>
              <w:top w:val="single" w:sz="8" w:color="0000EE"/>
            </w:tcBorders>
            <w:gridSpan w:val="29"/>
          </w:tcPr>
          <w:p>
            <w:pPr>
              <w:spacing w:after="0"/>
              <w:rPr>
                <w:sz w:val="20"/>
                <w:szCs w:val="20"/>
                <w:color w:val="auto"/>
              </w:rPr>
            </w:pPr>
            <w:r>
              <w:rPr>
                <w:rFonts w:ascii="Arial" w:cs="Arial" w:eastAsia="Arial" w:hAnsi="Arial"/>
                <w:sz w:val="15"/>
                <w:szCs w:val="15"/>
                <w:b w:val="1"/>
                <w:bCs w:val="1"/>
                <w:color w:val="0000EE"/>
              </w:rPr>
              <w:t>2023 Executive Compensation Tables</w:t>
            </w:r>
          </w:p>
        </w:tc>
        <w:tc>
          <w:tcPr>
            <w:tcW w:w="1040" w:type="dxa"/>
            <w:vAlign w:val="bottom"/>
            <w:gridSpan w:val="10"/>
          </w:tcPr>
          <w:p>
            <w:pPr>
              <w:spacing w:after="0"/>
              <w:rPr>
                <w:sz w:val="16"/>
                <w:szCs w:val="16"/>
                <w:color w:val="auto"/>
              </w:rPr>
            </w:pPr>
          </w:p>
        </w:tc>
        <w:tc>
          <w:tcPr>
            <w:tcW w:w="360" w:type="dxa"/>
            <w:vAlign w:val="bottom"/>
          </w:tcPr>
          <w:p>
            <w:pPr>
              <w:jc w:val="right"/>
              <w:ind w:right="26"/>
              <w:spacing w:after="0"/>
              <w:rPr>
                <w:sz w:val="20"/>
                <w:szCs w:val="20"/>
                <w:color w:val="auto"/>
              </w:rPr>
            </w:pPr>
            <w:r>
              <w:rPr>
                <w:rFonts w:ascii="Arial" w:cs="Arial" w:eastAsia="Arial" w:hAnsi="Arial"/>
                <w:sz w:val="15"/>
                <w:szCs w:val="15"/>
                <w:b w:val="1"/>
                <w:bCs w:val="1"/>
                <w:color w:val="0A9E50"/>
              </w:rPr>
              <w:t>65</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40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26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420" w:type="dxa"/>
            <w:vAlign w:val="bottom"/>
            <w:tcBorders>
              <w:bottom w:val="single" w:sz="8" w:color="0000EE"/>
            </w:tcBorders>
            <w:gridSpan w:val="18"/>
          </w:tcPr>
          <w:p>
            <w:pPr>
              <w:spacing w:after="0" w:line="136" w:lineRule="exact"/>
              <w:rPr>
                <w:sz w:val="20"/>
                <w:szCs w:val="20"/>
                <w:color w:val="auto"/>
              </w:rPr>
            </w:pPr>
            <w:r>
              <w:rPr>
                <w:rFonts w:ascii="Arial" w:cs="Arial" w:eastAsia="Arial" w:hAnsi="Arial"/>
                <w:sz w:val="15"/>
                <w:szCs w:val="15"/>
                <w:color w:val="0000EE"/>
                <w:w w:val="97"/>
              </w:rPr>
              <w:t>Summary Compensation Table 2023</w:t>
            </w:r>
          </w:p>
        </w:tc>
        <w:tc>
          <w:tcPr>
            <w:tcW w:w="2420" w:type="dxa"/>
            <w:vAlign w:val="bottom"/>
            <w:gridSpan w:val="21"/>
          </w:tcPr>
          <w:p>
            <w:pPr>
              <w:spacing w:after="0"/>
              <w:rPr>
                <w:sz w:val="11"/>
                <w:szCs w:val="11"/>
                <w:color w:val="auto"/>
              </w:rPr>
            </w:pPr>
          </w:p>
        </w:tc>
        <w:tc>
          <w:tcPr>
            <w:tcW w:w="360" w:type="dxa"/>
            <w:vAlign w:val="bottom"/>
          </w:tcPr>
          <w:p>
            <w:pPr>
              <w:jc w:val="right"/>
              <w:ind w:right="26"/>
              <w:spacing w:after="0" w:line="136" w:lineRule="exact"/>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62"/>
        </w:trPr>
        <w:tc>
          <w:tcPr>
            <w:tcW w:w="4840" w:type="dxa"/>
            <w:vAlign w:val="bottom"/>
            <w:gridSpan w:val="39"/>
          </w:tcPr>
          <w:p>
            <w:pPr>
              <w:spacing w:after="0" w:line="162" w:lineRule="exact"/>
              <w:rPr>
                <w:sz w:val="20"/>
                <w:szCs w:val="20"/>
                <w:color w:val="auto"/>
              </w:rPr>
            </w:pPr>
            <w:r>
              <w:rPr>
                <w:rFonts w:ascii="Arial" w:cs="Arial" w:eastAsia="Arial" w:hAnsi="Arial"/>
                <w:sz w:val="15"/>
                <w:szCs w:val="15"/>
                <w:color w:val="0000EE"/>
              </w:rPr>
              <w:t>Grants of Plan-Based Awards 2023</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380" w:type="dxa"/>
            <w:vAlign w:val="bottom"/>
            <w:tcBorders>
              <w:bottom w:val="single" w:sz="8" w:color="0000EE"/>
            </w:tcBorders>
            <w:gridSpan w:val="25"/>
          </w:tcPr>
          <w:p>
            <w:pPr>
              <w:spacing w:after="0" w:line="162" w:lineRule="exact"/>
              <w:rPr>
                <w:sz w:val="20"/>
                <w:szCs w:val="20"/>
                <w:color w:val="auto"/>
              </w:rPr>
            </w:pPr>
            <w:r>
              <w:rPr>
                <w:rFonts w:ascii="Arial" w:cs="Arial" w:eastAsia="Arial" w:hAnsi="Arial"/>
                <w:sz w:val="15"/>
                <w:szCs w:val="15"/>
                <w:color w:val="0000EE"/>
                <w:w w:val="97"/>
              </w:rPr>
              <w:t>Outstanding Equity Awards at Fiscal Year End 2023</w:t>
            </w:r>
          </w:p>
        </w:tc>
        <w:tc>
          <w:tcPr>
            <w:tcW w:w="1460" w:type="dxa"/>
            <w:vAlign w:val="bottom"/>
            <w:gridSpan w:val="14"/>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62"/>
        </w:trPr>
        <w:tc>
          <w:tcPr>
            <w:tcW w:w="4840" w:type="dxa"/>
            <w:vAlign w:val="bottom"/>
            <w:gridSpan w:val="39"/>
          </w:tcPr>
          <w:p>
            <w:pPr>
              <w:spacing w:after="0" w:line="162" w:lineRule="exact"/>
              <w:rPr>
                <w:sz w:val="20"/>
                <w:szCs w:val="20"/>
                <w:color w:val="auto"/>
              </w:rPr>
            </w:pPr>
            <w:r>
              <w:rPr>
                <w:rFonts w:ascii="Arial" w:cs="Arial" w:eastAsia="Arial" w:hAnsi="Arial"/>
                <w:sz w:val="15"/>
                <w:szCs w:val="15"/>
                <w:color w:val="0000EE"/>
              </w:rPr>
              <w:t>Option Exercises and Stock Vested 2023</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840" w:type="dxa"/>
            <w:vAlign w:val="bottom"/>
            <w:gridSpan w:val="39"/>
          </w:tcPr>
          <w:p>
            <w:pPr>
              <w:spacing w:after="0" w:line="162" w:lineRule="exact"/>
              <w:rPr>
                <w:sz w:val="20"/>
                <w:szCs w:val="20"/>
                <w:color w:val="auto"/>
              </w:rPr>
            </w:pPr>
            <w:r>
              <w:rPr>
                <w:rFonts w:ascii="Arial" w:cs="Arial" w:eastAsia="Arial" w:hAnsi="Arial"/>
                <w:sz w:val="15"/>
                <w:szCs w:val="15"/>
                <w:color w:val="0000EE"/>
              </w:rPr>
              <w:t>Nonqualified Deferred Compensation 2023</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240" w:type="dxa"/>
            <w:vAlign w:val="bottom"/>
            <w:tcBorders>
              <w:bottom w:val="single" w:sz="8" w:color="0000EE"/>
            </w:tcBorders>
            <w:gridSpan w:val="33"/>
          </w:tcPr>
          <w:p>
            <w:pPr>
              <w:spacing w:after="0" w:line="162" w:lineRule="exact"/>
              <w:rPr>
                <w:sz w:val="20"/>
                <w:szCs w:val="20"/>
                <w:color w:val="auto"/>
              </w:rPr>
            </w:pPr>
            <w:r>
              <w:rPr>
                <w:rFonts w:ascii="Arial" w:cs="Arial" w:eastAsia="Arial" w:hAnsi="Arial"/>
                <w:sz w:val="15"/>
                <w:szCs w:val="15"/>
                <w:color w:val="0000EE"/>
                <w:w w:val="97"/>
              </w:rPr>
              <w:t>Potential Payments Upon Termination or Change In Control 2023</w:t>
            </w:r>
          </w:p>
        </w:tc>
        <w:tc>
          <w:tcPr>
            <w:tcW w:w="600" w:type="dxa"/>
            <w:vAlign w:val="bottom"/>
            <w:gridSpan w:val="6"/>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Summary of Potential Payments</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4600" w:type="dxa"/>
            <w:vAlign w:val="bottom"/>
            <w:gridSpan w:val="38"/>
          </w:tcPr>
          <w:p>
            <w:pPr>
              <w:spacing w:after="0" w:line="162" w:lineRule="exact"/>
              <w:rPr>
                <w:sz w:val="20"/>
                <w:szCs w:val="20"/>
                <w:color w:val="auto"/>
              </w:rPr>
            </w:pPr>
            <w:r>
              <w:rPr>
                <w:rFonts w:ascii="Arial" w:cs="Arial" w:eastAsia="Arial" w:hAnsi="Arial"/>
                <w:sz w:val="15"/>
                <w:szCs w:val="15"/>
                <w:color w:val="0000EE"/>
              </w:rPr>
              <w:t>Senior Executive Severance Plan</w:t>
            </w: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5"/>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40" w:type="dxa"/>
            <w:vAlign w:val="bottom"/>
          </w:tcPr>
          <w:p>
            <w:pPr>
              <w:spacing w:after="0"/>
              <w:rPr>
                <w:sz w:val="14"/>
                <w:szCs w:val="14"/>
                <w:color w:val="auto"/>
              </w:rPr>
            </w:pPr>
          </w:p>
        </w:tc>
        <w:tc>
          <w:tcPr>
            <w:tcW w:w="2740" w:type="dxa"/>
            <w:vAlign w:val="bottom"/>
            <w:tcBorders>
              <w:bottom w:val="single" w:sz="8" w:color="0000EE"/>
            </w:tcBorders>
            <w:gridSpan w:val="21"/>
          </w:tcPr>
          <w:p>
            <w:pPr>
              <w:spacing w:after="0" w:line="162" w:lineRule="exact"/>
              <w:rPr>
                <w:sz w:val="20"/>
                <w:szCs w:val="20"/>
                <w:color w:val="auto"/>
              </w:rPr>
            </w:pPr>
            <w:r>
              <w:rPr>
                <w:rFonts w:ascii="Arial" w:cs="Arial" w:eastAsia="Arial" w:hAnsi="Arial"/>
                <w:sz w:val="15"/>
                <w:szCs w:val="15"/>
                <w:color w:val="0000EE"/>
                <w:w w:val="96"/>
              </w:rPr>
              <w:t>Treatment of Long-Term Incentive Awards</w:t>
            </w:r>
          </w:p>
        </w:tc>
        <w:tc>
          <w:tcPr>
            <w:tcW w:w="1860" w:type="dxa"/>
            <w:vAlign w:val="bottom"/>
            <w:gridSpan w:val="17"/>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88"/>
        </w:trPr>
        <w:tc>
          <w:tcPr>
            <w:tcW w:w="4840" w:type="dxa"/>
            <w:vAlign w:val="bottom"/>
            <w:gridSpan w:val="39"/>
          </w:tcPr>
          <w:p>
            <w:pPr>
              <w:spacing w:after="0"/>
              <w:rPr>
                <w:sz w:val="20"/>
                <w:szCs w:val="20"/>
                <w:color w:val="auto"/>
              </w:rPr>
            </w:pPr>
            <w:r>
              <w:rPr>
                <w:rFonts w:ascii="Arial" w:cs="Arial" w:eastAsia="Arial" w:hAnsi="Arial"/>
                <w:sz w:val="15"/>
                <w:szCs w:val="15"/>
                <w:b w:val="1"/>
                <w:bCs w:val="1"/>
                <w:color w:val="0000EE"/>
              </w:rPr>
              <w:t>CEO Pay Ratio</w:t>
            </w:r>
          </w:p>
        </w:tc>
        <w:tc>
          <w:tcPr>
            <w:tcW w:w="360" w:type="dxa"/>
            <w:vAlign w:val="bottom"/>
          </w:tcPr>
          <w:p>
            <w:pPr>
              <w:jc w:val="right"/>
              <w:ind w:right="26"/>
              <w:spacing w:after="0"/>
              <w:rPr>
                <w:sz w:val="20"/>
                <w:szCs w:val="20"/>
                <w:color w:val="auto"/>
              </w:rPr>
            </w:pPr>
            <w:r>
              <w:rPr>
                <w:rFonts w:ascii="Arial" w:cs="Arial" w:eastAsia="Arial" w:hAnsi="Arial"/>
                <w:sz w:val="15"/>
                <w:szCs w:val="15"/>
                <w:b w:val="1"/>
                <w:bCs w:val="1"/>
                <w:color w:val="0A9E50"/>
              </w:rPr>
              <w:t>73</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40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3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840" w:type="dxa"/>
            <w:vAlign w:val="bottom"/>
            <w:gridSpan w:val="39"/>
          </w:tcPr>
          <w:p>
            <w:pPr>
              <w:spacing w:after="0" w:line="149" w:lineRule="exact"/>
              <w:rPr>
                <w:sz w:val="20"/>
                <w:szCs w:val="20"/>
                <w:color w:val="auto"/>
              </w:rPr>
            </w:pPr>
            <w:r>
              <w:rPr>
                <w:rFonts w:ascii="Arial" w:cs="Arial" w:eastAsia="Arial" w:hAnsi="Arial"/>
                <w:sz w:val="15"/>
                <w:szCs w:val="15"/>
                <w:b w:val="1"/>
                <w:bCs w:val="1"/>
                <w:color w:val="0000EE"/>
              </w:rPr>
              <w:t>Pay vs. Performance</w:t>
            </w:r>
          </w:p>
        </w:tc>
        <w:tc>
          <w:tcPr>
            <w:tcW w:w="360" w:type="dxa"/>
            <w:vAlign w:val="bottom"/>
          </w:tcPr>
          <w:p>
            <w:pPr>
              <w:jc w:val="right"/>
              <w:ind w:right="26"/>
              <w:spacing w:after="0" w:line="149" w:lineRule="exact"/>
              <w:rPr>
                <w:sz w:val="20"/>
                <w:szCs w:val="20"/>
                <w:color w:val="auto"/>
              </w:rPr>
            </w:pPr>
            <w:r>
              <w:rPr>
                <w:rFonts w:ascii="Arial" w:cs="Arial" w:eastAsia="Arial" w:hAnsi="Arial"/>
                <w:sz w:val="15"/>
                <w:szCs w:val="15"/>
                <w:b w:val="1"/>
                <w:bCs w:val="1"/>
                <w:color w:val="0A9E50"/>
              </w:rPr>
              <w:t>74</w:t>
            </w: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40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840" w:type="dxa"/>
            <w:vAlign w:val="bottom"/>
            <w:gridSpan w:val="39"/>
          </w:tcPr>
          <w:p>
            <w:pPr>
              <w:spacing w:after="0" w:line="149" w:lineRule="exact"/>
              <w:rPr>
                <w:sz w:val="20"/>
                <w:szCs w:val="20"/>
                <w:color w:val="auto"/>
              </w:rPr>
            </w:pPr>
            <w:r>
              <w:rPr>
                <w:rFonts w:ascii="Arial" w:cs="Arial" w:eastAsia="Arial" w:hAnsi="Arial"/>
                <w:sz w:val="15"/>
                <w:szCs w:val="15"/>
                <w:b w:val="1"/>
                <w:bCs w:val="1"/>
                <w:color w:val="0000EE"/>
              </w:rPr>
              <w:t>Proposal 3: Amendment of the Company’s Restated Certificate of</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560" w:type="dxa"/>
            <w:vAlign w:val="bottom"/>
            <w:tcBorders>
              <w:top w:val="single" w:sz="8" w:color="0000EE"/>
              <w:bottom w:val="single" w:sz="8" w:color="0000EE"/>
            </w:tcBorders>
            <w:gridSpan w:val="36"/>
          </w:tcPr>
          <w:p>
            <w:pPr>
              <w:spacing w:after="0" w:line="136" w:lineRule="exact"/>
              <w:rPr>
                <w:sz w:val="20"/>
                <w:szCs w:val="20"/>
                <w:color w:val="auto"/>
              </w:rPr>
            </w:pPr>
            <w:r>
              <w:rPr>
                <w:rFonts w:ascii="Arial" w:cs="Arial" w:eastAsia="Arial" w:hAnsi="Arial"/>
                <w:sz w:val="15"/>
                <w:szCs w:val="15"/>
                <w:b w:val="1"/>
                <w:bCs w:val="1"/>
                <w:color w:val="0000EE"/>
                <w:w w:val="94"/>
              </w:rPr>
              <w:t>Incorporation to reflect updated Delaware law provisions permitting</w:t>
            </w:r>
          </w:p>
        </w:tc>
        <w:tc>
          <w:tcPr>
            <w:tcW w:w="16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0A9E50"/>
              </w:rPr>
              <w:t>77</w:t>
            </w:r>
          </w:p>
        </w:tc>
        <w:tc>
          <w:tcPr>
            <w:tcW w:w="0" w:type="dxa"/>
            <w:vAlign w:val="bottom"/>
          </w:tcPr>
          <w:p>
            <w:pPr>
              <w:spacing w:after="0"/>
              <w:rPr>
                <w:sz w:val="1"/>
                <w:szCs w:val="1"/>
                <w:color w:val="auto"/>
              </w:rPr>
            </w:pPr>
          </w:p>
        </w:tc>
      </w:tr>
      <w:tr>
        <w:trPr>
          <w:trHeight w:val="136"/>
        </w:trPr>
        <w:tc>
          <w:tcPr>
            <w:tcW w:w="4740" w:type="dxa"/>
            <w:vAlign w:val="bottom"/>
            <w:gridSpan w:val="38"/>
          </w:tcPr>
          <w:p>
            <w:pPr>
              <w:spacing w:after="0" w:line="136" w:lineRule="exact"/>
              <w:rPr>
                <w:sz w:val="20"/>
                <w:szCs w:val="20"/>
                <w:color w:val="auto"/>
              </w:rPr>
            </w:pPr>
            <w:r>
              <w:rPr>
                <w:rFonts w:ascii="Arial" w:cs="Arial" w:eastAsia="Arial" w:hAnsi="Arial"/>
                <w:sz w:val="15"/>
                <w:szCs w:val="15"/>
                <w:b w:val="1"/>
                <w:bCs w:val="1"/>
                <w:color w:val="0000EE"/>
              </w:rPr>
              <w:t>officer exculpation</w:t>
            </w:r>
          </w:p>
        </w:tc>
        <w:tc>
          <w:tcPr>
            <w:tcW w:w="1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40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840" w:type="dxa"/>
            <w:vAlign w:val="bottom"/>
            <w:gridSpan w:val="39"/>
          </w:tcPr>
          <w:p>
            <w:pPr>
              <w:spacing w:after="0" w:line="149" w:lineRule="exact"/>
              <w:rPr>
                <w:sz w:val="20"/>
                <w:szCs w:val="20"/>
                <w:color w:val="auto"/>
              </w:rPr>
            </w:pPr>
            <w:r>
              <w:rPr>
                <w:rFonts w:ascii="Arial" w:cs="Arial" w:eastAsia="Arial" w:hAnsi="Arial"/>
                <w:sz w:val="15"/>
                <w:szCs w:val="15"/>
                <w:b w:val="1"/>
                <w:bCs w:val="1"/>
                <w:color w:val="0000EE"/>
              </w:rPr>
              <w:t>Proposal 4: Ratification of the Appointment of</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240" w:type="dxa"/>
            <w:vAlign w:val="bottom"/>
            <w:tcBorders>
              <w:top w:val="single" w:sz="8" w:color="0000EE"/>
            </w:tcBorders>
            <w:gridSpan w:val="23"/>
          </w:tcPr>
          <w:p>
            <w:pPr>
              <w:spacing w:after="0" w:line="136" w:lineRule="exact"/>
              <w:rPr>
                <w:sz w:val="20"/>
                <w:szCs w:val="20"/>
                <w:color w:val="auto"/>
              </w:rPr>
            </w:pPr>
            <w:r>
              <w:rPr>
                <w:rFonts w:ascii="Arial" w:cs="Arial" w:eastAsia="Arial" w:hAnsi="Arial"/>
                <w:sz w:val="15"/>
                <w:szCs w:val="15"/>
                <w:b w:val="1"/>
                <w:bCs w:val="1"/>
                <w:color w:val="0000EE"/>
                <w:w w:val="92"/>
              </w:rPr>
              <w:t>PricewaterhouseCoopers LLP as the Company’s</w:t>
            </w:r>
          </w:p>
        </w:tc>
        <w:tc>
          <w:tcPr>
            <w:tcW w:w="1600" w:type="dxa"/>
            <w:vAlign w:val="bottom"/>
            <w:gridSpan w:val="16"/>
          </w:tcPr>
          <w:p>
            <w:pPr>
              <w:ind w:left="180"/>
              <w:spacing w:after="0" w:line="136" w:lineRule="exact"/>
              <w:rPr>
                <w:sz w:val="20"/>
                <w:szCs w:val="20"/>
                <w:color w:val="auto"/>
              </w:rPr>
            </w:pPr>
            <w:r>
              <w:rPr>
                <w:rFonts w:ascii="Arial" w:cs="Arial" w:eastAsia="Arial" w:hAnsi="Arial"/>
                <w:sz w:val="15"/>
                <w:szCs w:val="15"/>
                <w:b w:val="1"/>
                <w:bCs w:val="1"/>
                <w:color w:val="0000EE"/>
              </w:rPr>
              <w:t>Independent</w:t>
            </w:r>
          </w:p>
        </w:tc>
        <w:tc>
          <w:tcPr>
            <w:tcW w:w="36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0A9E50"/>
              </w:rPr>
              <w:t>79</w:t>
            </w:r>
          </w:p>
        </w:tc>
        <w:tc>
          <w:tcPr>
            <w:tcW w:w="0" w:type="dxa"/>
            <w:vAlign w:val="bottom"/>
          </w:tcPr>
          <w:p>
            <w:pPr>
              <w:spacing w:after="0"/>
              <w:rPr>
                <w:sz w:val="1"/>
                <w:szCs w:val="1"/>
                <w:color w:val="auto"/>
              </w:rPr>
            </w:pPr>
          </w:p>
        </w:tc>
      </w:tr>
      <w:tr>
        <w:trPr>
          <w:trHeight w:val="136"/>
        </w:trPr>
        <w:tc>
          <w:tcPr>
            <w:tcW w:w="4300" w:type="dxa"/>
            <w:vAlign w:val="bottom"/>
            <w:tcBorders>
              <w:top w:val="single" w:sz="8" w:color="0000EE"/>
            </w:tcBorders>
            <w:gridSpan w:val="34"/>
          </w:tcPr>
          <w:p>
            <w:pPr>
              <w:spacing w:after="0" w:line="136" w:lineRule="exact"/>
              <w:rPr>
                <w:sz w:val="20"/>
                <w:szCs w:val="20"/>
                <w:color w:val="auto"/>
              </w:rPr>
            </w:pPr>
            <w:r>
              <w:rPr>
                <w:rFonts w:ascii="Arial" w:cs="Arial" w:eastAsia="Arial" w:hAnsi="Arial"/>
                <w:sz w:val="15"/>
                <w:szCs w:val="15"/>
                <w:b w:val="1"/>
                <w:bCs w:val="1"/>
                <w:color w:val="0000EE"/>
              </w:rPr>
              <w:t>Registered Public Accounting Firm for the 2024 Fiscal Year</w:t>
            </w:r>
          </w:p>
        </w:tc>
        <w:tc>
          <w:tcPr>
            <w:tcW w:w="420" w:type="dxa"/>
            <w:vAlign w:val="bottom"/>
            <w:gridSpan w:val="3"/>
          </w:tcPr>
          <w:p>
            <w:pPr>
              <w:spacing w:after="0"/>
              <w:rPr>
                <w:sz w:val="11"/>
                <w:szCs w:val="11"/>
                <w:color w:val="auto"/>
              </w:rPr>
            </w:pPr>
          </w:p>
        </w:tc>
        <w:tc>
          <w:tcPr>
            <w:tcW w:w="120" w:type="dxa"/>
            <w:vAlign w:val="bottom"/>
            <w:gridSpan w:val="2"/>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40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260" w:type="dxa"/>
            <w:vAlign w:val="bottom"/>
            <w:tcBorders>
              <w:top w:val="single" w:sz="8" w:color="0000EE"/>
              <w:bottom w:val="single" w:sz="8" w:color="0A9E50"/>
            </w:tcBorders>
          </w:tcPr>
          <w:p>
            <w:pPr>
              <w:spacing w:after="0"/>
              <w:rPr>
                <w:sz w:val="5"/>
                <w:szCs w:val="5"/>
                <w:color w:val="auto"/>
              </w:rPr>
            </w:pPr>
          </w:p>
        </w:tc>
        <w:tc>
          <w:tcPr>
            <w:tcW w:w="10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120" w:type="dxa"/>
            <w:vAlign w:val="bottom"/>
            <w:tcBorders>
              <w:top w:val="single" w:sz="8" w:color="0000EE"/>
              <w:bottom w:val="single" w:sz="8" w:color="0A9E50"/>
            </w:tcBorders>
          </w:tcPr>
          <w:p>
            <w:pPr>
              <w:spacing w:after="0"/>
              <w:rPr>
                <w:sz w:val="5"/>
                <w:szCs w:val="5"/>
                <w:color w:val="auto"/>
              </w:rPr>
            </w:pPr>
          </w:p>
        </w:tc>
        <w:tc>
          <w:tcPr>
            <w:tcW w:w="200" w:type="dxa"/>
            <w:vAlign w:val="bottom"/>
            <w:tcBorders>
              <w:top w:val="single" w:sz="8" w:color="0000EE"/>
              <w:bottom w:val="single" w:sz="8" w:color="0A9E50"/>
            </w:tcBorders>
          </w:tcPr>
          <w:p>
            <w:pPr>
              <w:spacing w:after="0"/>
              <w:rPr>
                <w:sz w:val="5"/>
                <w:szCs w:val="5"/>
                <w:color w:val="auto"/>
              </w:rPr>
            </w:pPr>
          </w:p>
        </w:tc>
        <w:tc>
          <w:tcPr>
            <w:tcW w:w="26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60" w:type="dxa"/>
            <w:vAlign w:val="bottom"/>
            <w:tcBorders>
              <w:top w:val="single" w:sz="8" w:color="0000EE"/>
              <w:bottom w:val="single" w:sz="8" w:color="0A9E50"/>
            </w:tcBorders>
          </w:tcPr>
          <w:p>
            <w:pPr>
              <w:spacing w:after="0"/>
              <w:rPr>
                <w:sz w:val="5"/>
                <w:szCs w:val="5"/>
                <w:color w:val="auto"/>
              </w:rPr>
            </w:pPr>
          </w:p>
        </w:tc>
        <w:tc>
          <w:tcPr>
            <w:tcW w:w="180" w:type="dxa"/>
            <w:vAlign w:val="bottom"/>
            <w:tcBorders>
              <w:top w:val="single" w:sz="8" w:color="0000EE"/>
              <w:bottom w:val="single" w:sz="8" w:color="0A9E50"/>
            </w:tcBorders>
          </w:tcPr>
          <w:p>
            <w:pPr>
              <w:spacing w:after="0"/>
              <w:rPr>
                <w:sz w:val="5"/>
                <w:szCs w:val="5"/>
                <w:color w:val="auto"/>
              </w:rPr>
            </w:pPr>
          </w:p>
        </w:tc>
        <w:tc>
          <w:tcPr>
            <w:tcW w:w="40" w:type="dxa"/>
            <w:vAlign w:val="bottom"/>
            <w:tcBorders>
              <w:top w:val="single" w:sz="8" w:color="0000EE"/>
              <w:bottom w:val="single" w:sz="8" w:color="0A9E50"/>
            </w:tcBorders>
          </w:tcPr>
          <w:p>
            <w:pPr>
              <w:spacing w:after="0"/>
              <w:rPr>
                <w:sz w:val="5"/>
                <w:szCs w:val="5"/>
                <w:color w:val="auto"/>
              </w:rPr>
            </w:pPr>
          </w:p>
        </w:tc>
        <w:tc>
          <w:tcPr>
            <w:tcW w:w="80" w:type="dxa"/>
            <w:vAlign w:val="bottom"/>
            <w:tcBorders>
              <w:top w:val="single" w:sz="8" w:color="0000EE"/>
              <w:bottom w:val="single" w:sz="8" w:color="0A9E50"/>
            </w:tcBorders>
          </w:tcPr>
          <w:p>
            <w:pPr>
              <w:spacing w:after="0"/>
              <w:rPr>
                <w:sz w:val="5"/>
                <w:szCs w:val="5"/>
                <w:color w:val="auto"/>
              </w:rPr>
            </w:pPr>
          </w:p>
        </w:tc>
        <w:tc>
          <w:tcPr>
            <w:tcW w:w="120" w:type="dxa"/>
            <w:vAlign w:val="bottom"/>
            <w:tcBorders>
              <w:top w:val="single" w:sz="8" w:color="0000EE"/>
              <w:bottom w:val="single" w:sz="8" w:color="0A9E50"/>
            </w:tcBorders>
          </w:tcPr>
          <w:p>
            <w:pPr>
              <w:spacing w:after="0"/>
              <w:rPr>
                <w:sz w:val="5"/>
                <w:szCs w:val="5"/>
                <w:color w:val="auto"/>
              </w:rPr>
            </w:pPr>
          </w:p>
        </w:tc>
        <w:tc>
          <w:tcPr>
            <w:tcW w:w="140" w:type="dxa"/>
            <w:vAlign w:val="bottom"/>
            <w:tcBorders>
              <w:top w:val="single" w:sz="8" w:color="0000EE"/>
              <w:bottom w:val="single" w:sz="8" w:color="0A9E50"/>
            </w:tcBorders>
          </w:tcPr>
          <w:p>
            <w:pPr>
              <w:spacing w:after="0"/>
              <w:rPr>
                <w:sz w:val="5"/>
                <w:szCs w:val="5"/>
                <w:color w:val="auto"/>
              </w:rPr>
            </w:pPr>
          </w:p>
        </w:tc>
        <w:tc>
          <w:tcPr>
            <w:tcW w:w="20" w:type="dxa"/>
            <w:vAlign w:val="bottom"/>
            <w:tcBorders>
              <w:top w:val="single" w:sz="8" w:color="0000EE"/>
              <w:bottom w:val="single" w:sz="8" w:color="0A9E50"/>
            </w:tcBorders>
          </w:tcPr>
          <w:p>
            <w:pPr>
              <w:spacing w:after="0"/>
              <w:rPr>
                <w:sz w:val="5"/>
                <w:szCs w:val="5"/>
                <w:color w:val="auto"/>
              </w:rPr>
            </w:pPr>
          </w:p>
        </w:tc>
        <w:tc>
          <w:tcPr>
            <w:tcW w:w="240" w:type="dxa"/>
            <w:vAlign w:val="bottom"/>
            <w:tcBorders>
              <w:top w:val="single" w:sz="8" w:color="0000EE"/>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4840" w:type="dxa"/>
            <w:vAlign w:val="bottom"/>
            <w:gridSpan w:val="39"/>
          </w:tcPr>
          <w:p>
            <w:pPr>
              <w:spacing w:after="0" w:line="136" w:lineRule="exact"/>
              <w:rPr>
                <w:sz w:val="20"/>
                <w:szCs w:val="20"/>
                <w:color w:val="auto"/>
              </w:rPr>
            </w:pPr>
            <w:r>
              <w:rPr>
                <w:rFonts w:ascii="Arial" w:cs="Arial" w:eastAsia="Arial" w:hAnsi="Arial"/>
                <w:sz w:val="15"/>
                <w:szCs w:val="15"/>
                <w:color w:val="0000EE"/>
              </w:rPr>
              <w:t>Audit and Non-Audit Fees</w:t>
            </w:r>
          </w:p>
        </w:tc>
        <w:tc>
          <w:tcPr>
            <w:tcW w:w="360" w:type="dxa"/>
            <w:vAlign w:val="bottom"/>
          </w:tcPr>
          <w:p>
            <w:pPr>
              <w:jc w:val="right"/>
              <w:ind w:right="26"/>
              <w:spacing w:after="0" w:line="136" w:lineRule="exact"/>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740" w:type="dxa"/>
            <w:vAlign w:val="bottom"/>
            <w:gridSpan w:val="2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980" w:type="dxa"/>
            <w:vAlign w:val="bottom"/>
            <w:tcBorders>
              <w:bottom w:val="single" w:sz="8" w:color="0000EE"/>
            </w:tcBorders>
            <w:gridSpan w:val="13"/>
          </w:tcPr>
          <w:p>
            <w:pPr>
              <w:spacing w:after="0" w:line="162" w:lineRule="exact"/>
              <w:rPr>
                <w:sz w:val="20"/>
                <w:szCs w:val="20"/>
                <w:color w:val="auto"/>
              </w:rPr>
            </w:pPr>
            <w:r>
              <w:rPr>
                <w:rFonts w:ascii="Arial" w:cs="Arial" w:eastAsia="Arial" w:hAnsi="Arial"/>
                <w:sz w:val="15"/>
                <w:szCs w:val="15"/>
                <w:color w:val="0000EE"/>
                <w:w w:val="97"/>
              </w:rPr>
              <w:t>Report of the Audit Committee</w:t>
            </w:r>
          </w:p>
        </w:tc>
        <w:tc>
          <w:tcPr>
            <w:tcW w:w="2860" w:type="dxa"/>
            <w:vAlign w:val="bottom"/>
            <w:gridSpan w:val="26"/>
          </w:tcPr>
          <w:p>
            <w:pPr>
              <w:spacing w:after="0"/>
              <w:rPr>
                <w:sz w:val="14"/>
                <w:szCs w:val="14"/>
                <w:color w:val="auto"/>
              </w:rPr>
            </w:pPr>
          </w:p>
        </w:tc>
        <w:tc>
          <w:tcPr>
            <w:tcW w:w="360" w:type="dxa"/>
            <w:vAlign w:val="bottom"/>
          </w:tcPr>
          <w:p>
            <w:pPr>
              <w:jc w:val="right"/>
              <w:ind w:right="26"/>
              <w:spacing w:after="0" w:line="162" w:lineRule="exact"/>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88"/>
        </w:trPr>
        <w:tc>
          <w:tcPr>
            <w:tcW w:w="4840" w:type="dxa"/>
            <w:vAlign w:val="bottom"/>
            <w:gridSpan w:val="39"/>
          </w:tcPr>
          <w:p>
            <w:pPr>
              <w:spacing w:after="0"/>
              <w:rPr>
                <w:sz w:val="20"/>
                <w:szCs w:val="20"/>
                <w:color w:val="auto"/>
              </w:rPr>
            </w:pPr>
            <w:r>
              <w:rPr>
                <w:rFonts w:ascii="Arial" w:cs="Arial" w:eastAsia="Arial" w:hAnsi="Arial"/>
                <w:sz w:val="15"/>
                <w:szCs w:val="15"/>
                <w:b w:val="1"/>
                <w:bCs w:val="1"/>
                <w:color w:val="0000EE"/>
              </w:rPr>
              <w:t>Questions and Answers About the Proxy Statement and the Annual</w:t>
            </w:r>
          </w:p>
        </w:tc>
        <w:tc>
          <w:tcPr>
            <w:tcW w:w="36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0A9E50"/>
              </w:rPr>
              <w:t>81</w:t>
            </w:r>
          </w:p>
        </w:tc>
        <w:tc>
          <w:tcPr>
            <w:tcW w:w="0" w:type="dxa"/>
            <w:vAlign w:val="bottom"/>
          </w:tcPr>
          <w:p>
            <w:pPr>
              <w:spacing w:after="0"/>
              <w:rPr>
                <w:sz w:val="1"/>
                <w:szCs w:val="1"/>
                <w:color w:val="auto"/>
              </w:rPr>
            </w:pPr>
          </w:p>
        </w:tc>
      </w:tr>
      <w:tr>
        <w:trPr>
          <w:trHeight w:val="136"/>
        </w:trPr>
        <w:tc>
          <w:tcPr>
            <w:tcW w:w="4720" w:type="dxa"/>
            <w:vAlign w:val="bottom"/>
            <w:tcBorders>
              <w:top w:val="single" w:sz="8" w:color="0000EE"/>
            </w:tcBorders>
            <w:gridSpan w:val="37"/>
          </w:tcPr>
          <w:p>
            <w:pPr>
              <w:spacing w:after="0" w:line="136" w:lineRule="exact"/>
              <w:rPr>
                <w:sz w:val="20"/>
                <w:szCs w:val="20"/>
                <w:color w:val="auto"/>
              </w:rPr>
            </w:pPr>
            <w:r>
              <w:rPr>
                <w:rFonts w:ascii="Arial" w:cs="Arial" w:eastAsia="Arial" w:hAnsi="Arial"/>
                <w:sz w:val="15"/>
                <w:szCs w:val="15"/>
                <w:b w:val="1"/>
                <w:bCs w:val="1"/>
                <w:color w:val="0000EE"/>
              </w:rPr>
              <w:t>Meeting</w:t>
            </w:r>
          </w:p>
        </w:tc>
        <w:tc>
          <w:tcPr>
            <w:tcW w:w="120" w:type="dxa"/>
            <w:vAlign w:val="bottom"/>
            <w:gridSpan w:val="2"/>
          </w:tcPr>
          <w:p>
            <w:pPr>
              <w:spacing w:after="0"/>
              <w:rPr>
                <w:sz w:val="11"/>
                <w:szCs w:val="11"/>
                <w:color w:val="auto"/>
              </w:rPr>
            </w:pPr>
          </w:p>
        </w:tc>
        <w:tc>
          <w:tcPr>
            <w:tcW w:w="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240" w:type="dxa"/>
            <w:vAlign w:val="bottom"/>
            <w:tcBorders>
              <w:top w:val="single" w:sz="8" w:color="0000EE"/>
              <w:bottom w:val="single" w:sz="8" w:color="0A9E50"/>
            </w:tcBorders>
          </w:tcPr>
          <w:p>
            <w:pPr>
              <w:spacing w:after="0"/>
              <w:rPr>
                <w:sz w:val="5"/>
                <w:szCs w:val="5"/>
                <w:color w:val="auto"/>
              </w:rPr>
            </w:pPr>
          </w:p>
        </w:tc>
        <w:tc>
          <w:tcPr>
            <w:tcW w:w="320" w:type="dxa"/>
            <w:vAlign w:val="bottom"/>
            <w:tcBorders>
              <w:top w:val="single" w:sz="8" w:color="0000EE"/>
              <w:bottom w:val="single" w:sz="8" w:color="0A9E50"/>
            </w:tcBorders>
          </w:tcPr>
          <w:p>
            <w:pPr>
              <w:spacing w:after="0"/>
              <w:rPr>
                <w:sz w:val="5"/>
                <w:szCs w:val="5"/>
                <w:color w:val="auto"/>
              </w:rPr>
            </w:pPr>
          </w:p>
        </w:tc>
        <w:tc>
          <w:tcPr>
            <w:tcW w:w="40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32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200" w:type="dxa"/>
            <w:vAlign w:val="bottom"/>
            <w:tcBorders>
              <w:bottom w:val="single" w:sz="8" w:color="0A9E50"/>
            </w:tcBorders>
          </w:tcPr>
          <w:p>
            <w:pPr>
              <w:spacing w:after="0"/>
              <w:rPr>
                <w:sz w:val="5"/>
                <w:szCs w:val="5"/>
                <w:color w:val="auto"/>
              </w:rPr>
            </w:pPr>
          </w:p>
        </w:tc>
        <w:tc>
          <w:tcPr>
            <w:tcW w:w="26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18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80" w:type="dxa"/>
            <w:vAlign w:val="bottom"/>
            <w:tcBorders>
              <w:bottom w:val="single" w:sz="8" w:color="0A9E50"/>
            </w:tcBorders>
          </w:tcPr>
          <w:p>
            <w:pPr>
              <w:spacing w:after="0"/>
              <w:rPr>
                <w:sz w:val="5"/>
                <w:szCs w:val="5"/>
                <w:color w:val="auto"/>
              </w:rPr>
            </w:pPr>
          </w:p>
        </w:tc>
        <w:tc>
          <w:tcPr>
            <w:tcW w:w="120" w:type="dxa"/>
            <w:vAlign w:val="bottom"/>
            <w:tcBorders>
              <w:bottom w:val="single" w:sz="8" w:color="0A9E50"/>
            </w:tcBorders>
          </w:tcPr>
          <w:p>
            <w:pPr>
              <w:spacing w:after="0"/>
              <w:rPr>
                <w:sz w:val="5"/>
                <w:szCs w:val="5"/>
                <w:color w:val="auto"/>
              </w:rPr>
            </w:pPr>
          </w:p>
        </w:tc>
        <w:tc>
          <w:tcPr>
            <w:tcW w:w="14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40" w:type="dxa"/>
            <w:vAlign w:val="bottom"/>
            <w:tcBorders>
              <w:bottom w:val="single" w:sz="8" w:color="0A9E50"/>
            </w:tcBorders>
          </w:tcPr>
          <w:p>
            <w:pPr>
              <w:spacing w:after="0"/>
              <w:rPr>
                <w:sz w:val="5"/>
                <w:szCs w:val="5"/>
                <w:color w:val="auto"/>
              </w:rPr>
            </w:pPr>
          </w:p>
        </w:tc>
        <w:tc>
          <w:tcPr>
            <w:tcW w:w="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240" w:type="dxa"/>
            <w:vAlign w:val="bottom"/>
            <w:tcBorders>
              <w:bottom w:val="single" w:sz="8" w:color="0A9E50"/>
            </w:tcBorders>
          </w:tcPr>
          <w:p>
            <w:pPr>
              <w:spacing w:after="0"/>
              <w:rPr>
                <w:sz w:val="5"/>
                <w:szCs w:val="5"/>
                <w:color w:val="auto"/>
              </w:rPr>
            </w:pPr>
          </w:p>
        </w:tc>
        <w:tc>
          <w:tcPr>
            <w:tcW w:w="160" w:type="dxa"/>
            <w:vAlign w:val="bottom"/>
            <w:tcBorders>
              <w:bottom w:val="single" w:sz="8" w:color="0A9E50"/>
            </w:tcBorders>
          </w:tcPr>
          <w:p>
            <w:pPr>
              <w:spacing w:after="0"/>
              <w:rPr>
                <w:sz w:val="5"/>
                <w:szCs w:val="5"/>
                <w:color w:val="auto"/>
              </w:rPr>
            </w:pPr>
          </w:p>
        </w:tc>
        <w:tc>
          <w:tcPr>
            <w:tcW w:w="20" w:type="dxa"/>
            <w:vAlign w:val="bottom"/>
            <w:tcBorders>
              <w:bottom w:val="single" w:sz="8" w:color="0A9E50"/>
            </w:tcBorders>
          </w:tcPr>
          <w:p>
            <w:pPr>
              <w:spacing w:after="0"/>
              <w:rPr>
                <w:sz w:val="5"/>
                <w:szCs w:val="5"/>
                <w:color w:val="auto"/>
              </w:rPr>
            </w:pPr>
          </w:p>
        </w:tc>
        <w:tc>
          <w:tcPr>
            <w:tcW w:w="100" w:type="dxa"/>
            <w:vAlign w:val="bottom"/>
            <w:tcBorders>
              <w:bottom w:val="single" w:sz="8" w:color="0A9E50"/>
            </w:tcBorders>
          </w:tcPr>
          <w:p>
            <w:pPr>
              <w:spacing w:after="0"/>
              <w:rPr>
                <w:sz w:val="5"/>
                <w:szCs w:val="5"/>
                <w:color w:val="auto"/>
              </w:rPr>
            </w:pPr>
          </w:p>
        </w:tc>
        <w:tc>
          <w:tcPr>
            <w:tcW w:w="360" w:type="dxa"/>
            <w:vAlign w:val="bottom"/>
            <w:tcBorders>
              <w:bottom w:val="single" w:sz="8" w:color="0A9E5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-6087745</wp:posOffset>
            </wp:positionV>
            <wp:extent cx="7179310" cy="53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p>
    <w:p>
      <w:pPr>
        <w:sectPr>
          <w:pgSz w:w="11900" w:h="16838" w:orient="portrait"/>
          <w:cols w:equalWidth="0" w:num="2">
            <w:col w:w="5080" w:space="340"/>
            <w:col w:w="5200"/>
          </w:cols>
          <w:pgMar w:left="640" w:top="280" w:right="639" w:bottom="1440" w:gutter="0" w:footer="0" w:header="0"/>
        </w:sectPr>
      </w:pPr>
    </w:p>
    <w:bookmarkStart w:id="6" w:name="page7"/>
    <w:bookmarkEnd w:id="6"/>
    <w:p>
      <w:pP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Proxy Summary</w:t>
      </w:r>
    </w:p>
    <w:p>
      <w:pPr>
        <w:spacing w:after="0" w:line="33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This summary highlights information contained elsewhere in this Proxy Statement. Please refer to the complete Proxy Statement and Kelly’s 2023 Annual Report before you vote.</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2024 Annual Meeting of Shareholders Details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780" w:type="dxa"/>
            <w:vAlign w:val="bottom"/>
            <w:vMerge w:val="restart"/>
          </w:tcPr>
          <w:p>
            <w:pPr>
              <w:spacing w:after="0"/>
              <w:rPr>
                <w:sz w:val="20"/>
                <w:szCs w:val="20"/>
                <w:color w:val="auto"/>
              </w:rPr>
            </w:pPr>
            <w:r>
              <w:rPr>
                <w:rFonts w:ascii="Arial" w:cs="Arial" w:eastAsia="Arial" w:hAnsi="Arial"/>
                <w:sz w:val="16"/>
                <w:szCs w:val="16"/>
                <w:color w:val="auto"/>
              </w:rPr>
              <w:t> </w:t>
            </w:r>
          </w:p>
        </w:tc>
        <w:tc>
          <w:tcPr>
            <w:tcW w:w="1860" w:type="dxa"/>
            <w:vAlign w:val="bottom"/>
          </w:tcPr>
          <w:p>
            <w:pPr>
              <w:ind w:left="1740"/>
              <w:spacing w:after="0"/>
              <w:rPr>
                <w:sz w:val="20"/>
                <w:szCs w:val="20"/>
                <w:color w:val="auto"/>
              </w:rPr>
            </w:pPr>
            <w:r>
              <w:rPr>
                <w:rFonts w:ascii="Arial" w:cs="Arial" w:eastAsia="Arial" w:hAnsi="Arial"/>
                <w:sz w:val="10"/>
                <w:szCs w:val="10"/>
                <w:color w:val="auto"/>
                <w:w w:val="99"/>
              </w:rPr>
              <w:t> </w:t>
            </w:r>
          </w:p>
        </w:tc>
        <w:tc>
          <w:tcPr>
            <w:tcW w:w="3380" w:type="dxa"/>
            <w:vAlign w:val="bottom"/>
            <w:shd w:val="clear" w:color="auto" w:fill="EDEDED"/>
          </w:tcPr>
          <w:p>
            <w:pPr>
              <w:spacing w:after="0"/>
              <w:rPr>
                <w:sz w:val="11"/>
                <w:szCs w:val="11"/>
                <w:color w:val="auto"/>
              </w:rPr>
            </w:pPr>
          </w:p>
        </w:tc>
        <w:tc>
          <w:tcPr>
            <w:tcW w:w="140" w:type="dxa"/>
            <w:vAlign w:val="bottom"/>
          </w:tcPr>
          <w:p>
            <w:pPr>
              <w:ind w:left="100"/>
              <w:spacing w:after="0"/>
              <w:rPr>
                <w:sz w:val="20"/>
                <w:szCs w:val="20"/>
                <w:color w:val="auto"/>
              </w:rPr>
            </w:pPr>
            <w:r>
              <w:rPr>
                <w:rFonts w:ascii="Arial" w:cs="Arial" w:eastAsia="Arial" w:hAnsi="Arial"/>
                <w:sz w:val="2"/>
                <w:szCs w:val="2"/>
                <w:color w:val="auto"/>
                <w:w w:val="97"/>
              </w:rPr>
              <w:t> </w:t>
            </w:r>
          </w:p>
        </w:tc>
        <w:tc>
          <w:tcPr>
            <w:tcW w:w="0" w:type="dxa"/>
            <w:vAlign w:val="bottom"/>
          </w:tcPr>
          <w:p>
            <w:pPr>
              <w:spacing w:after="0"/>
              <w:rPr>
                <w:sz w:val="1"/>
                <w:szCs w:val="1"/>
                <w:color w:val="auto"/>
              </w:rPr>
            </w:pPr>
          </w:p>
        </w:tc>
      </w:tr>
      <w:tr>
        <w:trPr>
          <w:trHeight w:val="59"/>
        </w:trPr>
        <w:tc>
          <w:tcPr>
            <w:tcW w:w="1780" w:type="dxa"/>
            <w:vAlign w:val="bottom"/>
            <w:vMerge w:val="continue"/>
          </w:tcPr>
          <w:p>
            <w:pPr>
              <w:spacing w:after="0"/>
              <w:rPr>
                <w:sz w:val="5"/>
                <w:szCs w:val="5"/>
                <w:color w:val="auto"/>
              </w:rPr>
            </w:pPr>
          </w:p>
        </w:tc>
        <w:tc>
          <w:tcPr>
            <w:tcW w:w="1860" w:type="dxa"/>
            <w:vAlign w:val="bottom"/>
          </w:tcPr>
          <w:p>
            <w:pPr>
              <w:spacing w:after="0"/>
              <w:rPr>
                <w:sz w:val="5"/>
                <w:szCs w:val="5"/>
                <w:color w:val="auto"/>
              </w:rPr>
            </w:pPr>
          </w:p>
        </w:tc>
        <w:tc>
          <w:tcPr>
            <w:tcW w:w="3380" w:type="dxa"/>
            <w:vAlign w:val="bottom"/>
            <w:shd w:val="clear" w:color="auto" w:fill="EDEDED"/>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6740525" cy="11150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40525" cy="111506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820" w:type="dxa"/>
        <w:tblCellMar>
          <w:top w:w="0" w:type="dxa"/>
          <w:left w:w="0" w:type="dxa"/>
          <w:bottom w:w="0" w:type="dxa"/>
          <w:right w:w="0" w:type="dxa"/>
        </w:tblCellMar>
      </w:tblPr>
      <w:tr>
        <w:trPr>
          <w:trHeight w:val="218"/>
        </w:trPr>
        <w:tc>
          <w:tcPr>
            <w:tcW w:w="2820" w:type="dxa"/>
            <w:vAlign w:val="bottom"/>
          </w:tcPr>
          <w:p>
            <w:pPr>
              <w:jc w:val="center"/>
              <w:ind w:right="951"/>
              <w:spacing w:after="0"/>
              <w:rPr>
                <w:sz w:val="20"/>
                <w:szCs w:val="20"/>
                <w:color w:val="auto"/>
              </w:rPr>
            </w:pPr>
            <w:r>
              <w:rPr>
                <w:rFonts w:ascii="Arial" w:cs="Arial" w:eastAsia="Arial" w:hAnsi="Arial"/>
                <w:sz w:val="19"/>
                <w:szCs w:val="19"/>
                <w:b w:val="1"/>
                <w:bCs w:val="1"/>
                <w:color w:val="0A9E50"/>
              </w:rPr>
              <w:t>Date and Time</w:t>
            </w:r>
          </w:p>
        </w:tc>
        <w:tc>
          <w:tcPr>
            <w:tcW w:w="3440" w:type="dxa"/>
            <w:vAlign w:val="bottom"/>
          </w:tcPr>
          <w:p>
            <w:pPr>
              <w:jc w:val="center"/>
              <w:spacing w:after="0"/>
              <w:rPr>
                <w:sz w:val="20"/>
                <w:szCs w:val="20"/>
                <w:color w:val="auto"/>
              </w:rPr>
            </w:pPr>
            <w:r>
              <w:rPr>
                <w:rFonts w:ascii="Arial" w:cs="Arial" w:eastAsia="Arial" w:hAnsi="Arial"/>
                <w:sz w:val="19"/>
                <w:szCs w:val="19"/>
                <w:b w:val="1"/>
                <w:bCs w:val="1"/>
                <w:color w:val="0A9E50"/>
              </w:rPr>
              <w:t>Place</w:t>
            </w:r>
          </w:p>
        </w:tc>
        <w:tc>
          <w:tcPr>
            <w:tcW w:w="2760" w:type="dxa"/>
            <w:vAlign w:val="bottom"/>
          </w:tcPr>
          <w:p>
            <w:pPr>
              <w:jc w:val="center"/>
              <w:ind w:left="951"/>
              <w:spacing w:after="0"/>
              <w:rPr>
                <w:sz w:val="20"/>
                <w:szCs w:val="20"/>
                <w:color w:val="auto"/>
              </w:rPr>
            </w:pPr>
            <w:r>
              <w:rPr>
                <w:rFonts w:ascii="Arial" w:cs="Arial" w:eastAsia="Arial" w:hAnsi="Arial"/>
                <w:sz w:val="19"/>
                <w:szCs w:val="19"/>
                <w:b w:val="1"/>
                <w:bCs w:val="1"/>
                <w:color w:val="0A9E50"/>
              </w:rPr>
              <w:t>Record Date</w:t>
            </w:r>
          </w:p>
        </w:tc>
      </w:tr>
      <w:tr>
        <w:trPr>
          <w:trHeight w:val="195"/>
        </w:trPr>
        <w:tc>
          <w:tcPr>
            <w:tcW w:w="2820" w:type="dxa"/>
            <w:vAlign w:val="bottom"/>
          </w:tcPr>
          <w:p>
            <w:pPr>
              <w:jc w:val="center"/>
              <w:ind w:right="971"/>
              <w:spacing w:after="0"/>
              <w:rPr>
                <w:sz w:val="20"/>
                <w:szCs w:val="20"/>
                <w:color w:val="auto"/>
              </w:rPr>
            </w:pPr>
            <w:r>
              <w:rPr>
                <w:rFonts w:ascii="Arial" w:cs="Arial" w:eastAsia="Arial" w:hAnsi="Arial"/>
                <w:sz w:val="17"/>
                <w:szCs w:val="17"/>
                <w:color w:val="auto"/>
              </w:rPr>
              <w:t>Thursday, May 9, 2024</w:t>
            </w:r>
          </w:p>
        </w:tc>
        <w:tc>
          <w:tcPr>
            <w:tcW w:w="3440" w:type="dxa"/>
            <w:vAlign w:val="bottom"/>
          </w:tcPr>
          <w:p>
            <w:pPr>
              <w:jc w:val="center"/>
              <w:spacing w:after="0"/>
              <w:rPr>
                <w:sz w:val="20"/>
                <w:szCs w:val="20"/>
                <w:color w:val="auto"/>
              </w:rPr>
            </w:pPr>
            <w:r>
              <w:rPr>
                <w:rFonts w:ascii="Arial" w:cs="Arial" w:eastAsia="Arial" w:hAnsi="Arial"/>
                <w:sz w:val="17"/>
                <w:szCs w:val="17"/>
                <w:color w:val="auto"/>
              </w:rPr>
              <w:t>Virtual Meeting:</w:t>
            </w:r>
          </w:p>
        </w:tc>
        <w:tc>
          <w:tcPr>
            <w:tcW w:w="2760" w:type="dxa"/>
            <w:vAlign w:val="bottom"/>
          </w:tcPr>
          <w:p>
            <w:pPr>
              <w:jc w:val="center"/>
              <w:ind w:left="951"/>
              <w:spacing w:after="0"/>
              <w:rPr>
                <w:sz w:val="20"/>
                <w:szCs w:val="20"/>
                <w:color w:val="auto"/>
              </w:rPr>
            </w:pPr>
            <w:r>
              <w:rPr>
                <w:rFonts w:ascii="Arial" w:cs="Arial" w:eastAsia="Arial" w:hAnsi="Arial"/>
                <w:sz w:val="17"/>
                <w:szCs w:val="17"/>
                <w:color w:val="auto"/>
              </w:rPr>
              <w:t>Close of Business,</w:t>
            </w:r>
          </w:p>
        </w:tc>
      </w:tr>
      <w:tr>
        <w:trPr>
          <w:trHeight w:val="195"/>
        </w:trPr>
        <w:tc>
          <w:tcPr>
            <w:tcW w:w="2820" w:type="dxa"/>
            <w:vAlign w:val="bottom"/>
          </w:tcPr>
          <w:p>
            <w:pPr>
              <w:jc w:val="center"/>
              <w:ind w:right="971"/>
              <w:spacing w:after="0"/>
              <w:rPr>
                <w:sz w:val="20"/>
                <w:szCs w:val="20"/>
                <w:color w:val="auto"/>
              </w:rPr>
            </w:pPr>
            <w:r>
              <w:rPr>
                <w:rFonts w:ascii="Arial" w:cs="Arial" w:eastAsia="Arial" w:hAnsi="Arial"/>
                <w:sz w:val="17"/>
                <w:szCs w:val="17"/>
                <w:color w:val="auto"/>
              </w:rPr>
              <w:t>at 12:00 p.m., Eastern</w:t>
            </w:r>
          </w:p>
        </w:tc>
        <w:tc>
          <w:tcPr>
            <w:tcW w:w="3440" w:type="dxa"/>
            <w:vAlign w:val="bottom"/>
          </w:tcPr>
          <w:p>
            <w:pPr>
              <w:jc w:val="center"/>
              <w:spacing w:after="0"/>
              <w:rPr>
                <w:sz w:val="20"/>
                <w:szCs w:val="20"/>
                <w:color w:val="auto"/>
              </w:rPr>
            </w:pPr>
            <w:r>
              <w:rPr>
                <w:rFonts w:ascii="Arial" w:cs="Arial" w:eastAsia="Arial" w:hAnsi="Arial"/>
                <w:sz w:val="17"/>
                <w:szCs w:val="17"/>
                <w:color w:val="auto"/>
              </w:rPr>
              <w:t>kellyservices.com</w:t>
            </w:r>
          </w:p>
        </w:tc>
        <w:tc>
          <w:tcPr>
            <w:tcW w:w="2760" w:type="dxa"/>
            <w:vAlign w:val="bottom"/>
          </w:tcPr>
          <w:p>
            <w:pPr>
              <w:jc w:val="center"/>
              <w:ind w:left="931"/>
              <w:spacing w:after="0"/>
              <w:rPr>
                <w:sz w:val="20"/>
                <w:szCs w:val="20"/>
                <w:color w:val="auto"/>
              </w:rPr>
            </w:pPr>
            <w:r>
              <w:rPr>
                <w:rFonts w:ascii="Arial" w:cs="Arial" w:eastAsia="Arial" w:hAnsi="Arial"/>
                <w:sz w:val="17"/>
                <w:szCs w:val="17"/>
                <w:color w:val="auto"/>
              </w:rPr>
              <w:t>Eastern Daylight Time,</w:t>
            </w:r>
          </w:p>
        </w:tc>
      </w:tr>
      <w:tr>
        <w:trPr>
          <w:trHeight w:val="227"/>
        </w:trPr>
        <w:tc>
          <w:tcPr>
            <w:tcW w:w="2820" w:type="dxa"/>
            <w:vAlign w:val="bottom"/>
          </w:tcPr>
          <w:p>
            <w:pPr>
              <w:jc w:val="center"/>
              <w:ind w:right="971"/>
              <w:spacing w:after="0"/>
              <w:rPr>
                <w:sz w:val="20"/>
                <w:szCs w:val="20"/>
                <w:color w:val="auto"/>
              </w:rPr>
            </w:pPr>
            <w:r>
              <w:rPr>
                <w:rFonts w:ascii="Arial" w:cs="Arial" w:eastAsia="Arial" w:hAnsi="Arial"/>
                <w:sz w:val="17"/>
                <w:szCs w:val="17"/>
                <w:color w:val="auto"/>
              </w:rPr>
              <w:t>Daylight Time</w:t>
            </w:r>
          </w:p>
        </w:tc>
        <w:tc>
          <w:tcPr>
            <w:tcW w:w="3440" w:type="dxa"/>
            <w:vAlign w:val="bottom"/>
          </w:tcPr>
          <w:p>
            <w:pPr>
              <w:spacing w:after="0"/>
              <w:rPr>
                <w:sz w:val="19"/>
                <w:szCs w:val="19"/>
                <w:color w:val="auto"/>
              </w:rPr>
            </w:pPr>
          </w:p>
        </w:tc>
        <w:tc>
          <w:tcPr>
            <w:tcW w:w="2760" w:type="dxa"/>
            <w:vAlign w:val="bottom"/>
          </w:tcPr>
          <w:p>
            <w:pPr>
              <w:jc w:val="center"/>
              <w:ind w:left="951"/>
              <w:spacing w:after="0"/>
              <w:rPr>
                <w:sz w:val="20"/>
                <w:szCs w:val="20"/>
                <w:color w:val="auto"/>
              </w:rPr>
            </w:pPr>
            <w:r>
              <w:rPr>
                <w:rFonts w:ascii="Arial" w:cs="Arial" w:eastAsia="Arial" w:hAnsi="Arial"/>
                <w:sz w:val="17"/>
                <w:szCs w:val="17"/>
                <w:color w:val="auto"/>
              </w:rPr>
              <w:t>March 21, 2024</w:t>
            </w:r>
          </w:p>
        </w:tc>
      </w:tr>
    </w:tbl>
    <w:p>
      <w:pPr>
        <w:spacing w:after="0"/>
        <w:rPr>
          <w:sz w:val="20"/>
          <w:szCs w:val="20"/>
          <w:color w:val="auto"/>
        </w:rPr>
      </w:pPr>
      <w:r>
        <w:rPr>
          <w:rFonts w:ascii="Arial" w:cs="Arial" w:eastAsia="Arial" w:hAnsi="Arial"/>
          <w:sz w:val="16"/>
          <w:szCs w:val="16"/>
          <w:color w:val="auto"/>
        </w:rPr>
        <w:t> </w:t>
      </w:r>
    </w:p>
    <w:p>
      <w:pPr>
        <w:sectPr>
          <w:pgSz w:w="11900" w:h="16838" w:orient="portrait"/>
          <w:cols w:equalWidth="0" w:num="1">
            <w:col w:w="10620"/>
          </w:cols>
          <w:pgMar w:left="640" w:top="423" w:right="639" w:bottom="1440" w:gutter="0" w:footer="0" w:header="0"/>
        </w:sectPr>
      </w:pPr>
    </w:p>
    <w:p>
      <w:pPr>
        <w:spacing w:after="0" w:line="385"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auto"/>
        </w:rPr>
        <w:t>Voting</w:t>
      </w:r>
    </w:p>
    <w:p>
      <w:pPr>
        <w:spacing w:after="0" w:line="14" w:lineRule="exact"/>
        <w:rPr>
          <w:sz w:val="20"/>
          <w:szCs w:val="20"/>
          <w:color w:val="auto"/>
        </w:rPr>
      </w:pPr>
    </w:p>
    <w:p>
      <w:pPr>
        <w:jc w:val="center"/>
        <w:ind w:left="80"/>
        <w:spacing w:after="0" w:line="294" w:lineRule="auto"/>
        <w:rPr>
          <w:sz w:val="20"/>
          <w:szCs w:val="20"/>
          <w:color w:val="auto"/>
        </w:rPr>
      </w:pPr>
      <w:r>
        <w:rPr>
          <w:rFonts w:ascii="Arial" w:cs="Arial" w:eastAsia="Arial" w:hAnsi="Arial"/>
          <w:sz w:val="14"/>
          <w:szCs w:val="14"/>
          <w:color w:val="auto"/>
        </w:rPr>
        <w:t>Class B Shareholders as of the Record Date are entitled to vote. Each share of Class B Common Stock is entitled to one vote for each director nominee and one vote for each of the other proposals to be voted on.</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Admission</w:t>
      </w:r>
    </w:p>
    <w:p>
      <w:pPr>
        <w:spacing w:after="0" w:line="14"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All holders of the Company’s Class A and Class B Common Stock are</w:t>
      </w:r>
    </w:p>
    <w:p>
      <w:pPr>
        <w:spacing w:after="0" w:line="2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invited to attend the Annual Meeting of Shareholders.</w:t>
      </w:r>
    </w:p>
    <w:p>
      <w:pPr>
        <w:spacing w:after="0" w:line="425" w:lineRule="exact"/>
        <w:rPr>
          <w:sz w:val="20"/>
          <w:szCs w:val="20"/>
          <w:color w:val="auto"/>
        </w:rPr>
      </w:pPr>
    </w:p>
    <w:p>
      <w:pPr>
        <w:sectPr>
          <w:pgSz w:w="11900" w:h="16838" w:orient="portrait"/>
          <w:cols w:equalWidth="0" w:num="2">
            <w:col w:w="5020" w:space="580"/>
            <w:col w:w="5020"/>
          </w:cols>
          <w:pgMar w:left="640" w:top="423" w:right="639"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Proxy Voting Roadmap</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60" w:type="dxa"/>
            <w:vAlign w:val="bottom"/>
          </w:tcPr>
          <w:p>
            <w:pPr>
              <w:ind w:left="60"/>
              <w:spacing w:after="0"/>
              <w:rPr>
                <w:sz w:val="20"/>
                <w:szCs w:val="20"/>
                <w:color w:val="auto"/>
              </w:rPr>
            </w:pPr>
            <w:r>
              <w:rPr>
                <w:rFonts w:ascii="Arial" w:cs="Arial" w:eastAsia="Arial" w:hAnsi="Arial"/>
                <w:sz w:val="17"/>
                <w:szCs w:val="17"/>
                <w:b w:val="1"/>
                <w:bCs w:val="1"/>
                <w:color w:val="0A9E50"/>
              </w:rPr>
              <w:t>Proposal</w:t>
            </w:r>
          </w:p>
        </w:tc>
        <w:tc>
          <w:tcPr>
            <w:tcW w:w="2560" w:type="dxa"/>
            <w:vAlign w:val="bottom"/>
          </w:tcPr>
          <w:p>
            <w:pPr>
              <w:jc w:val="center"/>
              <w:ind w:left="137"/>
              <w:spacing w:after="0"/>
              <w:rPr>
                <w:sz w:val="20"/>
                <w:szCs w:val="20"/>
                <w:color w:val="auto"/>
              </w:rPr>
            </w:pPr>
            <w:r>
              <w:rPr>
                <w:rFonts w:ascii="Arial" w:cs="Arial" w:eastAsia="Arial" w:hAnsi="Arial"/>
                <w:sz w:val="17"/>
                <w:szCs w:val="17"/>
                <w:b w:val="1"/>
                <w:bCs w:val="1"/>
                <w:color w:val="0A9E50"/>
              </w:rPr>
              <w:t>Board Recommendations</w:t>
            </w:r>
          </w:p>
        </w:tc>
        <w:tc>
          <w:tcPr>
            <w:tcW w:w="1400" w:type="dxa"/>
            <w:vAlign w:val="bottom"/>
            <w:gridSpan w:val="3"/>
          </w:tcPr>
          <w:p>
            <w:pPr>
              <w:jc w:val="center"/>
              <w:ind w:left="220"/>
              <w:spacing w:after="0"/>
              <w:rPr>
                <w:sz w:val="20"/>
                <w:szCs w:val="20"/>
                <w:color w:val="auto"/>
              </w:rPr>
            </w:pPr>
            <w:r>
              <w:rPr>
                <w:rFonts w:ascii="Arial" w:cs="Arial" w:eastAsia="Arial" w:hAnsi="Arial"/>
                <w:sz w:val="17"/>
                <w:szCs w:val="17"/>
                <w:b w:val="1"/>
                <w:bCs w:val="1"/>
                <w:color w:val="0A9E50"/>
              </w:rPr>
              <w:t>Page</w:t>
            </w:r>
          </w:p>
        </w:tc>
        <w:tc>
          <w:tcPr>
            <w:tcW w:w="0" w:type="dxa"/>
            <w:vAlign w:val="bottom"/>
          </w:tcPr>
          <w:p>
            <w:pPr>
              <w:spacing w:after="0"/>
              <w:rPr>
                <w:sz w:val="1"/>
                <w:szCs w:val="1"/>
                <w:color w:val="auto"/>
              </w:rPr>
            </w:pPr>
          </w:p>
        </w:tc>
      </w:tr>
      <w:tr>
        <w:trPr>
          <w:trHeight w:val="79"/>
        </w:trPr>
        <w:tc>
          <w:tcPr>
            <w:tcW w:w="66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71"/>
        </w:trPr>
        <w:tc>
          <w:tcPr>
            <w:tcW w:w="666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 xml:space="preserve">Proposal 1: </w:t>
            </w:r>
            <w:r>
              <w:rPr>
                <w:rFonts w:ascii="Arial" w:cs="Arial" w:eastAsia="Arial" w:hAnsi="Arial"/>
                <w:sz w:val="16"/>
                <w:szCs w:val="16"/>
                <w:color w:val="auto"/>
              </w:rPr>
              <w:t>Election of nine directors</w:t>
            </w:r>
          </w:p>
        </w:tc>
        <w:tc>
          <w:tcPr>
            <w:tcW w:w="2560" w:type="dxa"/>
            <w:vAlign w:val="bottom"/>
          </w:tcPr>
          <w:p>
            <w:pPr>
              <w:jc w:val="center"/>
              <w:ind w:left="157"/>
              <w:spacing w:after="0"/>
              <w:rPr>
                <w:sz w:val="20"/>
                <w:szCs w:val="20"/>
                <w:color w:val="auto"/>
              </w:rPr>
            </w:pPr>
            <w:r>
              <w:rPr>
                <w:rFonts w:ascii="Arial" w:cs="Arial" w:eastAsia="Arial" w:hAnsi="Arial"/>
                <w:sz w:val="16"/>
                <w:szCs w:val="16"/>
                <w:b w:val="1"/>
                <w:bCs w:val="1"/>
                <w:color w:val="0A9E50"/>
                <w:w w:val="94"/>
              </w:rPr>
              <w:t>FOR</w:t>
            </w:r>
          </w:p>
        </w:tc>
        <w:tc>
          <w:tcPr>
            <w:tcW w:w="720" w:type="dxa"/>
            <w:vAlign w:val="bottom"/>
            <w:shd w:val="clear" w:color="auto" w:fill="EDEDED"/>
          </w:tcPr>
          <w:p>
            <w:pPr>
              <w:spacing w:after="0"/>
              <w:rPr>
                <w:sz w:val="24"/>
                <w:szCs w:val="24"/>
                <w:color w:val="auto"/>
              </w:rPr>
            </w:pPr>
          </w:p>
        </w:tc>
        <w:tc>
          <w:tcPr>
            <w:tcW w:w="680" w:type="dxa"/>
            <w:vAlign w:val="bottom"/>
            <w:gridSpan w:val="2"/>
            <w:vMerge w:val="restart"/>
            <w:shd w:val="clear" w:color="auto" w:fill="EDEDED"/>
          </w:tcPr>
          <w:p>
            <w:pPr>
              <w:jc w:val="center"/>
              <w:ind w:right="316"/>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22"/>
        </w:trPr>
        <w:tc>
          <w:tcPr>
            <w:tcW w:w="6660" w:type="dxa"/>
            <w:vAlign w:val="bottom"/>
            <w:vMerge w:val="continue"/>
          </w:tcPr>
          <w:p>
            <w:pPr>
              <w:spacing w:after="0"/>
              <w:rPr>
                <w:sz w:val="10"/>
                <w:szCs w:val="10"/>
                <w:color w:val="auto"/>
              </w:rPr>
            </w:pPr>
          </w:p>
        </w:tc>
        <w:tc>
          <w:tcPr>
            <w:tcW w:w="2560" w:type="dxa"/>
            <w:vAlign w:val="bottom"/>
            <w:vMerge w:val="restart"/>
          </w:tcPr>
          <w:p>
            <w:pPr>
              <w:jc w:val="center"/>
              <w:ind w:left="137"/>
              <w:spacing w:after="0"/>
              <w:rPr>
                <w:sz w:val="20"/>
                <w:szCs w:val="20"/>
                <w:color w:val="auto"/>
              </w:rPr>
            </w:pPr>
            <w:r>
              <w:rPr>
                <w:rFonts w:ascii="Arial" w:cs="Arial" w:eastAsia="Arial" w:hAnsi="Arial"/>
                <w:sz w:val="16"/>
                <w:szCs w:val="16"/>
                <w:color w:val="auto"/>
                <w:w w:val="97"/>
              </w:rPr>
              <w:t>each nominee</w:t>
            </w:r>
          </w:p>
        </w:tc>
        <w:tc>
          <w:tcPr>
            <w:tcW w:w="720" w:type="dxa"/>
            <w:vAlign w:val="bottom"/>
            <w:shd w:val="clear" w:color="auto" w:fill="EDEDED"/>
          </w:tcPr>
          <w:p>
            <w:pPr>
              <w:spacing w:after="0"/>
              <w:rPr>
                <w:sz w:val="10"/>
                <w:szCs w:val="10"/>
                <w:color w:val="auto"/>
              </w:rPr>
            </w:pPr>
          </w:p>
        </w:tc>
        <w:tc>
          <w:tcPr>
            <w:tcW w:w="680" w:type="dxa"/>
            <w:vAlign w:val="bottom"/>
            <w:gridSpan w:val="2"/>
            <w:vMerge w:val="continue"/>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6660" w:type="dxa"/>
            <w:vAlign w:val="bottom"/>
          </w:tcPr>
          <w:p>
            <w:pPr>
              <w:spacing w:after="0"/>
              <w:rPr>
                <w:sz w:val="7"/>
                <w:szCs w:val="7"/>
                <w:color w:val="auto"/>
              </w:rPr>
            </w:pPr>
          </w:p>
        </w:tc>
        <w:tc>
          <w:tcPr>
            <w:tcW w:w="2560" w:type="dxa"/>
            <w:vAlign w:val="bottom"/>
            <w:vMerge w:val="continue"/>
          </w:tcPr>
          <w:p>
            <w:pPr>
              <w:spacing w:after="0"/>
              <w:rPr>
                <w:sz w:val="7"/>
                <w:szCs w:val="7"/>
                <w:color w:val="auto"/>
              </w:rPr>
            </w:pPr>
          </w:p>
        </w:tc>
        <w:tc>
          <w:tcPr>
            <w:tcW w:w="720" w:type="dxa"/>
            <w:vAlign w:val="bottom"/>
            <w:shd w:val="clear" w:color="auto" w:fill="EDEDED"/>
          </w:tcPr>
          <w:p>
            <w:pPr>
              <w:spacing w:after="0"/>
              <w:rPr>
                <w:sz w:val="7"/>
                <w:szCs w:val="7"/>
                <w:color w:val="auto"/>
              </w:rPr>
            </w:pPr>
          </w:p>
        </w:tc>
        <w:tc>
          <w:tcPr>
            <w:tcW w:w="140" w:type="dxa"/>
            <w:vAlign w:val="bottom"/>
            <w:tcBorders>
              <w:right w:val="single" w:sz="8" w:color="EDEDED"/>
            </w:tcBorders>
            <w:shd w:val="clear" w:color="auto" w:fill="EDEDED"/>
          </w:tcPr>
          <w:p>
            <w:pPr>
              <w:spacing w:after="0"/>
              <w:rPr>
                <w:sz w:val="7"/>
                <w:szCs w:val="7"/>
                <w:color w:val="auto"/>
              </w:rPr>
            </w:pPr>
          </w:p>
        </w:tc>
        <w:tc>
          <w:tcPr>
            <w:tcW w:w="54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6660" w:type="dxa"/>
            <w:vAlign w:val="bottom"/>
            <w:tcBorders>
              <w:bottom w:val="single" w:sz="8" w:color="7F7F7F"/>
            </w:tcBorders>
          </w:tcPr>
          <w:p>
            <w:pPr>
              <w:spacing w:after="0"/>
              <w:rPr>
                <w:sz w:val="12"/>
                <w:szCs w:val="12"/>
                <w:color w:val="auto"/>
              </w:rPr>
            </w:pPr>
          </w:p>
        </w:tc>
        <w:tc>
          <w:tcPr>
            <w:tcW w:w="256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shd w:val="clear" w:color="auto" w:fill="EDEDED"/>
          </w:tcPr>
          <w:p>
            <w:pPr>
              <w:spacing w:after="0"/>
              <w:rPr>
                <w:sz w:val="12"/>
                <w:szCs w:val="12"/>
                <w:color w:val="auto"/>
              </w:rPr>
            </w:pPr>
          </w:p>
        </w:tc>
        <w:tc>
          <w:tcPr>
            <w:tcW w:w="140" w:type="dxa"/>
            <w:vAlign w:val="bottom"/>
            <w:tcBorders>
              <w:bottom w:val="single" w:sz="8" w:color="7F7F7F"/>
              <w:right w:val="single" w:sz="8" w:color="EDEDED"/>
            </w:tcBorders>
            <w:shd w:val="clear" w:color="auto" w:fill="EDEDED"/>
          </w:tcPr>
          <w:p>
            <w:pPr>
              <w:spacing w:after="0"/>
              <w:rPr>
                <w:sz w:val="12"/>
                <w:szCs w:val="12"/>
                <w:color w:val="auto"/>
              </w:rPr>
            </w:pPr>
          </w:p>
        </w:tc>
        <w:tc>
          <w:tcPr>
            <w:tcW w:w="540" w:type="dxa"/>
            <w:vAlign w:val="bottom"/>
            <w:tcBorders>
              <w:bottom w:val="single" w:sz="8" w:color="7F7F7F"/>
            </w:tcBorders>
            <w:shd w:val="clear" w:color="auto" w:fill="EDEDED"/>
          </w:tcPr>
          <w:p>
            <w:pPr>
              <w:spacing w:after="0"/>
              <w:rPr>
                <w:sz w:val="12"/>
                <w:szCs w:val="12"/>
                <w:color w:val="auto"/>
              </w:rPr>
            </w:pPr>
          </w:p>
        </w:tc>
        <w:tc>
          <w:tcPr>
            <w:tcW w:w="0" w:type="dxa"/>
            <w:vAlign w:val="bottom"/>
          </w:tcPr>
          <w:p>
            <w:pPr>
              <w:spacing w:after="0"/>
              <w:rPr>
                <w:sz w:val="1"/>
                <w:szCs w:val="1"/>
                <w:color w:val="auto"/>
              </w:rPr>
            </w:pPr>
          </w:p>
        </w:tc>
      </w:tr>
      <w:tr>
        <w:trPr>
          <w:trHeight w:val="519"/>
        </w:trPr>
        <w:tc>
          <w:tcPr>
            <w:tcW w:w="6660" w:type="dxa"/>
            <w:vAlign w:val="bottom"/>
          </w:tcPr>
          <w:p>
            <w:pPr>
              <w:ind w:left="820"/>
              <w:spacing w:after="0"/>
              <w:rPr>
                <w:sz w:val="20"/>
                <w:szCs w:val="20"/>
                <w:color w:val="auto"/>
              </w:rPr>
            </w:pPr>
            <w:r>
              <w:rPr>
                <w:rFonts w:ascii="Arial" w:cs="Arial" w:eastAsia="Arial" w:hAnsi="Arial"/>
                <w:sz w:val="16"/>
                <w:szCs w:val="16"/>
                <w:b w:val="1"/>
                <w:bCs w:val="1"/>
                <w:color w:val="auto"/>
              </w:rPr>
              <w:t xml:space="preserve">Proposal 2: </w:t>
            </w:r>
            <w:r>
              <w:rPr>
                <w:rFonts w:ascii="Arial" w:cs="Arial" w:eastAsia="Arial" w:hAnsi="Arial"/>
                <w:sz w:val="16"/>
                <w:szCs w:val="16"/>
                <w:color w:val="auto"/>
              </w:rPr>
              <w:t>Advisory vote to approve the Company’s executive compensation</w:t>
            </w:r>
          </w:p>
        </w:tc>
        <w:tc>
          <w:tcPr>
            <w:tcW w:w="2560" w:type="dxa"/>
            <w:vAlign w:val="bottom"/>
          </w:tcPr>
          <w:p>
            <w:pPr>
              <w:jc w:val="center"/>
              <w:ind w:left="157"/>
              <w:spacing w:after="0"/>
              <w:rPr>
                <w:sz w:val="20"/>
                <w:szCs w:val="20"/>
                <w:color w:val="auto"/>
              </w:rPr>
            </w:pPr>
            <w:r>
              <w:rPr>
                <w:rFonts w:ascii="Arial" w:cs="Arial" w:eastAsia="Arial" w:hAnsi="Arial"/>
                <w:sz w:val="16"/>
                <w:szCs w:val="16"/>
                <w:b w:val="1"/>
                <w:bCs w:val="1"/>
                <w:color w:val="0A9E50"/>
                <w:w w:val="94"/>
              </w:rPr>
              <w:t>FOR</w:t>
            </w:r>
          </w:p>
        </w:tc>
        <w:tc>
          <w:tcPr>
            <w:tcW w:w="720" w:type="dxa"/>
            <w:vAlign w:val="bottom"/>
            <w:shd w:val="clear" w:color="auto" w:fill="EDEDED"/>
          </w:tcPr>
          <w:p>
            <w:pPr>
              <w:spacing w:after="0"/>
              <w:rPr>
                <w:sz w:val="24"/>
                <w:szCs w:val="24"/>
                <w:color w:val="auto"/>
              </w:rPr>
            </w:pPr>
          </w:p>
        </w:tc>
        <w:tc>
          <w:tcPr>
            <w:tcW w:w="680" w:type="dxa"/>
            <w:vAlign w:val="bottom"/>
            <w:gridSpan w:val="2"/>
            <w:shd w:val="clear" w:color="auto" w:fill="EDEDED"/>
          </w:tcPr>
          <w:p>
            <w:pPr>
              <w:jc w:val="center"/>
              <w:ind w:right="316"/>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8"/>
        </w:trPr>
        <w:tc>
          <w:tcPr>
            <w:tcW w:w="6660" w:type="dxa"/>
            <w:vAlign w:val="bottom"/>
            <w:tcBorders>
              <w:bottom w:val="single" w:sz="8" w:color="7F7F7F"/>
            </w:tcBorders>
          </w:tcPr>
          <w:p>
            <w:pPr>
              <w:spacing w:after="0"/>
              <w:rPr>
                <w:sz w:val="19"/>
                <w:szCs w:val="19"/>
                <w:color w:val="auto"/>
              </w:rPr>
            </w:pPr>
          </w:p>
        </w:tc>
        <w:tc>
          <w:tcPr>
            <w:tcW w:w="2560" w:type="dxa"/>
            <w:vAlign w:val="bottom"/>
            <w:tcBorders>
              <w:bottom w:val="single" w:sz="8" w:color="7F7F7F"/>
            </w:tcBorders>
          </w:tcPr>
          <w:p>
            <w:pPr>
              <w:spacing w:after="0"/>
              <w:rPr>
                <w:sz w:val="19"/>
                <w:szCs w:val="19"/>
                <w:color w:val="auto"/>
              </w:rPr>
            </w:pPr>
          </w:p>
        </w:tc>
        <w:tc>
          <w:tcPr>
            <w:tcW w:w="720" w:type="dxa"/>
            <w:vAlign w:val="bottom"/>
            <w:tcBorders>
              <w:bottom w:val="single" w:sz="8" w:color="7F7F7F"/>
            </w:tcBorders>
            <w:shd w:val="clear" w:color="auto" w:fill="EDEDED"/>
          </w:tcPr>
          <w:p>
            <w:pPr>
              <w:spacing w:after="0"/>
              <w:rPr>
                <w:sz w:val="19"/>
                <w:szCs w:val="19"/>
                <w:color w:val="auto"/>
              </w:rPr>
            </w:pPr>
          </w:p>
        </w:tc>
        <w:tc>
          <w:tcPr>
            <w:tcW w:w="140" w:type="dxa"/>
            <w:vAlign w:val="bottom"/>
            <w:tcBorders>
              <w:bottom w:val="single" w:sz="8" w:color="7F7F7F"/>
              <w:right w:val="single" w:sz="8" w:color="EDEDED"/>
            </w:tcBorders>
            <w:shd w:val="clear" w:color="auto" w:fill="EDEDED"/>
          </w:tcPr>
          <w:p>
            <w:pPr>
              <w:spacing w:after="0"/>
              <w:rPr>
                <w:sz w:val="19"/>
                <w:szCs w:val="19"/>
                <w:color w:val="auto"/>
              </w:rPr>
            </w:pPr>
          </w:p>
        </w:tc>
        <w:tc>
          <w:tcPr>
            <w:tcW w:w="540" w:type="dxa"/>
            <w:vAlign w:val="bottom"/>
            <w:tcBorders>
              <w:bottom w:val="single" w:sz="8" w:color="7F7F7F"/>
            </w:tcBorders>
            <w:shd w:val="clear" w:color="auto" w:fill="EDEDED"/>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660" w:type="dxa"/>
            <w:vAlign w:val="bottom"/>
          </w:tcPr>
          <w:p>
            <w:pPr>
              <w:ind w:left="820"/>
              <w:spacing w:after="0"/>
              <w:rPr>
                <w:sz w:val="20"/>
                <w:szCs w:val="20"/>
                <w:color w:val="auto"/>
              </w:rPr>
            </w:pPr>
            <w:r>
              <w:rPr>
                <w:rFonts w:ascii="Arial" w:cs="Arial" w:eastAsia="Arial" w:hAnsi="Arial"/>
                <w:sz w:val="16"/>
                <w:szCs w:val="16"/>
                <w:b w:val="1"/>
                <w:bCs w:val="1"/>
                <w:color w:val="auto"/>
              </w:rPr>
              <w:t xml:space="preserve">Proposal 3: </w:t>
            </w:r>
            <w:r>
              <w:rPr>
                <w:rFonts w:ascii="Arial" w:cs="Arial" w:eastAsia="Arial" w:hAnsi="Arial"/>
                <w:sz w:val="16"/>
                <w:szCs w:val="16"/>
                <w:color w:val="auto"/>
              </w:rPr>
              <w:t>Vote to approve Amendment and restatement of the Company’s</w:t>
            </w:r>
          </w:p>
        </w:tc>
        <w:tc>
          <w:tcPr>
            <w:tcW w:w="2560" w:type="dxa"/>
            <w:vAlign w:val="bottom"/>
            <w:vMerge w:val="restart"/>
          </w:tcPr>
          <w:p>
            <w:pPr>
              <w:jc w:val="center"/>
              <w:ind w:left="157"/>
              <w:spacing w:after="0"/>
              <w:rPr>
                <w:sz w:val="20"/>
                <w:szCs w:val="20"/>
                <w:color w:val="auto"/>
              </w:rPr>
            </w:pPr>
            <w:r>
              <w:rPr>
                <w:rFonts w:ascii="Arial" w:cs="Arial" w:eastAsia="Arial" w:hAnsi="Arial"/>
                <w:sz w:val="16"/>
                <w:szCs w:val="16"/>
                <w:b w:val="1"/>
                <w:bCs w:val="1"/>
                <w:color w:val="0A9E50"/>
                <w:w w:val="94"/>
              </w:rPr>
              <w:t>FOR</w:t>
            </w:r>
          </w:p>
        </w:tc>
        <w:tc>
          <w:tcPr>
            <w:tcW w:w="720" w:type="dxa"/>
            <w:vAlign w:val="bottom"/>
            <w:shd w:val="clear" w:color="auto" w:fill="EDEDED"/>
          </w:tcPr>
          <w:p>
            <w:pPr>
              <w:spacing w:after="0"/>
              <w:rPr>
                <w:sz w:val="24"/>
                <w:szCs w:val="24"/>
                <w:color w:val="auto"/>
              </w:rPr>
            </w:pPr>
          </w:p>
        </w:tc>
        <w:tc>
          <w:tcPr>
            <w:tcW w:w="140" w:type="dxa"/>
            <w:vAlign w:val="bottom"/>
            <w:tcBorders>
              <w:right w:val="single" w:sz="8" w:color="EDEDED"/>
            </w:tcBorders>
            <w:shd w:val="clear" w:color="auto" w:fill="EDEDED"/>
          </w:tcPr>
          <w:p>
            <w:pPr>
              <w:spacing w:after="0"/>
              <w:rPr>
                <w:sz w:val="24"/>
                <w:szCs w:val="24"/>
                <w:color w:val="auto"/>
              </w:rPr>
            </w:pPr>
          </w:p>
        </w:tc>
        <w:tc>
          <w:tcPr>
            <w:tcW w:w="54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660" w:type="dxa"/>
            <w:vAlign w:val="bottom"/>
          </w:tcPr>
          <w:p>
            <w:pPr>
              <w:ind w:left="820"/>
              <w:spacing w:after="0" w:line="182" w:lineRule="exact"/>
              <w:rPr>
                <w:sz w:val="20"/>
                <w:szCs w:val="20"/>
                <w:color w:val="auto"/>
              </w:rPr>
            </w:pPr>
            <w:r>
              <w:rPr>
                <w:rFonts w:ascii="Arial" w:cs="Arial" w:eastAsia="Arial" w:hAnsi="Arial"/>
                <w:sz w:val="16"/>
                <w:szCs w:val="16"/>
                <w:color w:val="auto"/>
              </w:rPr>
              <w:t>Restated Certificate of Incorporation to reflect updated Delaware law provisions</w:t>
            </w:r>
          </w:p>
        </w:tc>
        <w:tc>
          <w:tcPr>
            <w:tcW w:w="2560" w:type="dxa"/>
            <w:vAlign w:val="bottom"/>
            <w:vMerge w:val="continue"/>
          </w:tcPr>
          <w:p>
            <w:pPr>
              <w:spacing w:after="0"/>
              <w:rPr>
                <w:sz w:val="15"/>
                <w:szCs w:val="15"/>
                <w:color w:val="auto"/>
              </w:rPr>
            </w:pPr>
          </w:p>
        </w:tc>
        <w:tc>
          <w:tcPr>
            <w:tcW w:w="720" w:type="dxa"/>
            <w:vAlign w:val="bottom"/>
            <w:shd w:val="clear" w:color="auto" w:fill="EDEDED"/>
          </w:tcPr>
          <w:p>
            <w:pPr>
              <w:spacing w:after="0"/>
              <w:rPr>
                <w:sz w:val="15"/>
                <w:szCs w:val="15"/>
                <w:color w:val="auto"/>
              </w:rPr>
            </w:pPr>
          </w:p>
        </w:tc>
        <w:tc>
          <w:tcPr>
            <w:tcW w:w="680" w:type="dxa"/>
            <w:vAlign w:val="bottom"/>
            <w:gridSpan w:val="2"/>
            <w:shd w:val="clear" w:color="auto" w:fill="EDEDED"/>
          </w:tcPr>
          <w:p>
            <w:pPr>
              <w:jc w:val="center"/>
              <w:ind w:right="316"/>
              <w:spacing w:after="0" w:line="182"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5"/>
        </w:trPr>
        <w:tc>
          <w:tcPr>
            <w:tcW w:w="6660" w:type="dxa"/>
            <w:vAlign w:val="bottom"/>
          </w:tcPr>
          <w:p>
            <w:pPr>
              <w:ind w:left="820"/>
              <w:spacing w:after="0"/>
              <w:rPr>
                <w:sz w:val="20"/>
                <w:szCs w:val="20"/>
                <w:color w:val="auto"/>
              </w:rPr>
            </w:pPr>
            <w:r>
              <w:rPr>
                <w:rFonts w:ascii="Arial" w:cs="Arial" w:eastAsia="Arial" w:hAnsi="Arial"/>
                <w:sz w:val="16"/>
                <w:szCs w:val="16"/>
                <w:color w:val="auto"/>
              </w:rPr>
              <w:t>permitting officer exculpation</w:t>
            </w:r>
          </w:p>
        </w:tc>
        <w:tc>
          <w:tcPr>
            <w:tcW w:w="2560" w:type="dxa"/>
            <w:vAlign w:val="bottom"/>
          </w:tcPr>
          <w:p>
            <w:pPr>
              <w:spacing w:after="0"/>
              <w:rPr>
                <w:sz w:val="17"/>
                <w:szCs w:val="17"/>
                <w:color w:val="auto"/>
              </w:rPr>
            </w:pPr>
          </w:p>
        </w:tc>
        <w:tc>
          <w:tcPr>
            <w:tcW w:w="720" w:type="dxa"/>
            <w:vAlign w:val="bottom"/>
            <w:shd w:val="clear" w:color="auto" w:fill="EDEDED"/>
          </w:tcPr>
          <w:p>
            <w:pPr>
              <w:spacing w:after="0"/>
              <w:rPr>
                <w:sz w:val="17"/>
                <w:szCs w:val="17"/>
                <w:color w:val="auto"/>
              </w:rPr>
            </w:pPr>
          </w:p>
        </w:tc>
        <w:tc>
          <w:tcPr>
            <w:tcW w:w="140" w:type="dxa"/>
            <w:vAlign w:val="bottom"/>
            <w:tcBorders>
              <w:right w:val="single" w:sz="8" w:color="EDEDED"/>
            </w:tcBorders>
            <w:shd w:val="clear" w:color="auto" w:fill="EDEDED"/>
          </w:tcPr>
          <w:p>
            <w:pPr>
              <w:spacing w:after="0"/>
              <w:rPr>
                <w:sz w:val="17"/>
                <w:szCs w:val="17"/>
                <w:color w:val="auto"/>
              </w:rPr>
            </w:pPr>
          </w:p>
        </w:tc>
        <w:tc>
          <w:tcPr>
            <w:tcW w:w="54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60" w:type="dxa"/>
            <w:vAlign w:val="bottom"/>
            <w:tcBorders>
              <w:bottom w:val="single" w:sz="8" w:color="7F7F7F"/>
            </w:tcBorders>
          </w:tcPr>
          <w:p>
            <w:pPr>
              <w:spacing w:after="0"/>
              <w:rPr>
                <w:sz w:val="17"/>
                <w:szCs w:val="17"/>
                <w:color w:val="auto"/>
              </w:rPr>
            </w:pPr>
          </w:p>
        </w:tc>
        <w:tc>
          <w:tcPr>
            <w:tcW w:w="2560" w:type="dxa"/>
            <w:vAlign w:val="bottom"/>
            <w:tcBorders>
              <w:bottom w:val="single" w:sz="8" w:color="7F7F7F"/>
            </w:tcBorders>
          </w:tcPr>
          <w:p>
            <w:pPr>
              <w:spacing w:after="0"/>
              <w:rPr>
                <w:sz w:val="17"/>
                <w:szCs w:val="17"/>
                <w:color w:val="auto"/>
              </w:rPr>
            </w:pPr>
          </w:p>
        </w:tc>
        <w:tc>
          <w:tcPr>
            <w:tcW w:w="720" w:type="dxa"/>
            <w:vAlign w:val="bottom"/>
            <w:tcBorders>
              <w:bottom w:val="single" w:sz="8" w:color="7F7F7F"/>
            </w:tcBorders>
            <w:shd w:val="clear" w:color="auto" w:fill="EDEDED"/>
          </w:tcPr>
          <w:p>
            <w:pPr>
              <w:spacing w:after="0"/>
              <w:rPr>
                <w:sz w:val="17"/>
                <w:szCs w:val="17"/>
                <w:color w:val="auto"/>
              </w:rPr>
            </w:pPr>
          </w:p>
        </w:tc>
        <w:tc>
          <w:tcPr>
            <w:tcW w:w="140" w:type="dxa"/>
            <w:vAlign w:val="bottom"/>
            <w:tcBorders>
              <w:bottom w:val="single" w:sz="8" w:color="7F7F7F"/>
              <w:right w:val="single" w:sz="8" w:color="EDEDED"/>
            </w:tcBorders>
            <w:shd w:val="clear" w:color="auto" w:fill="EDEDED"/>
          </w:tcPr>
          <w:p>
            <w:pPr>
              <w:spacing w:after="0"/>
              <w:rPr>
                <w:sz w:val="17"/>
                <w:szCs w:val="17"/>
                <w:color w:val="auto"/>
              </w:rPr>
            </w:pPr>
          </w:p>
        </w:tc>
        <w:tc>
          <w:tcPr>
            <w:tcW w:w="540" w:type="dxa"/>
            <w:vAlign w:val="bottom"/>
            <w:tcBorders>
              <w:bottom w:val="single" w:sz="8" w:color="7F7F7F"/>
            </w:tcBorders>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660" w:type="dxa"/>
            <w:vAlign w:val="bottom"/>
          </w:tcPr>
          <w:p>
            <w:pPr>
              <w:ind w:left="820"/>
              <w:spacing w:after="0"/>
              <w:rPr>
                <w:sz w:val="20"/>
                <w:szCs w:val="20"/>
                <w:color w:val="auto"/>
              </w:rPr>
            </w:pPr>
            <w:r>
              <w:rPr>
                <w:rFonts w:ascii="Arial" w:cs="Arial" w:eastAsia="Arial" w:hAnsi="Arial"/>
                <w:sz w:val="16"/>
                <w:szCs w:val="16"/>
                <w:b w:val="1"/>
                <w:bCs w:val="1"/>
                <w:color w:val="auto"/>
              </w:rPr>
              <w:t xml:space="preserve">Proposal 4: </w:t>
            </w:r>
            <w:r>
              <w:rPr>
                <w:rFonts w:ascii="Arial" w:cs="Arial" w:eastAsia="Arial" w:hAnsi="Arial"/>
                <w:sz w:val="16"/>
                <w:szCs w:val="16"/>
                <w:color w:val="auto"/>
              </w:rPr>
              <w:t>Ratification of the appointment of PricewaterhouseCoopers LLP as</w:t>
            </w:r>
          </w:p>
        </w:tc>
        <w:tc>
          <w:tcPr>
            <w:tcW w:w="2560" w:type="dxa"/>
            <w:vAlign w:val="bottom"/>
            <w:vMerge w:val="restart"/>
          </w:tcPr>
          <w:p>
            <w:pPr>
              <w:jc w:val="center"/>
              <w:ind w:left="157"/>
              <w:spacing w:after="0"/>
              <w:rPr>
                <w:sz w:val="20"/>
                <w:szCs w:val="20"/>
                <w:color w:val="auto"/>
              </w:rPr>
            </w:pPr>
            <w:r>
              <w:rPr>
                <w:rFonts w:ascii="Arial" w:cs="Arial" w:eastAsia="Arial" w:hAnsi="Arial"/>
                <w:sz w:val="16"/>
                <w:szCs w:val="16"/>
                <w:b w:val="1"/>
                <w:bCs w:val="1"/>
                <w:color w:val="0A9E50"/>
                <w:w w:val="94"/>
              </w:rPr>
              <w:t>FOR</w:t>
            </w:r>
          </w:p>
        </w:tc>
        <w:tc>
          <w:tcPr>
            <w:tcW w:w="720" w:type="dxa"/>
            <w:vAlign w:val="bottom"/>
            <w:shd w:val="clear" w:color="auto" w:fill="EDEDED"/>
          </w:tcPr>
          <w:p>
            <w:pPr>
              <w:spacing w:after="0"/>
              <w:rPr>
                <w:sz w:val="24"/>
                <w:szCs w:val="24"/>
                <w:color w:val="auto"/>
              </w:rPr>
            </w:pPr>
          </w:p>
        </w:tc>
        <w:tc>
          <w:tcPr>
            <w:tcW w:w="140" w:type="dxa"/>
            <w:vAlign w:val="bottom"/>
            <w:tcBorders>
              <w:right w:val="single" w:sz="8" w:color="EDEDED"/>
            </w:tcBorders>
            <w:shd w:val="clear" w:color="auto" w:fill="EDEDED"/>
          </w:tcPr>
          <w:p>
            <w:pPr>
              <w:spacing w:after="0"/>
              <w:rPr>
                <w:sz w:val="24"/>
                <w:szCs w:val="24"/>
                <w:color w:val="auto"/>
              </w:rPr>
            </w:pPr>
          </w:p>
        </w:tc>
        <w:tc>
          <w:tcPr>
            <w:tcW w:w="54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660" w:type="dxa"/>
            <w:vAlign w:val="bottom"/>
          </w:tcPr>
          <w:p>
            <w:pPr>
              <w:ind w:left="820"/>
              <w:spacing w:after="0" w:line="182" w:lineRule="exact"/>
              <w:rPr>
                <w:sz w:val="20"/>
                <w:szCs w:val="20"/>
                <w:color w:val="auto"/>
              </w:rPr>
            </w:pPr>
            <w:r>
              <w:rPr>
                <w:rFonts w:ascii="Arial" w:cs="Arial" w:eastAsia="Arial" w:hAnsi="Arial"/>
                <w:sz w:val="16"/>
                <w:szCs w:val="16"/>
                <w:color w:val="auto"/>
              </w:rPr>
              <w:t>the Company’s independent registered public accounting firm for the 2024 fiscal</w:t>
            </w:r>
          </w:p>
        </w:tc>
        <w:tc>
          <w:tcPr>
            <w:tcW w:w="2560" w:type="dxa"/>
            <w:vAlign w:val="bottom"/>
            <w:vMerge w:val="continue"/>
          </w:tcPr>
          <w:p>
            <w:pPr>
              <w:spacing w:after="0"/>
              <w:rPr>
                <w:sz w:val="15"/>
                <w:szCs w:val="15"/>
                <w:color w:val="auto"/>
              </w:rPr>
            </w:pPr>
          </w:p>
        </w:tc>
        <w:tc>
          <w:tcPr>
            <w:tcW w:w="720" w:type="dxa"/>
            <w:vAlign w:val="bottom"/>
            <w:shd w:val="clear" w:color="auto" w:fill="EDEDED"/>
          </w:tcPr>
          <w:p>
            <w:pPr>
              <w:spacing w:after="0"/>
              <w:rPr>
                <w:sz w:val="15"/>
                <w:szCs w:val="15"/>
                <w:color w:val="auto"/>
              </w:rPr>
            </w:pPr>
          </w:p>
        </w:tc>
        <w:tc>
          <w:tcPr>
            <w:tcW w:w="680" w:type="dxa"/>
            <w:vAlign w:val="bottom"/>
            <w:gridSpan w:val="2"/>
            <w:shd w:val="clear" w:color="auto" w:fill="EDEDED"/>
          </w:tcPr>
          <w:p>
            <w:pPr>
              <w:jc w:val="center"/>
              <w:ind w:right="316"/>
              <w:spacing w:after="0" w:line="182"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5"/>
        </w:trPr>
        <w:tc>
          <w:tcPr>
            <w:tcW w:w="6660" w:type="dxa"/>
            <w:vAlign w:val="bottom"/>
          </w:tcPr>
          <w:p>
            <w:pPr>
              <w:ind w:left="820"/>
              <w:spacing w:after="0"/>
              <w:rPr>
                <w:sz w:val="20"/>
                <w:szCs w:val="20"/>
                <w:color w:val="auto"/>
              </w:rPr>
            </w:pPr>
            <w:r>
              <w:rPr>
                <w:rFonts w:ascii="Arial" w:cs="Arial" w:eastAsia="Arial" w:hAnsi="Arial"/>
                <w:sz w:val="16"/>
                <w:szCs w:val="16"/>
                <w:color w:val="auto"/>
              </w:rPr>
              <w:t>year</w:t>
            </w:r>
          </w:p>
        </w:tc>
        <w:tc>
          <w:tcPr>
            <w:tcW w:w="2560" w:type="dxa"/>
            <w:vAlign w:val="bottom"/>
          </w:tcPr>
          <w:p>
            <w:pPr>
              <w:spacing w:after="0"/>
              <w:rPr>
                <w:sz w:val="17"/>
                <w:szCs w:val="17"/>
                <w:color w:val="auto"/>
              </w:rPr>
            </w:pPr>
          </w:p>
        </w:tc>
        <w:tc>
          <w:tcPr>
            <w:tcW w:w="720" w:type="dxa"/>
            <w:vAlign w:val="bottom"/>
            <w:shd w:val="clear" w:color="auto" w:fill="EDEDED"/>
          </w:tcPr>
          <w:p>
            <w:pPr>
              <w:spacing w:after="0"/>
              <w:rPr>
                <w:sz w:val="17"/>
                <w:szCs w:val="17"/>
                <w:color w:val="auto"/>
              </w:rPr>
            </w:pPr>
          </w:p>
        </w:tc>
        <w:tc>
          <w:tcPr>
            <w:tcW w:w="140" w:type="dxa"/>
            <w:vAlign w:val="bottom"/>
            <w:tcBorders>
              <w:right w:val="single" w:sz="8" w:color="EDEDED"/>
            </w:tcBorders>
            <w:shd w:val="clear" w:color="auto" w:fill="EDEDED"/>
          </w:tcPr>
          <w:p>
            <w:pPr>
              <w:spacing w:after="0"/>
              <w:rPr>
                <w:sz w:val="17"/>
                <w:szCs w:val="17"/>
                <w:color w:val="auto"/>
              </w:rPr>
            </w:pPr>
          </w:p>
        </w:tc>
        <w:tc>
          <w:tcPr>
            <w:tcW w:w="54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660" w:type="dxa"/>
            <w:vAlign w:val="bottom"/>
            <w:tcBorders>
              <w:bottom w:val="single" w:sz="8" w:color="7F7F7F"/>
            </w:tcBorders>
          </w:tcPr>
          <w:p>
            <w:pPr>
              <w:spacing w:after="0"/>
              <w:rPr>
                <w:sz w:val="12"/>
                <w:szCs w:val="12"/>
                <w:color w:val="auto"/>
              </w:rPr>
            </w:pPr>
          </w:p>
        </w:tc>
        <w:tc>
          <w:tcPr>
            <w:tcW w:w="2560" w:type="dxa"/>
            <w:vAlign w:val="bottom"/>
            <w:tcBorders>
              <w:bottom w:val="single" w:sz="8" w:color="7F7F7F"/>
            </w:tcBorders>
          </w:tcPr>
          <w:p>
            <w:pPr>
              <w:spacing w:after="0"/>
              <w:rPr>
                <w:sz w:val="12"/>
                <w:szCs w:val="12"/>
                <w:color w:val="auto"/>
              </w:rPr>
            </w:pPr>
          </w:p>
        </w:tc>
        <w:tc>
          <w:tcPr>
            <w:tcW w:w="720" w:type="dxa"/>
            <w:vAlign w:val="bottom"/>
            <w:tcBorders>
              <w:bottom w:val="single" w:sz="8" w:color="7F7F7F"/>
            </w:tcBorders>
            <w:shd w:val="clear" w:color="auto" w:fill="EDEDED"/>
          </w:tcPr>
          <w:p>
            <w:pPr>
              <w:spacing w:after="0"/>
              <w:rPr>
                <w:sz w:val="12"/>
                <w:szCs w:val="12"/>
                <w:color w:val="auto"/>
              </w:rPr>
            </w:pPr>
          </w:p>
        </w:tc>
        <w:tc>
          <w:tcPr>
            <w:tcW w:w="140" w:type="dxa"/>
            <w:vAlign w:val="bottom"/>
            <w:tcBorders>
              <w:bottom w:val="single" w:sz="8" w:color="7F7F7F"/>
              <w:right w:val="single" w:sz="8" w:color="EDEDED"/>
            </w:tcBorders>
            <w:shd w:val="clear" w:color="auto" w:fill="EDEDED"/>
          </w:tcPr>
          <w:p>
            <w:pPr>
              <w:spacing w:after="0"/>
              <w:rPr>
                <w:sz w:val="12"/>
                <w:szCs w:val="12"/>
                <w:color w:val="auto"/>
              </w:rPr>
            </w:pPr>
          </w:p>
        </w:tc>
        <w:tc>
          <w:tcPr>
            <w:tcW w:w="540" w:type="dxa"/>
            <w:vAlign w:val="bottom"/>
            <w:tcBorders>
              <w:bottom w:val="single" w:sz="8" w:color="7F7F7F"/>
            </w:tcBorders>
            <w:shd w:val="clear" w:color="auto" w:fill="EDEDED"/>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660" w:type="dxa"/>
            <w:vAlign w:val="bottom"/>
          </w:tcPr>
          <w:p>
            <w:pPr>
              <w:spacing w:after="0"/>
              <w:rPr>
                <w:sz w:val="11"/>
                <w:szCs w:val="11"/>
                <w:color w:val="auto"/>
              </w:rPr>
            </w:pPr>
          </w:p>
        </w:tc>
        <w:tc>
          <w:tcPr>
            <w:tcW w:w="2560" w:type="dxa"/>
            <w:vAlign w:val="bottom"/>
            <w:vMerge w:val="restart"/>
          </w:tcPr>
          <w:p>
            <w:pPr>
              <w:ind w:left="2240"/>
              <w:spacing w:after="0"/>
              <w:rPr>
                <w:sz w:val="20"/>
                <w:szCs w:val="20"/>
                <w:color w:val="auto"/>
              </w:rPr>
            </w:pPr>
            <w:r>
              <w:rPr>
                <w:rFonts w:ascii="Arial" w:cs="Arial" w:eastAsia="Arial" w:hAnsi="Arial"/>
                <w:sz w:val="21"/>
                <w:szCs w:val="21"/>
                <w:color w:val="auto"/>
              </w:rPr>
              <w:t> </w:t>
            </w:r>
          </w:p>
        </w:tc>
        <w:tc>
          <w:tcPr>
            <w:tcW w:w="720" w:type="dxa"/>
            <w:vAlign w:val="bottom"/>
            <w:vMerge w:val="restart"/>
          </w:tcPr>
          <w:p>
            <w:pPr>
              <w:ind w:left="560"/>
              <w:spacing w:after="0"/>
              <w:rPr>
                <w:sz w:val="20"/>
                <w:szCs w:val="20"/>
                <w:color w:val="auto"/>
              </w:rPr>
            </w:pPr>
            <w:r>
              <w:rPr>
                <w:rFonts w:ascii="Arial" w:cs="Arial" w:eastAsia="Arial" w:hAnsi="Arial"/>
                <w:sz w:val="15"/>
                <w:szCs w:val="15"/>
                <w:color w:val="auto"/>
                <w:w w:val="72"/>
              </w:rPr>
              <w:t xml:space="preserve">  </w:t>
            </w: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21"/>
                <w:szCs w:val="21"/>
                <w:color w:val="auto"/>
                <w:w w:val="87"/>
              </w:rPr>
              <w:t>    5</w:t>
            </w:r>
          </w:p>
        </w:tc>
        <w:tc>
          <w:tcPr>
            <w:tcW w:w="0" w:type="dxa"/>
            <w:vAlign w:val="bottom"/>
          </w:tcPr>
          <w:p>
            <w:pPr>
              <w:spacing w:after="0"/>
              <w:rPr>
                <w:sz w:val="1"/>
                <w:szCs w:val="1"/>
                <w:color w:val="auto"/>
              </w:rPr>
            </w:pPr>
          </w:p>
        </w:tc>
      </w:tr>
      <w:tr>
        <w:trPr>
          <w:trHeight w:val="248"/>
        </w:trPr>
        <w:tc>
          <w:tcPr>
            <w:tcW w:w="6660" w:type="dxa"/>
            <w:vAlign w:val="bottom"/>
          </w:tcPr>
          <w:p>
            <w:pPr>
              <w:spacing w:after="0"/>
              <w:rPr>
                <w:sz w:val="21"/>
                <w:szCs w:val="21"/>
                <w:color w:val="auto"/>
              </w:rPr>
            </w:pPr>
          </w:p>
        </w:tc>
        <w:tc>
          <w:tcPr>
            <w:tcW w:w="256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666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-2337435</wp:posOffset>
            </wp:positionV>
            <wp:extent cx="239395" cy="2311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9395" cy="23114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-1849755</wp:posOffset>
            </wp:positionV>
            <wp:extent cx="239395" cy="231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9395" cy="23114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-1312545</wp:posOffset>
            </wp:positionV>
            <wp:extent cx="239395" cy="231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9395" cy="23114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-709930</wp:posOffset>
            </wp:positionV>
            <wp:extent cx="239395" cy="2311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9395" cy="231140"/>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-222250</wp:posOffset>
            </wp:positionV>
            <wp:extent cx="396240" cy="189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6240" cy="189865"/>
                    </a:xfrm>
                    <a:prstGeom prst="rect">
                      <a:avLst/>
                    </a:prstGeom>
                    <a:noFill/>
                  </pic:spPr>
                </pic:pic>
              </a:graphicData>
            </a:graphic>
          </wp:anchor>
        </w:drawing>
      </w:r>
    </w:p>
    <w:p>
      <w:pPr>
        <w:sectPr>
          <w:pgSz w:w="11900" w:h="16838" w:orient="portrait"/>
          <w:cols w:equalWidth="0" w:num="1">
            <w:col w:w="10620"/>
          </w:cols>
          <w:pgMar w:left="640" w:top="423" w:right="6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Proxy Summary</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Nominees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summary information about each director nominee. Each director is elected annually by a plurality vote.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vMerge w:val="restart"/>
          </w:tcPr>
          <w:p>
            <w:pPr>
              <w:ind w:left="60"/>
              <w:spacing w:after="0"/>
              <w:rPr>
                <w:sz w:val="20"/>
                <w:szCs w:val="20"/>
                <w:color w:val="auto"/>
              </w:rPr>
            </w:pPr>
            <w:r>
              <w:rPr>
                <w:rFonts w:ascii="Arial" w:cs="Arial" w:eastAsia="Arial" w:hAnsi="Arial"/>
                <w:sz w:val="17"/>
                <w:szCs w:val="17"/>
                <w:b w:val="1"/>
                <w:bCs w:val="1"/>
                <w:color w:val="0A9E50"/>
              </w:rPr>
              <w:t>Name</w:t>
            </w:r>
          </w:p>
        </w:tc>
        <w:tc>
          <w:tcPr>
            <w:tcW w:w="760" w:type="dxa"/>
            <w:vAlign w:val="bottom"/>
            <w:vMerge w:val="restart"/>
          </w:tcPr>
          <w:p>
            <w:pPr>
              <w:jc w:val="center"/>
              <w:ind w:left="81"/>
              <w:spacing w:after="0"/>
              <w:rPr>
                <w:sz w:val="20"/>
                <w:szCs w:val="20"/>
                <w:color w:val="auto"/>
              </w:rPr>
            </w:pPr>
            <w:r>
              <w:rPr>
                <w:rFonts w:ascii="Arial" w:cs="Arial" w:eastAsia="Arial" w:hAnsi="Arial"/>
                <w:sz w:val="17"/>
                <w:szCs w:val="17"/>
                <w:b w:val="1"/>
                <w:bCs w:val="1"/>
                <w:color w:val="0A9E50"/>
                <w:w w:val="99"/>
              </w:rPr>
              <w:t>Age</w:t>
            </w:r>
          </w:p>
        </w:tc>
        <w:tc>
          <w:tcPr>
            <w:tcW w:w="960" w:type="dxa"/>
            <w:vAlign w:val="bottom"/>
          </w:tcPr>
          <w:p>
            <w:pPr>
              <w:jc w:val="center"/>
              <w:spacing w:after="0"/>
              <w:rPr>
                <w:sz w:val="20"/>
                <w:szCs w:val="20"/>
                <w:color w:val="auto"/>
              </w:rPr>
            </w:pPr>
            <w:r>
              <w:rPr>
                <w:rFonts w:ascii="Arial" w:cs="Arial" w:eastAsia="Arial" w:hAnsi="Arial"/>
                <w:sz w:val="17"/>
                <w:szCs w:val="17"/>
                <w:b w:val="1"/>
                <w:bCs w:val="1"/>
                <w:color w:val="0A9E50"/>
              </w:rPr>
              <w:t>Director</w:t>
            </w:r>
          </w:p>
        </w:tc>
        <w:tc>
          <w:tcPr>
            <w:tcW w:w="1500" w:type="dxa"/>
            <w:vAlign w:val="bottom"/>
            <w:vMerge w:val="restart"/>
          </w:tcPr>
          <w:p>
            <w:pPr>
              <w:jc w:val="center"/>
              <w:ind w:right="101"/>
              <w:spacing w:after="0"/>
              <w:rPr>
                <w:sz w:val="20"/>
                <w:szCs w:val="20"/>
                <w:color w:val="auto"/>
              </w:rPr>
            </w:pPr>
            <w:r>
              <w:rPr>
                <w:rFonts w:ascii="Arial" w:cs="Arial" w:eastAsia="Arial" w:hAnsi="Arial"/>
                <w:sz w:val="17"/>
                <w:szCs w:val="17"/>
                <w:b w:val="1"/>
                <w:bCs w:val="1"/>
                <w:color w:val="0A9E50"/>
              </w:rPr>
              <w:t>Independent</w:t>
            </w:r>
          </w:p>
        </w:tc>
        <w:tc>
          <w:tcPr>
            <w:tcW w:w="3340" w:type="dxa"/>
            <w:vAlign w:val="bottom"/>
            <w:vMerge w:val="restart"/>
          </w:tcPr>
          <w:p>
            <w:pPr>
              <w:jc w:val="center"/>
              <w:spacing w:after="0"/>
              <w:rPr>
                <w:sz w:val="20"/>
                <w:szCs w:val="20"/>
                <w:color w:val="auto"/>
              </w:rPr>
            </w:pPr>
            <w:r>
              <w:rPr>
                <w:rFonts w:ascii="Arial" w:cs="Arial" w:eastAsia="Arial" w:hAnsi="Arial"/>
                <w:sz w:val="17"/>
                <w:szCs w:val="17"/>
                <w:b w:val="1"/>
                <w:bCs w:val="1"/>
                <w:color w:val="0A9E50"/>
              </w:rPr>
              <w:t>Committees</w:t>
            </w:r>
          </w:p>
        </w:tc>
        <w:tc>
          <w:tcPr>
            <w:tcW w:w="0" w:type="dxa"/>
            <w:vAlign w:val="bottom"/>
          </w:tcPr>
          <w:p>
            <w:pPr>
              <w:spacing w:after="0"/>
              <w:rPr>
                <w:sz w:val="1"/>
                <w:szCs w:val="1"/>
                <w:color w:val="auto"/>
              </w:rPr>
            </w:pPr>
          </w:p>
        </w:tc>
      </w:tr>
      <w:tr>
        <w:trPr>
          <w:trHeight w:val="135"/>
        </w:trPr>
        <w:tc>
          <w:tcPr>
            <w:tcW w:w="40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7"/>
                <w:szCs w:val="17"/>
                <w:b w:val="1"/>
                <w:bCs w:val="1"/>
                <w:color w:val="0A9E50"/>
              </w:rPr>
              <w:t>Since</w:t>
            </w:r>
          </w:p>
        </w:tc>
        <w:tc>
          <w:tcPr>
            <w:tcW w:w="1500" w:type="dxa"/>
            <w:vAlign w:val="bottom"/>
            <w:vMerge w:val="continue"/>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40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40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2"/>
        </w:trPr>
        <w:tc>
          <w:tcPr>
            <w:tcW w:w="4060" w:type="dxa"/>
            <w:vAlign w:val="bottom"/>
          </w:tcPr>
          <w:p>
            <w:pPr>
              <w:ind w:left="1140"/>
              <w:spacing w:after="0"/>
              <w:rPr>
                <w:sz w:val="20"/>
                <w:szCs w:val="20"/>
                <w:color w:val="auto"/>
              </w:rPr>
            </w:pPr>
            <w:r>
              <w:rPr>
                <w:rFonts w:ascii="Arial" w:cs="Arial" w:eastAsia="Arial" w:hAnsi="Arial"/>
                <w:sz w:val="16"/>
                <w:szCs w:val="16"/>
                <w:b w:val="1"/>
                <w:bCs w:val="1"/>
                <w:color w:val="auto"/>
              </w:rPr>
              <w:t>Terrence B. Larkin</w:t>
            </w:r>
          </w:p>
        </w:tc>
        <w:tc>
          <w:tcPr>
            <w:tcW w:w="760" w:type="dxa"/>
            <w:vAlign w:val="bottom"/>
            <w:vMerge w:val="restart"/>
          </w:tcPr>
          <w:p>
            <w:pPr>
              <w:jc w:val="center"/>
              <w:ind w:left="101"/>
              <w:spacing w:after="0"/>
              <w:rPr>
                <w:sz w:val="20"/>
                <w:szCs w:val="20"/>
                <w:color w:val="auto"/>
              </w:rPr>
            </w:pPr>
            <w:r>
              <w:rPr>
                <w:rFonts w:ascii="Arial" w:cs="Arial" w:eastAsia="Arial" w:hAnsi="Arial"/>
                <w:sz w:val="16"/>
                <w:szCs w:val="16"/>
                <w:color w:val="auto"/>
              </w:rPr>
              <w:t>69</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2010</w:t>
            </w: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0A9E50"/>
                <w:w w:val="82"/>
              </w:rPr>
              <w:t>●</w:t>
            </w:r>
          </w:p>
        </w:tc>
        <w:tc>
          <w:tcPr>
            <w:tcW w:w="3340" w:type="dxa"/>
            <w:vAlign w:val="bottom"/>
            <w:vMerge w:val="restart"/>
          </w:tcPr>
          <w:p>
            <w:pPr>
              <w:jc w:val="center"/>
              <w:ind w:right="1"/>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27"/>
        </w:trPr>
        <w:tc>
          <w:tcPr>
            <w:tcW w:w="4060" w:type="dxa"/>
            <w:vAlign w:val="bottom"/>
            <w:vMerge w:val="restart"/>
          </w:tcPr>
          <w:p>
            <w:pPr>
              <w:ind w:left="1140"/>
              <w:spacing w:after="0"/>
              <w:rPr>
                <w:sz w:val="20"/>
                <w:szCs w:val="20"/>
                <w:color w:val="auto"/>
              </w:rPr>
            </w:pPr>
            <w:r>
              <w:rPr>
                <w:rFonts w:ascii="Arial" w:cs="Arial" w:eastAsia="Arial" w:hAnsi="Arial"/>
                <w:sz w:val="16"/>
                <w:szCs w:val="16"/>
                <w:color w:val="auto"/>
              </w:rPr>
              <w:t>Non-Executive Chairman of the Board</w:t>
            </w:r>
          </w:p>
        </w:tc>
        <w:tc>
          <w:tcPr>
            <w:tcW w:w="7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40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7"/>
        </w:trPr>
        <w:tc>
          <w:tcPr>
            <w:tcW w:w="4060" w:type="dxa"/>
            <w:vAlign w:val="bottom"/>
            <w:tcBorders>
              <w:bottom w:val="single" w:sz="8" w:color="7F7F7F"/>
            </w:tcBorders>
          </w:tcPr>
          <w:p>
            <w:pPr>
              <w:spacing w:after="0"/>
              <w:rPr>
                <w:sz w:val="24"/>
                <w:szCs w:val="24"/>
                <w:color w:val="auto"/>
              </w:rPr>
            </w:pPr>
          </w:p>
        </w:tc>
        <w:tc>
          <w:tcPr>
            <w:tcW w:w="760" w:type="dxa"/>
            <w:vAlign w:val="bottom"/>
            <w:tcBorders>
              <w:bottom w:val="single" w:sz="8" w:color="7F7F7F"/>
            </w:tcBorders>
          </w:tcPr>
          <w:p>
            <w:pPr>
              <w:spacing w:after="0"/>
              <w:rPr>
                <w:sz w:val="24"/>
                <w:szCs w:val="24"/>
                <w:color w:val="auto"/>
              </w:rPr>
            </w:pPr>
          </w:p>
        </w:tc>
        <w:tc>
          <w:tcPr>
            <w:tcW w:w="960" w:type="dxa"/>
            <w:vAlign w:val="bottom"/>
            <w:tcBorders>
              <w:bottom w:val="single" w:sz="8" w:color="7F7F7F"/>
            </w:tcBorders>
          </w:tcPr>
          <w:p>
            <w:pPr>
              <w:spacing w:after="0"/>
              <w:rPr>
                <w:sz w:val="24"/>
                <w:szCs w:val="24"/>
                <w:color w:val="auto"/>
              </w:rPr>
            </w:pPr>
          </w:p>
        </w:tc>
        <w:tc>
          <w:tcPr>
            <w:tcW w:w="1500" w:type="dxa"/>
            <w:vAlign w:val="bottom"/>
            <w:tcBorders>
              <w:bottom w:val="single" w:sz="8" w:color="7F7F7F"/>
            </w:tcBorders>
          </w:tcPr>
          <w:p>
            <w:pPr>
              <w:spacing w:after="0"/>
              <w:rPr>
                <w:sz w:val="24"/>
                <w:szCs w:val="24"/>
                <w:color w:val="auto"/>
              </w:rPr>
            </w:pPr>
          </w:p>
        </w:tc>
        <w:tc>
          <w:tcPr>
            <w:tcW w:w="334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060" w:type="dxa"/>
            <w:vAlign w:val="bottom"/>
          </w:tcPr>
          <w:p>
            <w:pPr>
              <w:ind w:left="1140"/>
              <w:spacing w:after="0"/>
              <w:rPr>
                <w:sz w:val="20"/>
                <w:szCs w:val="20"/>
                <w:color w:val="auto"/>
              </w:rPr>
            </w:pPr>
            <w:r>
              <w:rPr>
                <w:rFonts w:ascii="Arial" w:cs="Arial" w:eastAsia="Arial" w:hAnsi="Arial"/>
                <w:sz w:val="16"/>
                <w:szCs w:val="16"/>
                <w:b w:val="1"/>
                <w:bCs w:val="1"/>
                <w:color w:val="auto"/>
              </w:rPr>
              <w:t>Peter W. Quigley</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60" w:type="dxa"/>
            <w:vAlign w:val="bottom"/>
          </w:tcPr>
          <w:p>
            <w:pPr>
              <w:ind w:left="1140"/>
              <w:spacing w:after="0" w:line="182" w:lineRule="exact"/>
              <w:rPr>
                <w:sz w:val="20"/>
                <w:szCs w:val="20"/>
                <w:color w:val="auto"/>
              </w:rPr>
            </w:pPr>
            <w:r>
              <w:rPr>
                <w:rFonts w:ascii="Arial" w:cs="Arial" w:eastAsia="Arial" w:hAnsi="Arial"/>
                <w:sz w:val="16"/>
                <w:szCs w:val="16"/>
                <w:color w:val="auto"/>
              </w:rPr>
              <w:t>President and Chief Executive Officer</w:t>
            </w:r>
          </w:p>
        </w:tc>
        <w:tc>
          <w:tcPr>
            <w:tcW w:w="760" w:type="dxa"/>
            <w:vAlign w:val="bottom"/>
          </w:tcPr>
          <w:p>
            <w:pPr>
              <w:jc w:val="center"/>
              <w:ind w:left="101"/>
              <w:spacing w:after="0" w:line="182" w:lineRule="exact"/>
              <w:rPr>
                <w:sz w:val="20"/>
                <w:szCs w:val="20"/>
                <w:color w:val="auto"/>
              </w:rPr>
            </w:pPr>
            <w:r>
              <w:rPr>
                <w:rFonts w:ascii="Arial" w:cs="Arial" w:eastAsia="Arial" w:hAnsi="Arial"/>
                <w:sz w:val="16"/>
                <w:szCs w:val="16"/>
                <w:color w:val="auto"/>
              </w:rPr>
              <w:t>62</w:t>
            </w:r>
          </w:p>
        </w:tc>
        <w:tc>
          <w:tcPr>
            <w:tcW w:w="960" w:type="dxa"/>
            <w:vAlign w:val="bottom"/>
          </w:tcPr>
          <w:p>
            <w:pPr>
              <w:jc w:val="center"/>
              <w:spacing w:after="0" w:line="182" w:lineRule="exact"/>
              <w:rPr>
                <w:sz w:val="20"/>
                <w:szCs w:val="20"/>
                <w:color w:val="auto"/>
              </w:rPr>
            </w:pPr>
            <w:r>
              <w:rPr>
                <w:rFonts w:ascii="Arial" w:cs="Arial" w:eastAsia="Arial" w:hAnsi="Arial"/>
                <w:sz w:val="16"/>
                <w:szCs w:val="16"/>
                <w:color w:val="auto"/>
              </w:rPr>
              <w:t>2019</w:t>
            </w:r>
          </w:p>
        </w:tc>
        <w:tc>
          <w:tcPr>
            <w:tcW w:w="1500" w:type="dxa"/>
            <w:vAlign w:val="bottom"/>
          </w:tcPr>
          <w:p>
            <w:pPr>
              <w:spacing w:after="0"/>
              <w:rPr>
                <w:sz w:val="15"/>
                <w:szCs w:val="15"/>
                <w:color w:val="auto"/>
              </w:rPr>
            </w:pPr>
          </w:p>
        </w:tc>
        <w:tc>
          <w:tcPr>
            <w:tcW w:w="3340" w:type="dxa"/>
            <w:vAlign w:val="bottom"/>
          </w:tcPr>
          <w:p>
            <w:pPr>
              <w:jc w:val="center"/>
              <w:ind w:right="1"/>
              <w:spacing w:after="0" w:line="182" w:lineRule="exact"/>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5"/>
        </w:trPr>
        <w:tc>
          <w:tcPr>
            <w:tcW w:w="4060" w:type="dxa"/>
            <w:vAlign w:val="bottom"/>
          </w:tcPr>
          <w:p>
            <w:pPr>
              <w:ind w:left="1140"/>
              <w:spacing w:after="0"/>
              <w:rPr>
                <w:sz w:val="20"/>
                <w:szCs w:val="20"/>
                <w:color w:val="auto"/>
              </w:rPr>
            </w:pPr>
            <w:r>
              <w:rPr>
                <w:rFonts w:ascii="Arial" w:cs="Arial" w:eastAsia="Arial" w:hAnsi="Arial"/>
                <w:sz w:val="16"/>
                <w:szCs w:val="16"/>
                <w:color w:val="auto"/>
              </w:rPr>
              <w:t>(“CEO”)</w:t>
            </w: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60" w:type="dxa"/>
            <w:vAlign w:val="bottom"/>
            <w:tcBorders>
              <w:bottom w:val="single" w:sz="8" w:color="7F7F7F"/>
            </w:tcBorders>
          </w:tcPr>
          <w:p>
            <w:pPr>
              <w:spacing w:after="0"/>
              <w:rPr>
                <w:sz w:val="20"/>
                <w:szCs w:val="20"/>
                <w:color w:val="auto"/>
              </w:rPr>
            </w:pPr>
          </w:p>
        </w:tc>
        <w:tc>
          <w:tcPr>
            <w:tcW w:w="760" w:type="dxa"/>
            <w:vAlign w:val="bottom"/>
            <w:tcBorders>
              <w:bottom w:val="single" w:sz="8" w:color="7F7F7F"/>
            </w:tcBorders>
          </w:tcPr>
          <w:p>
            <w:pPr>
              <w:spacing w:after="0"/>
              <w:rPr>
                <w:sz w:val="20"/>
                <w:szCs w:val="20"/>
                <w:color w:val="auto"/>
              </w:rPr>
            </w:pPr>
          </w:p>
        </w:tc>
        <w:tc>
          <w:tcPr>
            <w:tcW w:w="960" w:type="dxa"/>
            <w:vAlign w:val="bottom"/>
            <w:tcBorders>
              <w:bottom w:val="single" w:sz="8" w:color="7F7F7F"/>
            </w:tcBorders>
          </w:tcPr>
          <w:p>
            <w:pPr>
              <w:spacing w:after="0"/>
              <w:rPr>
                <w:sz w:val="20"/>
                <w:szCs w:val="20"/>
                <w:color w:val="auto"/>
              </w:rPr>
            </w:pPr>
          </w:p>
        </w:tc>
        <w:tc>
          <w:tcPr>
            <w:tcW w:w="1500" w:type="dxa"/>
            <w:vAlign w:val="bottom"/>
            <w:tcBorders>
              <w:bottom w:val="single" w:sz="8" w:color="7F7F7F"/>
            </w:tcBorders>
          </w:tcPr>
          <w:p>
            <w:pPr>
              <w:spacing w:after="0"/>
              <w:rPr>
                <w:sz w:val="20"/>
                <w:szCs w:val="20"/>
                <w:color w:val="auto"/>
              </w:rPr>
            </w:pPr>
          </w:p>
        </w:tc>
        <w:tc>
          <w:tcPr>
            <w:tcW w:w="3340" w:type="dxa"/>
            <w:vAlign w:val="bottom"/>
            <w:tcBorders>
              <w:bottom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06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Gerald S. Adolph</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0A9E50"/>
                <w:w w:val="82"/>
              </w:rPr>
              <w:t>●</w:t>
            </w:r>
          </w:p>
        </w:tc>
        <w:tc>
          <w:tcPr>
            <w:tcW w:w="3340" w:type="dxa"/>
            <w:vAlign w:val="bottom"/>
          </w:tcPr>
          <w:p>
            <w:pPr>
              <w:jc w:val="center"/>
              <w:ind w:right="1"/>
              <w:spacing w:after="0"/>
              <w:rPr>
                <w:sz w:val="20"/>
                <w:szCs w:val="20"/>
                <w:color w:val="auto"/>
              </w:rPr>
            </w:pPr>
            <w:r>
              <w:rPr>
                <w:rFonts w:ascii="Arial" w:cs="Arial" w:eastAsia="Arial" w:hAnsi="Arial"/>
                <w:sz w:val="16"/>
                <w:szCs w:val="16"/>
                <w:color w:val="auto"/>
                <w:w w:val="97"/>
              </w:rPr>
              <w:t>Audit, Compensation and Talent</w:t>
            </w:r>
          </w:p>
        </w:tc>
        <w:tc>
          <w:tcPr>
            <w:tcW w:w="0" w:type="dxa"/>
            <w:vAlign w:val="bottom"/>
          </w:tcPr>
          <w:p>
            <w:pPr>
              <w:spacing w:after="0"/>
              <w:rPr>
                <w:sz w:val="1"/>
                <w:szCs w:val="1"/>
                <w:color w:val="auto"/>
              </w:rPr>
            </w:pPr>
          </w:p>
        </w:tc>
      </w:tr>
      <w:tr>
        <w:trPr>
          <w:trHeight w:val="91"/>
        </w:trPr>
        <w:tc>
          <w:tcPr>
            <w:tcW w:w="4060" w:type="dxa"/>
            <w:vAlign w:val="bottom"/>
            <w:vMerge w:val="continue"/>
          </w:tcPr>
          <w:p>
            <w:pPr>
              <w:spacing w:after="0"/>
              <w:rPr>
                <w:sz w:val="7"/>
                <w:szCs w:val="7"/>
                <w:color w:val="auto"/>
              </w:rPr>
            </w:pPr>
          </w:p>
        </w:tc>
        <w:tc>
          <w:tcPr>
            <w:tcW w:w="760" w:type="dxa"/>
            <w:vAlign w:val="bottom"/>
            <w:vMerge w:val="restart"/>
          </w:tcPr>
          <w:p>
            <w:pPr>
              <w:jc w:val="center"/>
              <w:ind w:left="101"/>
              <w:spacing w:after="0" w:line="180" w:lineRule="exact"/>
              <w:rPr>
                <w:sz w:val="20"/>
                <w:szCs w:val="20"/>
                <w:color w:val="auto"/>
              </w:rPr>
            </w:pPr>
            <w:r>
              <w:rPr>
                <w:rFonts w:ascii="Arial" w:cs="Arial" w:eastAsia="Arial" w:hAnsi="Arial"/>
                <w:sz w:val="16"/>
                <w:szCs w:val="16"/>
                <w:color w:val="auto"/>
              </w:rPr>
              <w:t>70</w:t>
            </w:r>
          </w:p>
        </w:tc>
        <w:tc>
          <w:tcPr>
            <w:tcW w:w="960" w:type="dxa"/>
            <w:vAlign w:val="bottom"/>
            <w:vMerge w:val="restart"/>
          </w:tcPr>
          <w:p>
            <w:pPr>
              <w:jc w:val="center"/>
              <w:spacing w:after="0" w:line="180" w:lineRule="exact"/>
              <w:rPr>
                <w:sz w:val="20"/>
                <w:szCs w:val="20"/>
                <w:color w:val="auto"/>
              </w:rPr>
            </w:pPr>
            <w:r>
              <w:rPr>
                <w:rFonts w:ascii="Arial" w:cs="Arial" w:eastAsia="Arial" w:hAnsi="Arial"/>
                <w:sz w:val="16"/>
                <w:szCs w:val="16"/>
                <w:color w:val="auto"/>
              </w:rPr>
              <w:t>2018</w:t>
            </w:r>
          </w:p>
        </w:tc>
        <w:tc>
          <w:tcPr>
            <w:tcW w:w="1500" w:type="dxa"/>
            <w:vAlign w:val="bottom"/>
            <w:vMerge w:val="continue"/>
          </w:tcPr>
          <w:p>
            <w:pPr>
              <w:spacing w:after="0"/>
              <w:rPr>
                <w:sz w:val="7"/>
                <w:szCs w:val="7"/>
                <w:color w:val="auto"/>
              </w:rPr>
            </w:pPr>
          </w:p>
        </w:tc>
        <w:tc>
          <w:tcPr>
            <w:tcW w:w="3340" w:type="dxa"/>
            <w:vAlign w:val="bottom"/>
            <w:vMerge w:val="restart"/>
          </w:tcPr>
          <w:p>
            <w:pPr>
              <w:jc w:val="center"/>
              <w:ind w:right="1"/>
              <w:spacing w:after="0" w:line="180" w:lineRule="exact"/>
              <w:rPr>
                <w:sz w:val="20"/>
                <w:szCs w:val="20"/>
                <w:color w:val="auto"/>
              </w:rPr>
            </w:pPr>
            <w:r>
              <w:rPr>
                <w:rFonts w:ascii="Arial" w:cs="Arial" w:eastAsia="Arial" w:hAnsi="Arial"/>
                <w:sz w:val="16"/>
                <w:szCs w:val="16"/>
                <w:color w:val="auto"/>
                <w:w w:val="97"/>
              </w:rPr>
              <w:t>Management, Corporate Governance</w:t>
            </w:r>
          </w:p>
        </w:tc>
        <w:tc>
          <w:tcPr>
            <w:tcW w:w="0" w:type="dxa"/>
            <w:vAlign w:val="bottom"/>
          </w:tcPr>
          <w:p>
            <w:pPr>
              <w:spacing w:after="0"/>
              <w:rPr>
                <w:sz w:val="1"/>
                <w:szCs w:val="1"/>
                <w:color w:val="auto"/>
              </w:rPr>
            </w:pPr>
          </w:p>
        </w:tc>
      </w:tr>
      <w:tr>
        <w:trPr>
          <w:trHeight w:val="89"/>
        </w:trPr>
        <w:tc>
          <w:tcPr>
            <w:tcW w:w="4060" w:type="dxa"/>
            <w:vAlign w:val="bottom"/>
            <w:vMerge w:val="restart"/>
          </w:tcPr>
          <w:p>
            <w:pPr>
              <w:ind w:left="1140"/>
              <w:spacing w:after="0"/>
              <w:rPr>
                <w:sz w:val="20"/>
                <w:szCs w:val="20"/>
                <w:color w:val="auto"/>
              </w:rPr>
            </w:pPr>
            <w:r>
              <w:rPr>
                <w:rFonts w:ascii="Arial" w:cs="Arial" w:eastAsia="Arial" w:hAnsi="Arial"/>
                <w:sz w:val="16"/>
                <w:szCs w:val="16"/>
                <w:color w:val="auto"/>
              </w:rPr>
              <w:t>Director</w:t>
            </w: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40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340" w:type="dxa"/>
            <w:vAlign w:val="bottom"/>
            <w:vMerge w:val="restart"/>
          </w:tcPr>
          <w:p>
            <w:pPr>
              <w:jc w:val="center"/>
              <w:spacing w:after="0"/>
              <w:rPr>
                <w:sz w:val="20"/>
                <w:szCs w:val="20"/>
                <w:color w:val="auto"/>
              </w:rPr>
            </w:pPr>
            <w:r>
              <w:rPr>
                <w:rFonts w:ascii="Arial" w:cs="Arial" w:eastAsia="Arial" w:hAnsi="Arial"/>
                <w:sz w:val="16"/>
                <w:szCs w:val="16"/>
                <w:color w:val="auto"/>
                <w:w w:val="97"/>
              </w:rPr>
              <w:t xml:space="preserve">and Nominating </w:t>
            </w:r>
            <w:r>
              <w:rPr>
                <w:rFonts w:ascii="Arial" w:cs="Arial" w:eastAsia="Arial" w:hAnsi="Arial"/>
                <w:sz w:val="16"/>
                <w:szCs w:val="16"/>
                <w:b w:val="1"/>
                <w:bCs w:val="1"/>
                <w:color w:val="auto"/>
                <w:w w:val="97"/>
              </w:rPr>
              <w:t>(Chair)</w:t>
            </w:r>
          </w:p>
        </w:tc>
        <w:tc>
          <w:tcPr>
            <w:tcW w:w="0" w:type="dxa"/>
            <w:vAlign w:val="bottom"/>
          </w:tcPr>
          <w:p>
            <w:pPr>
              <w:spacing w:after="0"/>
              <w:rPr>
                <w:sz w:val="1"/>
                <w:szCs w:val="1"/>
                <w:color w:val="auto"/>
              </w:rPr>
            </w:pPr>
          </w:p>
        </w:tc>
      </w:tr>
      <w:tr>
        <w:trPr>
          <w:trHeight w:val="99"/>
        </w:trPr>
        <w:tc>
          <w:tcPr>
            <w:tcW w:w="4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4060" w:type="dxa"/>
            <w:vAlign w:val="bottom"/>
            <w:tcBorders>
              <w:bottom w:val="single" w:sz="8" w:color="7F7F7F"/>
            </w:tcBorders>
          </w:tcPr>
          <w:p>
            <w:pPr>
              <w:spacing w:after="0"/>
              <w:rPr>
                <w:sz w:val="19"/>
                <w:szCs w:val="19"/>
                <w:color w:val="auto"/>
              </w:rPr>
            </w:pPr>
          </w:p>
        </w:tc>
        <w:tc>
          <w:tcPr>
            <w:tcW w:w="760" w:type="dxa"/>
            <w:vAlign w:val="bottom"/>
            <w:tcBorders>
              <w:bottom w:val="single" w:sz="8" w:color="7F7F7F"/>
            </w:tcBorders>
          </w:tcPr>
          <w:p>
            <w:pPr>
              <w:spacing w:after="0"/>
              <w:rPr>
                <w:sz w:val="19"/>
                <w:szCs w:val="19"/>
                <w:color w:val="auto"/>
              </w:rPr>
            </w:pPr>
          </w:p>
        </w:tc>
        <w:tc>
          <w:tcPr>
            <w:tcW w:w="960" w:type="dxa"/>
            <w:vAlign w:val="bottom"/>
            <w:tcBorders>
              <w:bottom w:val="single" w:sz="8" w:color="7F7F7F"/>
            </w:tcBorders>
          </w:tcPr>
          <w:p>
            <w:pPr>
              <w:spacing w:after="0"/>
              <w:rPr>
                <w:sz w:val="19"/>
                <w:szCs w:val="19"/>
                <w:color w:val="auto"/>
              </w:rPr>
            </w:pPr>
          </w:p>
        </w:tc>
        <w:tc>
          <w:tcPr>
            <w:tcW w:w="1500" w:type="dxa"/>
            <w:vAlign w:val="bottom"/>
            <w:tcBorders>
              <w:bottom w:val="single" w:sz="8" w:color="7F7F7F"/>
            </w:tcBorders>
          </w:tcPr>
          <w:p>
            <w:pPr>
              <w:spacing w:after="0"/>
              <w:rPr>
                <w:sz w:val="19"/>
                <w:szCs w:val="19"/>
                <w:color w:val="auto"/>
              </w:rPr>
            </w:pPr>
          </w:p>
        </w:tc>
        <w:tc>
          <w:tcPr>
            <w:tcW w:w="3340" w:type="dxa"/>
            <w:vAlign w:val="bottom"/>
            <w:tcBorders>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4060" w:type="dxa"/>
            <w:vAlign w:val="bottom"/>
          </w:tcPr>
          <w:p>
            <w:pPr>
              <w:ind w:left="1140"/>
              <w:spacing w:after="0"/>
              <w:rPr>
                <w:sz w:val="20"/>
                <w:szCs w:val="20"/>
                <w:color w:val="auto"/>
              </w:rPr>
            </w:pPr>
            <w:r>
              <w:rPr>
                <w:rFonts w:ascii="Arial" w:cs="Arial" w:eastAsia="Arial" w:hAnsi="Arial"/>
                <w:sz w:val="16"/>
                <w:szCs w:val="16"/>
                <w:b w:val="1"/>
                <w:bCs w:val="1"/>
                <w:color w:val="auto"/>
              </w:rPr>
              <w:t>George S. Corona</w:t>
            </w:r>
          </w:p>
        </w:tc>
        <w:tc>
          <w:tcPr>
            <w:tcW w:w="760" w:type="dxa"/>
            <w:vAlign w:val="bottom"/>
            <w:vMerge w:val="restart"/>
          </w:tcPr>
          <w:p>
            <w:pPr>
              <w:jc w:val="center"/>
              <w:ind w:left="101"/>
              <w:spacing w:after="0"/>
              <w:rPr>
                <w:sz w:val="20"/>
                <w:szCs w:val="20"/>
                <w:color w:val="auto"/>
              </w:rPr>
            </w:pPr>
            <w:r>
              <w:rPr>
                <w:rFonts w:ascii="Arial" w:cs="Arial" w:eastAsia="Arial" w:hAnsi="Arial"/>
                <w:sz w:val="16"/>
                <w:szCs w:val="16"/>
                <w:color w:val="auto"/>
              </w:rPr>
              <w:t>65</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2017</w:t>
            </w: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0A9E50"/>
                <w:w w:val="82"/>
              </w:rPr>
              <w:t>●</w:t>
            </w:r>
          </w:p>
        </w:tc>
        <w:tc>
          <w:tcPr>
            <w:tcW w:w="3340" w:type="dxa"/>
            <w:vAlign w:val="bottom"/>
            <w:vMerge w:val="restart"/>
          </w:tcPr>
          <w:p>
            <w:pPr>
              <w:jc w:val="center"/>
              <w:ind w:right="1"/>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27"/>
        </w:trPr>
        <w:tc>
          <w:tcPr>
            <w:tcW w:w="4060" w:type="dxa"/>
            <w:vAlign w:val="bottom"/>
            <w:vMerge w:val="restart"/>
          </w:tcPr>
          <w:p>
            <w:pPr>
              <w:ind w:left="1140"/>
              <w:spacing w:after="0"/>
              <w:rPr>
                <w:sz w:val="20"/>
                <w:szCs w:val="20"/>
                <w:color w:val="auto"/>
              </w:rPr>
            </w:pPr>
            <w:r>
              <w:rPr>
                <w:rFonts w:ascii="Arial" w:cs="Arial" w:eastAsia="Arial" w:hAnsi="Arial"/>
                <w:sz w:val="16"/>
                <w:szCs w:val="16"/>
                <w:color w:val="auto"/>
              </w:rPr>
              <w:t>Director</w:t>
            </w:r>
          </w:p>
        </w:tc>
        <w:tc>
          <w:tcPr>
            <w:tcW w:w="7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40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7"/>
        </w:trPr>
        <w:tc>
          <w:tcPr>
            <w:tcW w:w="4060" w:type="dxa"/>
            <w:vAlign w:val="bottom"/>
            <w:tcBorders>
              <w:bottom w:val="single" w:sz="8" w:color="7F7F7F"/>
            </w:tcBorders>
          </w:tcPr>
          <w:p>
            <w:pPr>
              <w:spacing w:after="0"/>
              <w:rPr>
                <w:sz w:val="24"/>
                <w:szCs w:val="24"/>
                <w:color w:val="auto"/>
              </w:rPr>
            </w:pPr>
          </w:p>
        </w:tc>
        <w:tc>
          <w:tcPr>
            <w:tcW w:w="760" w:type="dxa"/>
            <w:vAlign w:val="bottom"/>
            <w:tcBorders>
              <w:bottom w:val="single" w:sz="8" w:color="7F7F7F"/>
            </w:tcBorders>
          </w:tcPr>
          <w:p>
            <w:pPr>
              <w:spacing w:after="0"/>
              <w:rPr>
                <w:sz w:val="24"/>
                <w:szCs w:val="24"/>
                <w:color w:val="auto"/>
              </w:rPr>
            </w:pPr>
          </w:p>
        </w:tc>
        <w:tc>
          <w:tcPr>
            <w:tcW w:w="960" w:type="dxa"/>
            <w:vAlign w:val="bottom"/>
            <w:tcBorders>
              <w:bottom w:val="single" w:sz="8" w:color="7F7F7F"/>
            </w:tcBorders>
          </w:tcPr>
          <w:p>
            <w:pPr>
              <w:spacing w:after="0"/>
              <w:rPr>
                <w:sz w:val="24"/>
                <w:szCs w:val="24"/>
                <w:color w:val="auto"/>
              </w:rPr>
            </w:pPr>
          </w:p>
        </w:tc>
        <w:tc>
          <w:tcPr>
            <w:tcW w:w="1500" w:type="dxa"/>
            <w:vAlign w:val="bottom"/>
            <w:tcBorders>
              <w:bottom w:val="single" w:sz="8" w:color="7F7F7F"/>
            </w:tcBorders>
          </w:tcPr>
          <w:p>
            <w:pPr>
              <w:spacing w:after="0"/>
              <w:rPr>
                <w:sz w:val="24"/>
                <w:szCs w:val="24"/>
                <w:color w:val="auto"/>
              </w:rPr>
            </w:pPr>
          </w:p>
        </w:tc>
        <w:tc>
          <w:tcPr>
            <w:tcW w:w="334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06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Robert S. Cubbin</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340" w:type="dxa"/>
            <w:vAlign w:val="bottom"/>
          </w:tcPr>
          <w:p>
            <w:pPr>
              <w:jc w:val="center"/>
              <w:ind w:right="1"/>
              <w:spacing w:after="0"/>
              <w:rPr>
                <w:sz w:val="20"/>
                <w:szCs w:val="20"/>
                <w:color w:val="auto"/>
              </w:rPr>
            </w:pPr>
            <w:r>
              <w:rPr>
                <w:rFonts w:ascii="Arial" w:cs="Arial" w:eastAsia="Arial" w:hAnsi="Arial"/>
                <w:sz w:val="16"/>
                <w:szCs w:val="16"/>
                <w:color w:val="auto"/>
                <w:w w:val="97"/>
              </w:rPr>
              <w:t>Audit, Compensation and Talent</w:t>
            </w:r>
          </w:p>
        </w:tc>
        <w:tc>
          <w:tcPr>
            <w:tcW w:w="0" w:type="dxa"/>
            <w:vAlign w:val="bottom"/>
          </w:tcPr>
          <w:p>
            <w:pPr>
              <w:spacing w:after="0"/>
              <w:rPr>
                <w:sz w:val="1"/>
                <w:szCs w:val="1"/>
                <w:color w:val="auto"/>
              </w:rPr>
            </w:pPr>
          </w:p>
        </w:tc>
      </w:tr>
      <w:tr>
        <w:trPr>
          <w:trHeight w:val="93"/>
        </w:trPr>
        <w:tc>
          <w:tcPr>
            <w:tcW w:w="4060" w:type="dxa"/>
            <w:vAlign w:val="bottom"/>
            <w:vMerge w:val="continue"/>
          </w:tcPr>
          <w:p>
            <w:pPr>
              <w:spacing w:after="0"/>
              <w:rPr>
                <w:sz w:val="8"/>
                <w:szCs w:val="8"/>
                <w:color w:val="auto"/>
              </w:rPr>
            </w:pPr>
          </w:p>
        </w:tc>
        <w:tc>
          <w:tcPr>
            <w:tcW w:w="760" w:type="dxa"/>
            <w:vAlign w:val="bottom"/>
            <w:vMerge w:val="restart"/>
          </w:tcPr>
          <w:p>
            <w:pPr>
              <w:jc w:val="center"/>
              <w:ind w:left="101"/>
              <w:spacing w:after="0"/>
              <w:rPr>
                <w:sz w:val="20"/>
                <w:szCs w:val="20"/>
                <w:color w:val="auto"/>
              </w:rPr>
            </w:pPr>
            <w:r>
              <w:rPr>
                <w:rFonts w:ascii="Arial" w:cs="Arial" w:eastAsia="Arial" w:hAnsi="Arial"/>
                <w:sz w:val="16"/>
                <w:szCs w:val="16"/>
                <w:color w:val="auto"/>
              </w:rPr>
              <w:t>66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2014</w:t>
            </w: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0A9E50"/>
                <w:w w:val="82"/>
              </w:rPr>
              <w:t>●</w:t>
            </w:r>
          </w:p>
        </w:tc>
        <w:tc>
          <w:tcPr>
            <w:tcW w:w="3340" w:type="dxa"/>
            <w:vAlign w:val="bottom"/>
            <w:vMerge w:val="restart"/>
          </w:tcPr>
          <w:p>
            <w:pPr>
              <w:jc w:val="center"/>
              <w:spacing w:after="0"/>
              <w:rPr>
                <w:sz w:val="20"/>
                <w:szCs w:val="20"/>
                <w:color w:val="auto"/>
              </w:rPr>
            </w:pPr>
            <w:r>
              <w:rPr>
                <w:rFonts w:ascii="Arial" w:cs="Arial" w:eastAsia="Arial" w:hAnsi="Arial"/>
                <w:sz w:val="16"/>
                <w:szCs w:val="16"/>
                <w:color w:val="auto"/>
                <w:w w:val="97"/>
              </w:rPr>
              <w:t xml:space="preserve">Management </w:t>
            </w:r>
            <w:r>
              <w:rPr>
                <w:rFonts w:ascii="Arial" w:cs="Arial" w:eastAsia="Arial" w:hAnsi="Arial"/>
                <w:sz w:val="16"/>
                <w:szCs w:val="16"/>
                <w:b w:val="1"/>
                <w:bCs w:val="1"/>
                <w:color w:val="auto"/>
                <w:w w:val="97"/>
              </w:rPr>
              <w:t>(Chair)</w:t>
            </w:r>
            <w:r>
              <w:rPr>
                <w:rFonts w:ascii="Arial" w:cs="Arial" w:eastAsia="Arial" w:hAnsi="Arial"/>
                <w:sz w:val="16"/>
                <w:szCs w:val="16"/>
                <w:color w:val="auto"/>
                <w:w w:val="97"/>
              </w:rPr>
              <w:t>, Corporate</w:t>
            </w:r>
          </w:p>
        </w:tc>
        <w:tc>
          <w:tcPr>
            <w:tcW w:w="0" w:type="dxa"/>
            <w:vAlign w:val="bottom"/>
          </w:tcPr>
          <w:p>
            <w:pPr>
              <w:spacing w:after="0"/>
              <w:rPr>
                <w:sz w:val="1"/>
                <w:szCs w:val="1"/>
                <w:color w:val="auto"/>
              </w:rPr>
            </w:pPr>
          </w:p>
        </w:tc>
      </w:tr>
      <w:tr>
        <w:trPr>
          <w:trHeight w:val="91"/>
        </w:trPr>
        <w:tc>
          <w:tcPr>
            <w:tcW w:w="4060" w:type="dxa"/>
            <w:vAlign w:val="bottom"/>
            <w:vMerge w:val="restart"/>
          </w:tcPr>
          <w:p>
            <w:pPr>
              <w:ind w:left="1140"/>
              <w:spacing w:after="0"/>
              <w:rPr>
                <w:sz w:val="20"/>
                <w:szCs w:val="20"/>
                <w:color w:val="auto"/>
              </w:rPr>
            </w:pPr>
            <w:r>
              <w:rPr>
                <w:rFonts w:ascii="Arial" w:cs="Arial" w:eastAsia="Arial" w:hAnsi="Arial"/>
                <w:sz w:val="16"/>
                <w:szCs w:val="16"/>
                <w:color w:val="auto"/>
              </w:rPr>
              <w:t>Director</w:t>
            </w: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0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340" w:type="dxa"/>
            <w:vAlign w:val="bottom"/>
            <w:vMerge w:val="restart"/>
          </w:tcPr>
          <w:p>
            <w:pPr>
              <w:jc w:val="center"/>
              <w:ind w:right="1"/>
              <w:spacing w:after="0"/>
              <w:rPr>
                <w:sz w:val="20"/>
                <w:szCs w:val="20"/>
                <w:color w:val="auto"/>
              </w:rPr>
            </w:pPr>
            <w:r>
              <w:rPr>
                <w:rFonts w:ascii="Arial" w:cs="Arial" w:eastAsia="Arial" w:hAnsi="Arial"/>
                <w:sz w:val="16"/>
                <w:szCs w:val="16"/>
                <w:color w:val="auto"/>
                <w:w w:val="97"/>
              </w:rPr>
              <w:t>Governance and Nominating</w:t>
            </w:r>
          </w:p>
        </w:tc>
        <w:tc>
          <w:tcPr>
            <w:tcW w:w="0" w:type="dxa"/>
            <w:vAlign w:val="bottom"/>
          </w:tcPr>
          <w:p>
            <w:pPr>
              <w:spacing w:after="0"/>
              <w:rPr>
                <w:sz w:val="1"/>
                <w:szCs w:val="1"/>
                <w:color w:val="auto"/>
              </w:rPr>
            </w:pPr>
          </w:p>
        </w:tc>
      </w:tr>
      <w:tr>
        <w:trPr>
          <w:trHeight w:val="91"/>
        </w:trPr>
        <w:tc>
          <w:tcPr>
            <w:tcW w:w="4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060" w:type="dxa"/>
            <w:vAlign w:val="bottom"/>
            <w:tcBorders>
              <w:bottom w:val="single" w:sz="8" w:color="7F7F7F"/>
            </w:tcBorders>
          </w:tcPr>
          <w:p>
            <w:pPr>
              <w:spacing w:after="0"/>
              <w:rPr>
                <w:sz w:val="20"/>
                <w:szCs w:val="20"/>
                <w:color w:val="auto"/>
              </w:rPr>
            </w:pPr>
          </w:p>
        </w:tc>
        <w:tc>
          <w:tcPr>
            <w:tcW w:w="760" w:type="dxa"/>
            <w:vAlign w:val="bottom"/>
            <w:tcBorders>
              <w:bottom w:val="single" w:sz="8" w:color="7F7F7F"/>
            </w:tcBorders>
          </w:tcPr>
          <w:p>
            <w:pPr>
              <w:spacing w:after="0"/>
              <w:rPr>
                <w:sz w:val="20"/>
                <w:szCs w:val="20"/>
                <w:color w:val="auto"/>
              </w:rPr>
            </w:pPr>
          </w:p>
        </w:tc>
        <w:tc>
          <w:tcPr>
            <w:tcW w:w="960" w:type="dxa"/>
            <w:vAlign w:val="bottom"/>
            <w:tcBorders>
              <w:bottom w:val="single" w:sz="8" w:color="7F7F7F"/>
            </w:tcBorders>
          </w:tcPr>
          <w:p>
            <w:pPr>
              <w:spacing w:after="0"/>
              <w:rPr>
                <w:sz w:val="20"/>
                <w:szCs w:val="20"/>
                <w:color w:val="auto"/>
              </w:rPr>
            </w:pPr>
          </w:p>
        </w:tc>
        <w:tc>
          <w:tcPr>
            <w:tcW w:w="1500" w:type="dxa"/>
            <w:vAlign w:val="bottom"/>
            <w:tcBorders>
              <w:bottom w:val="single" w:sz="8" w:color="7F7F7F"/>
            </w:tcBorders>
          </w:tcPr>
          <w:p>
            <w:pPr>
              <w:spacing w:after="0"/>
              <w:rPr>
                <w:sz w:val="20"/>
                <w:szCs w:val="20"/>
                <w:color w:val="auto"/>
              </w:rPr>
            </w:pPr>
          </w:p>
        </w:tc>
        <w:tc>
          <w:tcPr>
            <w:tcW w:w="3340" w:type="dxa"/>
            <w:vAlign w:val="bottom"/>
            <w:tcBorders>
              <w:bottom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06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Amala Duggirala</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0A9E50"/>
                <w:w w:val="82"/>
              </w:rPr>
              <w:t>●</w:t>
            </w:r>
          </w:p>
        </w:tc>
        <w:tc>
          <w:tcPr>
            <w:tcW w:w="3340" w:type="dxa"/>
            <w:vAlign w:val="bottom"/>
          </w:tcPr>
          <w:p>
            <w:pPr>
              <w:jc w:val="center"/>
              <w:spacing w:after="0"/>
              <w:rPr>
                <w:sz w:val="20"/>
                <w:szCs w:val="20"/>
                <w:color w:val="auto"/>
              </w:rPr>
            </w:pPr>
            <w:r>
              <w:rPr>
                <w:rFonts w:ascii="Arial" w:cs="Arial" w:eastAsia="Arial" w:hAnsi="Arial"/>
                <w:sz w:val="16"/>
                <w:szCs w:val="16"/>
                <w:color w:val="auto"/>
                <w:w w:val="97"/>
              </w:rPr>
              <w:t>Audit,</w:t>
            </w:r>
          </w:p>
        </w:tc>
        <w:tc>
          <w:tcPr>
            <w:tcW w:w="0" w:type="dxa"/>
            <w:vAlign w:val="bottom"/>
          </w:tcPr>
          <w:p>
            <w:pPr>
              <w:spacing w:after="0"/>
              <w:rPr>
                <w:sz w:val="1"/>
                <w:szCs w:val="1"/>
                <w:color w:val="auto"/>
              </w:rPr>
            </w:pPr>
          </w:p>
        </w:tc>
      </w:tr>
      <w:tr>
        <w:trPr>
          <w:trHeight w:val="91"/>
        </w:trPr>
        <w:tc>
          <w:tcPr>
            <w:tcW w:w="4060" w:type="dxa"/>
            <w:vAlign w:val="bottom"/>
            <w:vMerge w:val="continue"/>
          </w:tcPr>
          <w:p>
            <w:pPr>
              <w:spacing w:after="0"/>
              <w:rPr>
                <w:sz w:val="7"/>
                <w:szCs w:val="7"/>
                <w:color w:val="auto"/>
              </w:rPr>
            </w:pPr>
          </w:p>
        </w:tc>
        <w:tc>
          <w:tcPr>
            <w:tcW w:w="760" w:type="dxa"/>
            <w:vAlign w:val="bottom"/>
            <w:vMerge w:val="restart"/>
          </w:tcPr>
          <w:p>
            <w:pPr>
              <w:jc w:val="center"/>
              <w:ind w:left="101"/>
              <w:spacing w:after="0" w:line="182" w:lineRule="exact"/>
              <w:rPr>
                <w:sz w:val="20"/>
                <w:szCs w:val="20"/>
                <w:color w:val="auto"/>
              </w:rPr>
            </w:pPr>
            <w:r>
              <w:rPr>
                <w:rFonts w:ascii="Arial" w:cs="Arial" w:eastAsia="Arial" w:hAnsi="Arial"/>
                <w:sz w:val="16"/>
                <w:szCs w:val="16"/>
                <w:color w:val="auto"/>
              </w:rPr>
              <w:t>49</w:t>
            </w:r>
          </w:p>
        </w:tc>
        <w:tc>
          <w:tcPr>
            <w:tcW w:w="960" w:type="dxa"/>
            <w:vAlign w:val="bottom"/>
            <w:vMerge w:val="restart"/>
          </w:tcPr>
          <w:p>
            <w:pPr>
              <w:jc w:val="center"/>
              <w:spacing w:after="0" w:line="182" w:lineRule="exact"/>
              <w:rPr>
                <w:sz w:val="20"/>
                <w:szCs w:val="20"/>
                <w:color w:val="auto"/>
              </w:rPr>
            </w:pPr>
            <w:r>
              <w:rPr>
                <w:rFonts w:ascii="Arial" w:cs="Arial" w:eastAsia="Arial" w:hAnsi="Arial"/>
                <w:sz w:val="16"/>
                <w:szCs w:val="16"/>
                <w:color w:val="auto"/>
              </w:rPr>
              <w:t>2022</w:t>
            </w:r>
          </w:p>
        </w:tc>
        <w:tc>
          <w:tcPr>
            <w:tcW w:w="1500" w:type="dxa"/>
            <w:vAlign w:val="bottom"/>
            <w:vMerge w:val="continue"/>
          </w:tcPr>
          <w:p>
            <w:pPr>
              <w:spacing w:after="0"/>
              <w:rPr>
                <w:sz w:val="7"/>
                <w:szCs w:val="7"/>
                <w:color w:val="auto"/>
              </w:rPr>
            </w:pPr>
          </w:p>
        </w:tc>
        <w:tc>
          <w:tcPr>
            <w:tcW w:w="3340" w:type="dxa"/>
            <w:vAlign w:val="bottom"/>
            <w:vMerge w:val="restart"/>
          </w:tcPr>
          <w:p>
            <w:pPr>
              <w:jc w:val="center"/>
              <w:ind w:right="1"/>
              <w:spacing w:after="0" w:line="182" w:lineRule="exact"/>
              <w:rPr>
                <w:sz w:val="20"/>
                <w:szCs w:val="20"/>
                <w:color w:val="auto"/>
              </w:rPr>
            </w:pPr>
            <w:r>
              <w:rPr>
                <w:rFonts w:ascii="Arial" w:cs="Arial" w:eastAsia="Arial" w:hAnsi="Arial"/>
                <w:sz w:val="16"/>
                <w:szCs w:val="16"/>
                <w:color w:val="auto"/>
                <w:w w:val="97"/>
              </w:rPr>
              <w:t>Corporate Governance</w:t>
            </w:r>
          </w:p>
        </w:tc>
        <w:tc>
          <w:tcPr>
            <w:tcW w:w="0" w:type="dxa"/>
            <w:vAlign w:val="bottom"/>
          </w:tcPr>
          <w:p>
            <w:pPr>
              <w:spacing w:after="0"/>
              <w:rPr>
                <w:sz w:val="1"/>
                <w:szCs w:val="1"/>
                <w:color w:val="auto"/>
              </w:rPr>
            </w:pPr>
          </w:p>
        </w:tc>
      </w:tr>
      <w:tr>
        <w:trPr>
          <w:trHeight w:val="91"/>
        </w:trPr>
        <w:tc>
          <w:tcPr>
            <w:tcW w:w="4060" w:type="dxa"/>
            <w:vAlign w:val="bottom"/>
            <w:vMerge w:val="restart"/>
          </w:tcPr>
          <w:p>
            <w:pPr>
              <w:ind w:left="1140"/>
              <w:spacing w:after="0"/>
              <w:rPr>
                <w:sz w:val="20"/>
                <w:szCs w:val="20"/>
                <w:color w:val="auto"/>
              </w:rPr>
            </w:pPr>
            <w:r>
              <w:rPr>
                <w:rFonts w:ascii="Arial" w:cs="Arial" w:eastAsia="Arial" w:hAnsi="Arial"/>
                <w:sz w:val="16"/>
                <w:szCs w:val="16"/>
                <w:color w:val="auto"/>
              </w:rPr>
              <w:t>Director</w:t>
            </w: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0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340" w:type="dxa"/>
            <w:vAlign w:val="bottom"/>
            <w:vMerge w:val="restart"/>
          </w:tcPr>
          <w:p>
            <w:pPr>
              <w:jc w:val="center"/>
              <w:ind w:right="1"/>
              <w:spacing w:after="0"/>
              <w:rPr>
                <w:sz w:val="20"/>
                <w:szCs w:val="20"/>
                <w:color w:val="auto"/>
              </w:rPr>
            </w:pPr>
            <w:r>
              <w:rPr>
                <w:rFonts w:ascii="Arial" w:cs="Arial" w:eastAsia="Arial" w:hAnsi="Arial"/>
                <w:sz w:val="16"/>
                <w:szCs w:val="16"/>
                <w:color w:val="auto"/>
                <w:w w:val="98"/>
              </w:rPr>
              <w:t>and Nominating</w:t>
            </w:r>
          </w:p>
        </w:tc>
        <w:tc>
          <w:tcPr>
            <w:tcW w:w="0" w:type="dxa"/>
            <w:vAlign w:val="bottom"/>
          </w:tcPr>
          <w:p>
            <w:pPr>
              <w:spacing w:after="0"/>
              <w:rPr>
                <w:sz w:val="1"/>
                <w:szCs w:val="1"/>
                <w:color w:val="auto"/>
              </w:rPr>
            </w:pPr>
          </w:p>
        </w:tc>
      </w:tr>
      <w:tr>
        <w:trPr>
          <w:trHeight w:val="91"/>
        </w:trPr>
        <w:tc>
          <w:tcPr>
            <w:tcW w:w="4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060" w:type="dxa"/>
            <w:vAlign w:val="bottom"/>
            <w:tcBorders>
              <w:bottom w:val="single" w:sz="8" w:color="7F7F7F"/>
            </w:tcBorders>
          </w:tcPr>
          <w:p>
            <w:pPr>
              <w:spacing w:after="0"/>
              <w:rPr>
                <w:sz w:val="20"/>
                <w:szCs w:val="20"/>
                <w:color w:val="auto"/>
              </w:rPr>
            </w:pPr>
          </w:p>
        </w:tc>
        <w:tc>
          <w:tcPr>
            <w:tcW w:w="760" w:type="dxa"/>
            <w:vAlign w:val="bottom"/>
            <w:tcBorders>
              <w:bottom w:val="single" w:sz="8" w:color="7F7F7F"/>
            </w:tcBorders>
          </w:tcPr>
          <w:p>
            <w:pPr>
              <w:spacing w:after="0"/>
              <w:rPr>
                <w:sz w:val="20"/>
                <w:szCs w:val="20"/>
                <w:color w:val="auto"/>
              </w:rPr>
            </w:pPr>
          </w:p>
        </w:tc>
        <w:tc>
          <w:tcPr>
            <w:tcW w:w="960" w:type="dxa"/>
            <w:vAlign w:val="bottom"/>
            <w:tcBorders>
              <w:bottom w:val="single" w:sz="8" w:color="7F7F7F"/>
            </w:tcBorders>
          </w:tcPr>
          <w:p>
            <w:pPr>
              <w:spacing w:after="0"/>
              <w:rPr>
                <w:sz w:val="20"/>
                <w:szCs w:val="20"/>
                <w:color w:val="auto"/>
              </w:rPr>
            </w:pPr>
          </w:p>
        </w:tc>
        <w:tc>
          <w:tcPr>
            <w:tcW w:w="1500" w:type="dxa"/>
            <w:vAlign w:val="bottom"/>
            <w:tcBorders>
              <w:bottom w:val="single" w:sz="8" w:color="7F7F7F"/>
            </w:tcBorders>
          </w:tcPr>
          <w:p>
            <w:pPr>
              <w:spacing w:after="0"/>
              <w:rPr>
                <w:sz w:val="20"/>
                <w:szCs w:val="20"/>
                <w:color w:val="auto"/>
              </w:rPr>
            </w:pPr>
          </w:p>
        </w:tc>
        <w:tc>
          <w:tcPr>
            <w:tcW w:w="3340" w:type="dxa"/>
            <w:vAlign w:val="bottom"/>
            <w:tcBorders>
              <w:bottom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406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InaMarie F. Johnson</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0A9E50"/>
                <w:w w:val="82"/>
              </w:rPr>
              <w:t>●</w:t>
            </w:r>
          </w:p>
        </w:tc>
        <w:tc>
          <w:tcPr>
            <w:tcW w:w="3340" w:type="dxa"/>
            <w:vAlign w:val="bottom"/>
          </w:tcPr>
          <w:p>
            <w:pPr>
              <w:jc w:val="center"/>
              <w:ind w:right="1"/>
              <w:spacing w:after="0"/>
              <w:rPr>
                <w:sz w:val="20"/>
                <w:szCs w:val="20"/>
                <w:color w:val="auto"/>
              </w:rPr>
            </w:pPr>
            <w:r>
              <w:rPr>
                <w:rFonts w:ascii="Arial" w:cs="Arial" w:eastAsia="Arial" w:hAnsi="Arial"/>
                <w:sz w:val="16"/>
                <w:szCs w:val="16"/>
                <w:color w:val="auto"/>
                <w:w w:val="97"/>
              </w:rPr>
              <w:t>Compensation and Talent</w:t>
            </w:r>
          </w:p>
        </w:tc>
        <w:tc>
          <w:tcPr>
            <w:tcW w:w="0" w:type="dxa"/>
            <w:vAlign w:val="bottom"/>
          </w:tcPr>
          <w:p>
            <w:pPr>
              <w:spacing w:after="0"/>
              <w:rPr>
                <w:sz w:val="1"/>
                <w:szCs w:val="1"/>
                <w:color w:val="auto"/>
              </w:rPr>
            </w:pPr>
          </w:p>
        </w:tc>
      </w:tr>
      <w:tr>
        <w:trPr>
          <w:trHeight w:val="91"/>
        </w:trPr>
        <w:tc>
          <w:tcPr>
            <w:tcW w:w="4060" w:type="dxa"/>
            <w:vAlign w:val="bottom"/>
            <w:vMerge w:val="continue"/>
          </w:tcPr>
          <w:p>
            <w:pPr>
              <w:spacing w:after="0"/>
              <w:rPr>
                <w:sz w:val="7"/>
                <w:szCs w:val="7"/>
                <w:color w:val="auto"/>
              </w:rPr>
            </w:pPr>
          </w:p>
        </w:tc>
        <w:tc>
          <w:tcPr>
            <w:tcW w:w="760" w:type="dxa"/>
            <w:vAlign w:val="bottom"/>
            <w:vMerge w:val="restart"/>
          </w:tcPr>
          <w:p>
            <w:pPr>
              <w:jc w:val="center"/>
              <w:ind w:left="101"/>
              <w:spacing w:after="0" w:line="182" w:lineRule="exact"/>
              <w:rPr>
                <w:sz w:val="20"/>
                <w:szCs w:val="20"/>
                <w:color w:val="auto"/>
              </w:rPr>
            </w:pPr>
            <w:r>
              <w:rPr>
                <w:rFonts w:ascii="Arial" w:cs="Arial" w:eastAsia="Arial" w:hAnsi="Arial"/>
                <w:sz w:val="16"/>
                <w:szCs w:val="16"/>
                <w:color w:val="auto"/>
              </w:rPr>
              <w:t>59</w:t>
            </w:r>
          </w:p>
        </w:tc>
        <w:tc>
          <w:tcPr>
            <w:tcW w:w="960" w:type="dxa"/>
            <w:vAlign w:val="bottom"/>
            <w:vMerge w:val="restart"/>
          </w:tcPr>
          <w:p>
            <w:pPr>
              <w:jc w:val="center"/>
              <w:spacing w:after="0" w:line="182" w:lineRule="exact"/>
              <w:rPr>
                <w:sz w:val="20"/>
                <w:szCs w:val="20"/>
                <w:color w:val="auto"/>
              </w:rPr>
            </w:pPr>
            <w:r>
              <w:rPr>
                <w:rFonts w:ascii="Arial" w:cs="Arial" w:eastAsia="Arial" w:hAnsi="Arial"/>
                <w:sz w:val="16"/>
                <w:szCs w:val="16"/>
                <w:color w:val="auto"/>
              </w:rPr>
              <w:t>2022</w:t>
            </w:r>
          </w:p>
        </w:tc>
        <w:tc>
          <w:tcPr>
            <w:tcW w:w="1500" w:type="dxa"/>
            <w:vAlign w:val="bottom"/>
            <w:vMerge w:val="continue"/>
          </w:tcPr>
          <w:p>
            <w:pPr>
              <w:spacing w:after="0"/>
              <w:rPr>
                <w:sz w:val="7"/>
                <w:szCs w:val="7"/>
                <w:color w:val="auto"/>
              </w:rPr>
            </w:pPr>
          </w:p>
        </w:tc>
        <w:tc>
          <w:tcPr>
            <w:tcW w:w="3340" w:type="dxa"/>
            <w:vAlign w:val="bottom"/>
            <w:vMerge w:val="restart"/>
          </w:tcPr>
          <w:p>
            <w:pPr>
              <w:jc w:val="center"/>
              <w:ind w:right="1"/>
              <w:spacing w:after="0" w:line="182" w:lineRule="exact"/>
              <w:rPr>
                <w:sz w:val="20"/>
                <w:szCs w:val="20"/>
                <w:color w:val="auto"/>
              </w:rPr>
            </w:pPr>
            <w:r>
              <w:rPr>
                <w:rFonts w:ascii="Arial" w:cs="Arial" w:eastAsia="Arial" w:hAnsi="Arial"/>
                <w:sz w:val="16"/>
                <w:szCs w:val="16"/>
                <w:color w:val="auto"/>
                <w:w w:val="97"/>
              </w:rPr>
              <w:t>Management, Corporate Governance</w:t>
            </w:r>
          </w:p>
        </w:tc>
        <w:tc>
          <w:tcPr>
            <w:tcW w:w="0" w:type="dxa"/>
            <w:vAlign w:val="bottom"/>
          </w:tcPr>
          <w:p>
            <w:pPr>
              <w:spacing w:after="0"/>
              <w:rPr>
                <w:sz w:val="1"/>
                <w:szCs w:val="1"/>
                <w:color w:val="auto"/>
              </w:rPr>
            </w:pPr>
          </w:p>
        </w:tc>
      </w:tr>
      <w:tr>
        <w:trPr>
          <w:trHeight w:val="91"/>
        </w:trPr>
        <w:tc>
          <w:tcPr>
            <w:tcW w:w="4060" w:type="dxa"/>
            <w:vAlign w:val="bottom"/>
            <w:vMerge w:val="restart"/>
          </w:tcPr>
          <w:p>
            <w:pPr>
              <w:ind w:left="1140"/>
              <w:spacing w:after="0"/>
              <w:rPr>
                <w:sz w:val="20"/>
                <w:szCs w:val="20"/>
                <w:color w:val="auto"/>
              </w:rPr>
            </w:pPr>
            <w:r>
              <w:rPr>
                <w:rFonts w:ascii="Arial" w:cs="Arial" w:eastAsia="Arial" w:hAnsi="Arial"/>
                <w:sz w:val="16"/>
                <w:szCs w:val="16"/>
                <w:color w:val="auto"/>
              </w:rPr>
              <w:t>Director</w:t>
            </w:r>
          </w:p>
        </w:tc>
        <w:tc>
          <w:tcPr>
            <w:tcW w:w="7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0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340" w:type="dxa"/>
            <w:vAlign w:val="bottom"/>
            <w:vMerge w:val="restart"/>
          </w:tcPr>
          <w:p>
            <w:pPr>
              <w:jc w:val="center"/>
              <w:ind w:right="1"/>
              <w:spacing w:after="0"/>
              <w:rPr>
                <w:sz w:val="20"/>
                <w:szCs w:val="20"/>
                <w:color w:val="auto"/>
              </w:rPr>
            </w:pPr>
            <w:r>
              <w:rPr>
                <w:rFonts w:ascii="Arial" w:cs="Arial" w:eastAsia="Arial" w:hAnsi="Arial"/>
                <w:sz w:val="16"/>
                <w:szCs w:val="16"/>
                <w:color w:val="auto"/>
                <w:w w:val="98"/>
              </w:rPr>
              <w:t>and Nominating</w:t>
            </w:r>
          </w:p>
        </w:tc>
        <w:tc>
          <w:tcPr>
            <w:tcW w:w="0" w:type="dxa"/>
            <w:vAlign w:val="bottom"/>
          </w:tcPr>
          <w:p>
            <w:pPr>
              <w:spacing w:after="0"/>
              <w:rPr>
                <w:sz w:val="1"/>
                <w:szCs w:val="1"/>
                <w:color w:val="auto"/>
              </w:rPr>
            </w:pPr>
          </w:p>
        </w:tc>
      </w:tr>
      <w:tr>
        <w:trPr>
          <w:trHeight w:val="91"/>
        </w:trPr>
        <w:tc>
          <w:tcPr>
            <w:tcW w:w="4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060" w:type="dxa"/>
            <w:vAlign w:val="bottom"/>
            <w:tcBorders>
              <w:bottom w:val="single" w:sz="8" w:color="7F7F7F"/>
            </w:tcBorders>
          </w:tcPr>
          <w:p>
            <w:pPr>
              <w:spacing w:after="0"/>
              <w:rPr>
                <w:sz w:val="20"/>
                <w:szCs w:val="20"/>
                <w:color w:val="auto"/>
              </w:rPr>
            </w:pPr>
          </w:p>
        </w:tc>
        <w:tc>
          <w:tcPr>
            <w:tcW w:w="760" w:type="dxa"/>
            <w:vAlign w:val="bottom"/>
            <w:tcBorders>
              <w:bottom w:val="single" w:sz="8" w:color="7F7F7F"/>
            </w:tcBorders>
          </w:tcPr>
          <w:p>
            <w:pPr>
              <w:spacing w:after="0"/>
              <w:rPr>
                <w:sz w:val="20"/>
                <w:szCs w:val="20"/>
                <w:color w:val="auto"/>
              </w:rPr>
            </w:pPr>
          </w:p>
        </w:tc>
        <w:tc>
          <w:tcPr>
            <w:tcW w:w="960" w:type="dxa"/>
            <w:vAlign w:val="bottom"/>
            <w:tcBorders>
              <w:bottom w:val="single" w:sz="8" w:color="7F7F7F"/>
            </w:tcBorders>
          </w:tcPr>
          <w:p>
            <w:pPr>
              <w:spacing w:after="0"/>
              <w:rPr>
                <w:sz w:val="20"/>
                <w:szCs w:val="20"/>
                <w:color w:val="auto"/>
              </w:rPr>
            </w:pPr>
          </w:p>
        </w:tc>
        <w:tc>
          <w:tcPr>
            <w:tcW w:w="1500" w:type="dxa"/>
            <w:vAlign w:val="bottom"/>
            <w:tcBorders>
              <w:bottom w:val="single" w:sz="8" w:color="7F7F7F"/>
            </w:tcBorders>
          </w:tcPr>
          <w:p>
            <w:pPr>
              <w:spacing w:after="0"/>
              <w:rPr>
                <w:sz w:val="20"/>
                <w:szCs w:val="20"/>
                <w:color w:val="auto"/>
              </w:rPr>
            </w:pPr>
          </w:p>
        </w:tc>
        <w:tc>
          <w:tcPr>
            <w:tcW w:w="3340" w:type="dxa"/>
            <w:vAlign w:val="bottom"/>
            <w:tcBorders>
              <w:bottom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462"/>
        </w:trPr>
        <w:tc>
          <w:tcPr>
            <w:tcW w:w="4060" w:type="dxa"/>
            <w:vAlign w:val="bottom"/>
          </w:tcPr>
          <w:p>
            <w:pPr>
              <w:ind w:left="1140"/>
              <w:spacing w:after="0"/>
              <w:rPr>
                <w:sz w:val="20"/>
                <w:szCs w:val="20"/>
                <w:color w:val="auto"/>
              </w:rPr>
            </w:pPr>
            <w:r>
              <w:rPr>
                <w:rFonts w:ascii="Arial" w:cs="Arial" w:eastAsia="Arial" w:hAnsi="Arial"/>
                <w:sz w:val="16"/>
                <w:szCs w:val="16"/>
                <w:b w:val="1"/>
                <w:bCs w:val="1"/>
                <w:color w:val="auto"/>
              </w:rPr>
              <w:t>Leslie A. Murphy</w:t>
            </w:r>
          </w:p>
        </w:tc>
        <w:tc>
          <w:tcPr>
            <w:tcW w:w="760" w:type="dxa"/>
            <w:vAlign w:val="bottom"/>
            <w:vMerge w:val="restart"/>
          </w:tcPr>
          <w:p>
            <w:pPr>
              <w:jc w:val="center"/>
              <w:ind w:left="101"/>
              <w:spacing w:after="0"/>
              <w:rPr>
                <w:sz w:val="20"/>
                <w:szCs w:val="20"/>
                <w:color w:val="auto"/>
              </w:rPr>
            </w:pPr>
            <w:r>
              <w:rPr>
                <w:rFonts w:ascii="Arial" w:cs="Arial" w:eastAsia="Arial" w:hAnsi="Arial"/>
                <w:sz w:val="16"/>
                <w:szCs w:val="16"/>
                <w:color w:val="auto"/>
              </w:rPr>
              <w:t>72</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2008</w:t>
            </w: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0A9E50"/>
                <w:w w:val="82"/>
              </w:rPr>
              <w:t>●</w:t>
            </w:r>
          </w:p>
        </w:tc>
        <w:tc>
          <w:tcPr>
            <w:tcW w:w="3340" w:type="dxa"/>
            <w:vAlign w:val="bottom"/>
          </w:tcPr>
          <w:p>
            <w:pPr>
              <w:jc w:val="center"/>
              <w:ind w:right="1"/>
              <w:spacing w:after="0"/>
              <w:rPr>
                <w:sz w:val="20"/>
                <w:szCs w:val="20"/>
                <w:color w:val="auto"/>
              </w:rPr>
            </w:pPr>
            <w:r>
              <w:rPr>
                <w:rFonts w:ascii="Arial" w:cs="Arial" w:eastAsia="Arial" w:hAnsi="Arial"/>
                <w:sz w:val="16"/>
                <w:szCs w:val="16"/>
                <w:color w:val="auto"/>
                <w:w w:val="97"/>
              </w:rPr>
              <w:t xml:space="preserve">Audit </w:t>
            </w:r>
            <w:r>
              <w:rPr>
                <w:rFonts w:ascii="Arial" w:cs="Arial" w:eastAsia="Arial" w:hAnsi="Arial"/>
                <w:sz w:val="16"/>
                <w:szCs w:val="16"/>
                <w:b w:val="1"/>
                <w:bCs w:val="1"/>
                <w:color w:val="auto"/>
                <w:w w:val="97"/>
              </w:rPr>
              <w:t>(Chair)</w:t>
            </w:r>
            <w:r>
              <w:rPr>
                <w:rFonts w:ascii="Arial" w:cs="Arial" w:eastAsia="Arial" w:hAnsi="Arial"/>
                <w:sz w:val="16"/>
                <w:szCs w:val="16"/>
                <w:color w:val="auto"/>
                <w:w w:val="97"/>
              </w:rPr>
              <w:t>, Compensation and</w:t>
            </w:r>
          </w:p>
        </w:tc>
        <w:tc>
          <w:tcPr>
            <w:tcW w:w="0" w:type="dxa"/>
            <w:vAlign w:val="bottom"/>
          </w:tcPr>
          <w:p>
            <w:pPr>
              <w:spacing w:after="0"/>
              <w:rPr>
                <w:sz w:val="1"/>
                <w:szCs w:val="1"/>
                <w:color w:val="auto"/>
              </w:rPr>
            </w:pPr>
          </w:p>
        </w:tc>
      </w:tr>
      <w:tr>
        <w:trPr>
          <w:trHeight w:val="127"/>
        </w:trPr>
        <w:tc>
          <w:tcPr>
            <w:tcW w:w="4060" w:type="dxa"/>
            <w:vAlign w:val="bottom"/>
            <w:vMerge w:val="restart"/>
          </w:tcPr>
          <w:p>
            <w:pPr>
              <w:ind w:left="1140"/>
              <w:spacing w:after="0"/>
              <w:rPr>
                <w:sz w:val="20"/>
                <w:szCs w:val="20"/>
                <w:color w:val="auto"/>
              </w:rPr>
            </w:pPr>
            <w:r>
              <w:rPr>
                <w:rFonts w:ascii="Arial" w:cs="Arial" w:eastAsia="Arial" w:hAnsi="Arial"/>
                <w:sz w:val="16"/>
                <w:szCs w:val="16"/>
                <w:color w:val="auto"/>
              </w:rPr>
              <w:t>Director</w:t>
            </w:r>
          </w:p>
        </w:tc>
        <w:tc>
          <w:tcPr>
            <w:tcW w:w="7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3340" w:type="dxa"/>
            <w:vAlign w:val="bottom"/>
            <w:vMerge w:val="restart"/>
          </w:tcPr>
          <w:p>
            <w:pPr>
              <w:jc w:val="center"/>
              <w:ind w:right="1"/>
              <w:spacing w:after="0"/>
              <w:rPr>
                <w:sz w:val="20"/>
                <w:szCs w:val="20"/>
                <w:color w:val="auto"/>
              </w:rPr>
            </w:pPr>
            <w:r>
              <w:rPr>
                <w:rFonts w:ascii="Arial" w:cs="Arial" w:eastAsia="Arial" w:hAnsi="Arial"/>
                <w:sz w:val="16"/>
                <w:szCs w:val="16"/>
                <w:color w:val="auto"/>
                <w:w w:val="96"/>
              </w:rPr>
              <w:t>Talent Management</w:t>
            </w:r>
          </w:p>
        </w:tc>
        <w:tc>
          <w:tcPr>
            <w:tcW w:w="0" w:type="dxa"/>
            <w:vAlign w:val="bottom"/>
          </w:tcPr>
          <w:p>
            <w:pPr>
              <w:spacing w:after="0"/>
              <w:rPr>
                <w:sz w:val="1"/>
                <w:szCs w:val="1"/>
                <w:color w:val="auto"/>
              </w:rPr>
            </w:pPr>
          </w:p>
        </w:tc>
      </w:tr>
      <w:tr>
        <w:trPr>
          <w:trHeight w:val="78"/>
        </w:trPr>
        <w:tc>
          <w:tcPr>
            <w:tcW w:w="40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7"/>
        </w:trPr>
        <w:tc>
          <w:tcPr>
            <w:tcW w:w="4060" w:type="dxa"/>
            <w:vAlign w:val="bottom"/>
            <w:tcBorders>
              <w:bottom w:val="single" w:sz="8" w:color="7F7F7F"/>
            </w:tcBorders>
          </w:tcPr>
          <w:p>
            <w:pPr>
              <w:spacing w:after="0"/>
              <w:rPr>
                <w:sz w:val="24"/>
                <w:szCs w:val="24"/>
                <w:color w:val="auto"/>
              </w:rPr>
            </w:pPr>
          </w:p>
        </w:tc>
        <w:tc>
          <w:tcPr>
            <w:tcW w:w="760" w:type="dxa"/>
            <w:vAlign w:val="bottom"/>
            <w:tcBorders>
              <w:bottom w:val="single" w:sz="8" w:color="7F7F7F"/>
            </w:tcBorders>
          </w:tcPr>
          <w:p>
            <w:pPr>
              <w:spacing w:after="0"/>
              <w:rPr>
                <w:sz w:val="24"/>
                <w:szCs w:val="24"/>
                <w:color w:val="auto"/>
              </w:rPr>
            </w:pPr>
          </w:p>
        </w:tc>
        <w:tc>
          <w:tcPr>
            <w:tcW w:w="960" w:type="dxa"/>
            <w:vAlign w:val="bottom"/>
            <w:tcBorders>
              <w:bottom w:val="single" w:sz="8" w:color="7F7F7F"/>
            </w:tcBorders>
          </w:tcPr>
          <w:p>
            <w:pPr>
              <w:spacing w:after="0"/>
              <w:rPr>
                <w:sz w:val="24"/>
                <w:szCs w:val="24"/>
                <w:color w:val="auto"/>
              </w:rPr>
            </w:pPr>
          </w:p>
        </w:tc>
        <w:tc>
          <w:tcPr>
            <w:tcW w:w="1500" w:type="dxa"/>
            <w:vAlign w:val="bottom"/>
            <w:tcBorders>
              <w:bottom w:val="single" w:sz="8" w:color="7F7F7F"/>
            </w:tcBorders>
          </w:tcPr>
          <w:p>
            <w:pPr>
              <w:spacing w:after="0"/>
              <w:rPr>
                <w:sz w:val="24"/>
                <w:szCs w:val="24"/>
                <w:color w:val="auto"/>
              </w:rPr>
            </w:pPr>
          </w:p>
        </w:tc>
        <w:tc>
          <w:tcPr>
            <w:tcW w:w="334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60" w:type="dxa"/>
            <w:vAlign w:val="bottom"/>
          </w:tcPr>
          <w:p>
            <w:pPr>
              <w:ind w:left="1140"/>
              <w:spacing w:after="0"/>
              <w:rPr>
                <w:sz w:val="20"/>
                <w:szCs w:val="20"/>
                <w:color w:val="auto"/>
              </w:rPr>
            </w:pPr>
            <w:r>
              <w:rPr>
                <w:rFonts w:ascii="Arial" w:cs="Arial" w:eastAsia="Arial" w:hAnsi="Arial"/>
                <w:sz w:val="16"/>
                <w:szCs w:val="16"/>
                <w:b w:val="1"/>
                <w:bCs w:val="1"/>
                <w:color w:val="auto"/>
              </w:rPr>
              <w:t>Donald R. Parfet</w:t>
            </w:r>
          </w:p>
        </w:tc>
        <w:tc>
          <w:tcPr>
            <w:tcW w:w="760" w:type="dxa"/>
            <w:vAlign w:val="bottom"/>
            <w:vMerge w:val="restart"/>
          </w:tcPr>
          <w:p>
            <w:pPr>
              <w:jc w:val="center"/>
              <w:ind w:left="101"/>
              <w:spacing w:after="0"/>
              <w:rPr>
                <w:sz w:val="20"/>
                <w:szCs w:val="20"/>
                <w:color w:val="auto"/>
              </w:rPr>
            </w:pPr>
            <w:r>
              <w:rPr>
                <w:rFonts w:ascii="Arial" w:cs="Arial" w:eastAsia="Arial" w:hAnsi="Arial"/>
                <w:sz w:val="16"/>
                <w:szCs w:val="16"/>
                <w:color w:val="auto"/>
              </w:rPr>
              <w:t>71</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2004</w:t>
            </w:r>
          </w:p>
        </w:tc>
        <w:tc>
          <w:tcPr>
            <w:tcW w:w="15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6"/>
                <w:szCs w:val="16"/>
                <w:color w:val="0A9E50"/>
                <w:w w:val="82"/>
              </w:rPr>
              <w:t>●</w:t>
            </w:r>
          </w:p>
        </w:tc>
        <w:tc>
          <w:tcPr>
            <w:tcW w:w="3340" w:type="dxa"/>
            <w:vAlign w:val="bottom"/>
            <w:vMerge w:val="restart"/>
          </w:tcPr>
          <w:p>
            <w:pPr>
              <w:jc w:val="center"/>
              <w:ind w:right="1"/>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27"/>
        </w:trPr>
        <w:tc>
          <w:tcPr>
            <w:tcW w:w="4060" w:type="dxa"/>
            <w:vAlign w:val="bottom"/>
            <w:vMerge w:val="restart"/>
          </w:tcPr>
          <w:p>
            <w:pPr>
              <w:ind w:left="1140"/>
              <w:spacing w:after="0"/>
              <w:rPr>
                <w:sz w:val="20"/>
                <w:szCs w:val="20"/>
                <w:color w:val="auto"/>
              </w:rPr>
            </w:pPr>
            <w:r>
              <w:rPr>
                <w:rFonts w:ascii="Arial" w:cs="Arial" w:eastAsia="Arial" w:hAnsi="Arial"/>
                <w:sz w:val="16"/>
                <w:szCs w:val="16"/>
                <w:color w:val="auto"/>
              </w:rPr>
              <w:t>Director</w:t>
            </w:r>
          </w:p>
        </w:tc>
        <w:tc>
          <w:tcPr>
            <w:tcW w:w="7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3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40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207645</wp:posOffset>
            </wp:positionV>
            <wp:extent cx="6740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-5474970</wp:posOffset>
            </wp:positionV>
            <wp:extent cx="479425" cy="4794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-4830445</wp:posOffset>
            </wp:positionV>
            <wp:extent cx="479425" cy="4794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-4186555</wp:posOffset>
            </wp:positionV>
            <wp:extent cx="479425" cy="4794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-3542030</wp:posOffset>
            </wp:positionV>
            <wp:extent cx="479425" cy="4794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-2897505</wp:posOffset>
            </wp:positionV>
            <wp:extent cx="479425" cy="4794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-2252980</wp:posOffset>
            </wp:positionV>
            <wp:extent cx="479425" cy="4794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-1609090</wp:posOffset>
            </wp:positionV>
            <wp:extent cx="479425" cy="4794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-964565</wp:posOffset>
            </wp:positionV>
            <wp:extent cx="479425" cy="4794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9425" cy="47942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-320040</wp:posOffset>
            </wp:positionV>
            <wp:extent cx="479425" cy="4794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9425" cy="479425"/>
                    </a:xfrm>
                    <a:prstGeom prst="rect">
                      <a:avLst/>
                    </a:prstGeom>
                    <a:noFill/>
                  </pic:spPr>
                </pic:pic>
              </a:graphicData>
            </a:graphic>
          </wp:anchor>
        </w:drawing>
      </w:r>
    </w:p>
    <w:p>
      <w:pPr>
        <w:spacing w:after="0" w:line="365"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38"/>
          <w:szCs w:val="38"/>
          <w:color w:val="auto"/>
          <w:vertAlign w:val="superscript"/>
        </w:rPr>
        <w:t>6 </w:t>
      </w:r>
      <w:r>
        <w:rPr>
          <w:sz w:val="20"/>
          <w:szCs w:val="20"/>
          <w:color w:val="auto"/>
        </w:rPr>
        <w:tab/>
      </w:r>
      <w:r>
        <w:rPr>
          <w:rFonts w:ascii="Arial" w:cs="Arial" w:eastAsia="Arial" w:hAnsi="Arial"/>
          <w:sz w:val="20"/>
          <w:szCs w:val="20"/>
          <w:color w:val="auto"/>
        </w:rPr>
        <w:t xml:space="preserve">    </w:t>
      </w:r>
      <w:r>
        <w:rPr>
          <w:sz w:val="1"/>
          <w:szCs w:val="1"/>
          <w:color w:val="auto"/>
        </w:rPr>
        <w:drawing>
          <wp:inline distT="0" distB="0" distL="0" distR="0">
            <wp:extent cx="396240" cy="18986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-214630</wp:posOffset>
            </wp:positionV>
            <wp:extent cx="8255" cy="222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bookmarkStart w:id="8" w:name="page9"/>
    <w:bookmarkEnd w:id="8"/>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Proxy Summary</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Governance Highlights</w:t>
      </w:r>
    </w:p>
    <w:p>
      <w:pPr>
        <w:spacing w:after="0" w:line="72"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Kelly is committed to sound corporate governance as a means of enhancing long-term shareholder value. The following table summarizes certain of our governance practices and processes.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4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0A9E50"/>
              </w:rPr>
              <w:t>Independence</w:t>
            </w:r>
          </w:p>
        </w:tc>
        <w:tc>
          <w:tcPr>
            <w:tcW w:w="364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0A9E50"/>
              </w:rPr>
              <w:t>Accountability</w:t>
            </w:r>
          </w:p>
        </w:tc>
        <w:tc>
          <w:tcPr>
            <w:tcW w:w="334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0A9E50"/>
              </w:rPr>
              <w:t>Best Practices</w:t>
            </w:r>
          </w:p>
        </w:tc>
      </w:tr>
      <w:tr>
        <w:trPr>
          <w:trHeight w:val="215"/>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Majority independent Board (89%), including</w:t>
            </w:r>
          </w:p>
        </w:tc>
        <w:tc>
          <w:tcPr>
            <w:tcW w:w="3640" w:type="dxa"/>
            <w:vAlign w:val="bottom"/>
          </w:tcPr>
          <w:p>
            <w:pPr>
              <w:ind w:left="4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Annual election of all directors, including</w:t>
            </w:r>
          </w:p>
        </w:tc>
        <w:tc>
          <w:tcPr>
            <w:tcW w:w="3340" w:type="dxa"/>
            <w:vAlign w:val="bottom"/>
          </w:tcPr>
          <w:p>
            <w:pPr>
              <w:ind w:left="1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Robust director selection process resulting</w:t>
            </w:r>
          </w:p>
        </w:tc>
      </w:tr>
      <w:tr>
        <w:trPr>
          <w:trHeight w:val="182"/>
        </w:trPr>
        <w:tc>
          <w:tcPr>
            <w:tcW w:w="3640" w:type="dxa"/>
            <w:vAlign w:val="bottom"/>
          </w:tcPr>
          <w:p>
            <w:pPr>
              <w:ind w:left="160"/>
              <w:spacing w:after="0" w:line="182" w:lineRule="exact"/>
              <w:rPr>
                <w:sz w:val="20"/>
                <w:szCs w:val="20"/>
                <w:color w:val="auto"/>
              </w:rPr>
            </w:pPr>
            <w:r>
              <w:rPr>
                <w:rFonts w:ascii="Arial" w:cs="Arial" w:eastAsia="Arial" w:hAnsi="Arial"/>
                <w:sz w:val="16"/>
                <w:szCs w:val="16"/>
                <w:color w:val="auto"/>
              </w:rPr>
              <w:t>independent Chairman of the Board</w:t>
            </w:r>
          </w:p>
        </w:tc>
        <w:tc>
          <w:tcPr>
            <w:tcW w:w="3640" w:type="dxa"/>
            <w:vAlign w:val="bottom"/>
          </w:tcPr>
          <w:p>
            <w:pPr>
              <w:ind w:left="580"/>
              <w:spacing w:after="0" w:line="182" w:lineRule="exact"/>
              <w:rPr>
                <w:sz w:val="20"/>
                <w:szCs w:val="20"/>
                <w:color w:val="auto"/>
              </w:rPr>
            </w:pPr>
            <w:r>
              <w:rPr>
                <w:rFonts w:ascii="Arial" w:cs="Arial" w:eastAsia="Arial" w:hAnsi="Arial"/>
                <w:sz w:val="16"/>
                <w:szCs w:val="16"/>
                <w:color w:val="auto"/>
              </w:rPr>
              <w:t>Chairman of the Board</w:t>
            </w:r>
          </w:p>
        </w:tc>
        <w:tc>
          <w:tcPr>
            <w:tcW w:w="3340" w:type="dxa"/>
            <w:vAlign w:val="bottom"/>
          </w:tcPr>
          <w:p>
            <w:pPr>
              <w:ind w:left="320"/>
              <w:spacing w:after="0" w:line="182" w:lineRule="exact"/>
              <w:rPr>
                <w:sz w:val="20"/>
                <w:szCs w:val="20"/>
                <w:color w:val="auto"/>
              </w:rPr>
            </w:pPr>
            <w:r>
              <w:rPr>
                <w:rFonts w:ascii="Arial" w:cs="Arial" w:eastAsia="Arial" w:hAnsi="Arial"/>
                <w:sz w:val="16"/>
                <w:szCs w:val="16"/>
                <w:color w:val="auto"/>
              </w:rPr>
              <w:t>in diverse Board relative to gender, race,</w:t>
            </w:r>
          </w:p>
        </w:tc>
      </w:tr>
      <w:tr>
        <w:trPr>
          <w:trHeight w:val="205"/>
        </w:trPr>
        <w:tc>
          <w:tcPr>
            <w:tcW w:w="36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340" w:type="dxa"/>
            <w:vAlign w:val="bottom"/>
          </w:tcPr>
          <w:p>
            <w:pPr>
              <w:ind w:left="320"/>
              <w:spacing w:after="0"/>
              <w:rPr>
                <w:sz w:val="20"/>
                <w:szCs w:val="20"/>
                <w:color w:val="auto"/>
              </w:rPr>
            </w:pPr>
            <w:r>
              <w:rPr>
                <w:rFonts w:ascii="Arial" w:cs="Arial" w:eastAsia="Arial" w:hAnsi="Arial"/>
                <w:sz w:val="16"/>
                <w:szCs w:val="16"/>
                <w:color w:val="auto"/>
              </w:rPr>
              <w:t>ethnicity, experience, and skills</w:t>
            </w:r>
          </w:p>
        </w:tc>
      </w:tr>
      <w:tr>
        <w:trPr>
          <w:trHeight w:val="54"/>
        </w:trPr>
        <w:tc>
          <w:tcPr>
            <w:tcW w:w="3640" w:type="dxa"/>
            <w:vAlign w:val="bottom"/>
            <w:tcBorders>
              <w:bottom w:val="single" w:sz="8" w:color="7F7F7F"/>
            </w:tcBorders>
          </w:tcPr>
          <w:p>
            <w:pPr>
              <w:spacing w:after="0"/>
              <w:rPr>
                <w:sz w:val="4"/>
                <w:szCs w:val="4"/>
                <w:color w:val="auto"/>
              </w:rPr>
            </w:pPr>
          </w:p>
        </w:tc>
        <w:tc>
          <w:tcPr>
            <w:tcW w:w="3640" w:type="dxa"/>
            <w:vAlign w:val="bottom"/>
            <w:tcBorders>
              <w:bottom w:val="single" w:sz="8" w:color="7F7F7F"/>
            </w:tcBorders>
          </w:tcPr>
          <w:p>
            <w:pPr>
              <w:spacing w:after="0"/>
              <w:rPr>
                <w:sz w:val="4"/>
                <w:szCs w:val="4"/>
                <w:color w:val="auto"/>
              </w:rPr>
            </w:pPr>
          </w:p>
        </w:tc>
        <w:tc>
          <w:tcPr>
            <w:tcW w:w="3340" w:type="dxa"/>
            <w:vAlign w:val="bottom"/>
            <w:tcBorders>
              <w:bottom w:val="single" w:sz="8" w:color="7F7F7F"/>
            </w:tcBorders>
          </w:tcPr>
          <w:p>
            <w:pPr>
              <w:spacing w:after="0"/>
              <w:rPr>
                <w:sz w:val="4"/>
                <w:szCs w:val="4"/>
                <w:color w:val="auto"/>
              </w:rPr>
            </w:pPr>
          </w:p>
        </w:tc>
      </w:tr>
      <w:tr>
        <w:trPr>
          <w:trHeight w:val="215"/>
        </w:trPr>
        <w:tc>
          <w:tcPr>
            <w:tcW w:w="36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100% Independent Board Committees</w:t>
            </w:r>
          </w:p>
        </w:tc>
        <w:tc>
          <w:tcPr>
            <w:tcW w:w="3640" w:type="dxa"/>
            <w:vAlign w:val="bottom"/>
          </w:tcPr>
          <w:p>
            <w:pPr>
              <w:ind w:left="4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Strong oversight of strategic planning,</w:t>
            </w:r>
          </w:p>
        </w:tc>
        <w:tc>
          <w:tcPr>
            <w:tcW w:w="3340" w:type="dxa"/>
            <w:vAlign w:val="bottom"/>
          </w:tcPr>
          <w:p>
            <w:pPr>
              <w:ind w:left="1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Board attendance of 97.5% during 2023</w:t>
            </w:r>
          </w:p>
        </w:tc>
      </w:tr>
      <w:tr>
        <w:trPr>
          <w:trHeight w:val="182"/>
        </w:trPr>
        <w:tc>
          <w:tcPr>
            <w:tcW w:w="3640" w:type="dxa"/>
            <w:vAlign w:val="bottom"/>
          </w:tcPr>
          <w:p>
            <w:pPr>
              <w:spacing w:after="0"/>
              <w:rPr>
                <w:sz w:val="15"/>
                <w:szCs w:val="15"/>
                <w:color w:val="auto"/>
              </w:rPr>
            </w:pPr>
          </w:p>
        </w:tc>
        <w:tc>
          <w:tcPr>
            <w:tcW w:w="3640" w:type="dxa"/>
            <w:vAlign w:val="bottom"/>
          </w:tcPr>
          <w:p>
            <w:pPr>
              <w:ind w:left="580"/>
              <w:spacing w:after="0" w:line="182" w:lineRule="exact"/>
              <w:rPr>
                <w:sz w:val="20"/>
                <w:szCs w:val="20"/>
                <w:color w:val="auto"/>
              </w:rPr>
            </w:pPr>
            <w:r>
              <w:rPr>
                <w:rFonts w:ascii="Arial" w:cs="Arial" w:eastAsia="Arial" w:hAnsi="Arial"/>
                <w:sz w:val="16"/>
                <w:szCs w:val="16"/>
                <w:color w:val="auto"/>
              </w:rPr>
              <w:t>objectives, and financial performance</w:t>
            </w:r>
          </w:p>
        </w:tc>
        <w:tc>
          <w:tcPr>
            <w:tcW w:w="3340" w:type="dxa"/>
            <w:vAlign w:val="bottom"/>
          </w:tcPr>
          <w:p>
            <w:pPr>
              <w:spacing w:after="0"/>
              <w:rPr>
                <w:sz w:val="15"/>
                <w:szCs w:val="15"/>
                <w:color w:val="auto"/>
              </w:rPr>
            </w:pPr>
          </w:p>
        </w:tc>
      </w:tr>
      <w:tr>
        <w:trPr>
          <w:trHeight w:val="182"/>
        </w:trPr>
        <w:tc>
          <w:tcPr>
            <w:tcW w:w="3640" w:type="dxa"/>
            <w:vAlign w:val="bottom"/>
          </w:tcPr>
          <w:p>
            <w:pPr>
              <w:spacing w:after="0"/>
              <w:rPr>
                <w:sz w:val="15"/>
                <w:szCs w:val="15"/>
                <w:color w:val="auto"/>
              </w:rPr>
            </w:pPr>
          </w:p>
        </w:tc>
        <w:tc>
          <w:tcPr>
            <w:tcW w:w="3640" w:type="dxa"/>
            <w:vAlign w:val="bottom"/>
          </w:tcPr>
          <w:p>
            <w:pPr>
              <w:ind w:left="580"/>
              <w:spacing w:after="0" w:line="182" w:lineRule="exact"/>
              <w:rPr>
                <w:sz w:val="20"/>
                <w:szCs w:val="20"/>
                <w:color w:val="auto"/>
              </w:rPr>
            </w:pPr>
            <w:r>
              <w:rPr>
                <w:rFonts w:ascii="Arial" w:cs="Arial" w:eastAsia="Arial" w:hAnsi="Arial"/>
                <w:sz w:val="16"/>
                <w:szCs w:val="16"/>
                <w:color w:val="auto"/>
              </w:rPr>
              <w:t>including dedicated annual Board meeting</w:t>
            </w:r>
          </w:p>
        </w:tc>
        <w:tc>
          <w:tcPr>
            <w:tcW w:w="3340" w:type="dxa"/>
            <w:vAlign w:val="bottom"/>
          </w:tcPr>
          <w:p>
            <w:pPr>
              <w:spacing w:after="0"/>
              <w:rPr>
                <w:sz w:val="15"/>
                <w:szCs w:val="15"/>
                <w:color w:val="auto"/>
              </w:rPr>
            </w:pPr>
          </w:p>
        </w:tc>
      </w:tr>
      <w:tr>
        <w:trPr>
          <w:trHeight w:val="205"/>
        </w:trPr>
        <w:tc>
          <w:tcPr>
            <w:tcW w:w="3640" w:type="dxa"/>
            <w:vAlign w:val="bottom"/>
          </w:tcPr>
          <w:p>
            <w:pPr>
              <w:spacing w:after="0"/>
              <w:rPr>
                <w:sz w:val="17"/>
                <w:szCs w:val="17"/>
                <w:color w:val="auto"/>
              </w:rPr>
            </w:pPr>
          </w:p>
        </w:tc>
        <w:tc>
          <w:tcPr>
            <w:tcW w:w="3640" w:type="dxa"/>
            <w:vAlign w:val="bottom"/>
          </w:tcPr>
          <w:p>
            <w:pPr>
              <w:ind w:left="580"/>
              <w:spacing w:after="0"/>
              <w:rPr>
                <w:sz w:val="20"/>
                <w:szCs w:val="20"/>
                <w:color w:val="auto"/>
              </w:rPr>
            </w:pPr>
            <w:r>
              <w:rPr>
                <w:rFonts w:ascii="Arial" w:cs="Arial" w:eastAsia="Arial" w:hAnsi="Arial"/>
                <w:sz w:val="16"/>
                <w:szCs w:val="16"/>
                <w:color w:val="auto"/>
              </w:rPr>
              <w:t>focused on strategic planning</w:t>
            </w:r>
          </w:p>
        </w:tc>
        <w:tc>
          <w:tcPr>
            <w:tcW w:w="33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740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p>
      <w:pPr>
        <w:spacing w:after="0" w:line="107" w:lineRule="exact"/>
        <w:rPr>
          <w:sz w:val="20"/>
          <w:szCs w:val="20"/>
          <w:color w:val="auto"/>
        </w:rPr>
      </w:pPr>
    </w:p>
    <w:p>
      <w:pPr>
        <w:ind w:left="160" w:right="60" w:hanging="155"/>
        <w:spacing w:after="0" w:line="296"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Diverse and highly skilled Board that provides a</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range of viewpoints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hanging="155"/>
        <w:spacing w:after="0" w:line="296"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Annual evaluation of CEO (including</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compensation) by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356235</wp:posOffset>
            </wp:positionV>
            <wp:extent cx="6740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60" w:hanging="155"/>
        <w:spacing w:after="0" w:line="264"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Strong oversight of the integrity of the</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Company’s financial statements, as well as cybersecurity and Enterprise Risk Management (“ERM”) by the Board and Audit Committee</w:t>
      </w:r>
    </w:p>
    <w:p>
      <w:pPr>
        <w:spacing w:after="0" w:line="91" w:lineRule="exact"/>
        <w:rPr>
          <w:sz w:val="20"/>
          <w:szCs w:val="20"/>
          <w:color w:val="auto"/>
        </w:rPr>
      </w:pPr>
    </w:p>
    <w:p>
      <w:pPr>
        <w:sectPr>
          <w:pgSz w:w="11900" w:h="16838" w:orient="portrait"/>
          <w:cols w:equalWidth="0" w:num="3">
            <w:col w:w="3500" w:space="720"/>
            <w:col w:w="2760" w:space="620"/>
            <w:col w:w="3020"/>
          </w:cols>
          <w:pgMar w:left="640" w:top="296" w:right="639" w:bottom="1440" w:gutter="0" w:footer="0" w:header="0"/>
          <w:type w:val="continuous"/>
        </w:sectPr>
      </w:pPr>
    </w:p>
    <w:p>
      <w:pPr>
        <w:ind w:left="160" w:hanging="155"/>
        <w:spacing w:after="0" w:line="275"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Frequent executive sessions where independent</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directors meet without management and non-independent directors</w:t>
      </w:r>
    </w:p>
    <w:p>
      <w:pPr>
        <w:spacing w:after="0" w:line="20" w:lineRule="exact"/>
        <w:rPr>
          <w:sz w:val="20"/>
          <w:szCs w:val="20"/>
          <w:color w:val="auto"/>
        </w:rPr>
      </w:pPr>
      <w:r>
        <w:rPr>
          <w:sz w:val="20"/>
          <w:szCs w:val="20"/>
          <w:color w:val="auto"/>
        </w:rPr>
        <w:br w:type="column"/>
      </w:r>
    </w:p>
    <w:p>
      <w:pPr>
        <w:ind w:right="40" w:hanging="155"/>
        <w:spacing w:after="0" w:line="296"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Annual Board and Committee self-evaluations and bi-annual peer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356235</wp:posOffset>
            </wp:positionV>
            <wp:extent cx="6740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hanging="155"/>
        <w:spacing w:after="0" w:line="264"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CEO and executive leadership succession</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planning and annual talent review of key and rising talent by the Board and Compensation and Talent Management Committee</w:t>
      </w:r>
    </w:p>
    <w:p>
      <w:pPr>
        <w:spacing w:after="0" w:line="91" w:lineRule="exact"/>
        <w:rPr>
          <w:sz w:val="20"/>
          <w:szCs w:val="20"/>
          <w:color w:val="auto"/>
        </w:rPr>
      </w:pPr>
    </w:p>
    <w:p>
      <w:pPr>
        <w:sectPr>
          <w:pgSz w:w="11900" w:h="16838" w:orient="portrait"/>
          <w:cols w:equalWidth="0" w:num="3">
            <w:col w:w="3500" w:space="720"/>
            <w:col w:w="2660" w:space="720"/>
            <w:col w:w="3020"/>
          </w:cols>
          <w:pgMar w:left="640" w:top="296" w:right="6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access to internal and external experts</w:t>
            </w:r>
          </w:p>
        </w:tc>
        <w:tc>
          <w:tcPr>
            <w:tcW w:w="3600" w:type="dxa"/>
            <w:vAlign w:val="bottom"/>
          </w:tcPr>
          <w:p>
            <w:pPr>
              <w:ind w:left="3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Annual review of corporate governance</w:t>
            </w:r>
          </w:p>
        </w:tc>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Policies prohibiting short-sales, hedging,</w:t>
            </w:r>
          </w:p>
        </w:tc>
      </w:tr>
      <w:tr>
        <w:trPr>
          <w:trHeight w:val="205"/>
        </w:trPr>
        <w:tc>
          <w:tcPr>
            <w:tcW w:w="3740" w:type="dxa"/>
            <w:vAlign w:val="bottom"/>
          </w:tcPr>
          <w:p>
            <w:pPr>
              <w:ind w:left="160"/>
              <w:spacing w:after="0"/>
              <w:rPr>
                <w:sz w:val="20"/>
                <w:szCs w:val="20"/>
                <w:color w:val="auto"/>
              </w:rPr>
            </w:pPr>
            <w:r>
              <w:rPr>
                <w:rFonts w:ascii="Arial" w:cs="Arial" w:eastAsia="Arial" w:hAnsi="Arial"/>
                <w:sz w:val="16"/>
                <w:szCs w:val="16"/>
                <w:color w:val="auto"/>
              </w:rPr>
              <w:t>and advisors</w:t>
            </w:r>
          </w:p>
        </w:tc>
        <w:tc>
          <w:tcPr>
            <w:tcW w:w="3600" w:type="dxa"/>
            <w:vAlign w:val="bottom"/>
          </w:tcPr>
          <w:p>
            <w:pPr>
              <w:ind w:left="480"/>
              <w:spacing w:after="0"/>
              <w:rPr>
                <w:sz w:val="20"/>
                <w:szCs w:val="20"/>
                <w:color w:val="auto"/>
              </w:rPr>
            </w:pPr>
            <w:r>
              <w:rPr>
                <w:rFonts w:ascii="Arial" w:cs="Arial" w:eastAsia="Arial" w:hAnsi="Arial"/>
                <w:sz w:val="16"/>
                <w:szCs w:val="16"/>
                <w:color w:val="auto"/>
              </w:rPr>
              <w:t>documents to align with best practices</w:t>
            </w:r>
          </w:p>
        </w:tc>
        <w:tc>
          <w:tcPr>
            <w:tcW w:w="3280" w:type="dxa"/>
            <w:vAlign w:val="bottom"/>
          </w:tcPr>
          <w:p>
            <w:pPr>
              <w:ind w:left="260"/>
              <w:spacing w:after="0"/>
              <w:rPr>
                <w:sz w:val="20"/>
                <w:szCs w:val="20"/>
                <w:color w:val="auto"/>
              </w:rPr>
            </w:pPr>
            <w:r>
              <w:rPr>
                <w:rFonts w:ascii="Arial" w:cs="Arial" w:eastAsia="Arial" w:hAnsi="Arial"/>
                <w:sz w:val="16"/>
                <w:szCs w:val="16"/>
                <w:color w:val="auto"/>
              </w:rPr>
              <w:t>pledging, and margin accounts</w:t>
            </w:r>
          </w:p>
        </w:tc>
      </w:tr>
      <w:tr>
        <w:trPr>
          <w:trHeight w:val="54"/>
        </w:trPr>
        <w:tc>
          <w:tcPr>
            <w:tcW w:w="3740" w:type="dxa"/>
            <w:vAlign w:val="bottom"/>
            <w:tcBorders>
              <w:bottom w:val="single" w:sz="8" w:color="7F7F7F"/>
            </w:tcBorders>
          </w:tcPr>
          <w:p>
            <w:pPr>
              <w:spacing w:after="0"/>
              <w:rPr>
                <w:sz w:val="4"/>
                <w:szCs w:val="4"/>
                <w:color w:val="auto"/>
              </w:rPr>
            </w:pPr>
          </w:p>
        </w:tc>
        <w:tc>
          <w:tcPr>
            <w:tcW w:w="3600" w:type="dxa"/>
            <w:vAlign w:val="bottom"/>
            <w:tcBorders>
              <w:bottom w:val="single" w:sz="8" w:color="7F7F7F"/>
            </w:tcBorders>
          </w:tcPr>
          <w:p>
            <w:pPr>
              <w:spacing w:after="0"/>
              <w:rPr>
                <w:sz w:val="4"/>
                <w:szCs w:val="4"/>
                <w:color w:val="auto"/>
              </w:rPr>
            </w:pPr>
          </w:p>
        </w:tc>
        <w:tc>
          <w:tcPr>
            <w:tcW w:w="3280" w:type="dxa"/>
            <w:vAlign w:val="bottom"/>
            <w:tcBorders>
              <w:bottom w:val="single" w:sz="8" w:color="7F7F7F"/>
            </w:tcBorders>
          </w:tcPr>
          <w:p>
            <w:pPr>
              <w:spacing w:after="0"/>
              <w:rPr>
                <w:sz w:val="4"/>
                <w:szCs w:val="4"/>
                <w:color w:val="auto"/>
              </w:rPr>
            </w:pPr>
          </w:p>
        </w:tc>
      </w:tr>
      <w:tr>
        <w:trPr>
          <w:trHeight w:val="215"/>
        </w:trPr>
        <w:tc>
          <w:tcPr>
            <w:tcW w:w="37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No related-party transactions between the</w:t>
            </w:r>
          </w:p>
        </w:tc>
        <w:tc>
          <w:tcPr>
            <w:tcW w:w="3600" w:type="dxa"/>
            <w:vAlign w:val="bottom"/>
          </w:tcPr>
          <w:p>
            <w:pPr>
              <w:ind w:left="3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 longstanding Clawback Policy that applies</w:t>
            </w:r>
          </w:p>
        </w:tc>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Strong oversight of Environmental, Social</w:t>
            </w:r>
          </w:p>
        </w:tc>
      </w:tr>
      <w:tr>
        <w:trPr>
          <w:trHeight w:val="182"/>
        </w:trPr>
        <w:tc>
          <w:tcPr>
            <w:tcW w:w="3740" w:type="dxa"/>
            <w:vAlign w:val="bottom"/>
          </w:tcPr>
          <w:p>
            <w:pPr>
              <w:ind w:left="160"/>
              <w:spacing w:after="0" w:line="182" w:lineRule="exact"/>
              <w:rPr>
                <w:sz w:val="20"/>
                <w:szCs w:val="20"/>
                <w:color w:val="auto"/>
              </w:rPr>
            </w:pPr>
            <w:r>
              <w:rPr>
                <w:rFonts w:ascii="Arial" w:cs="Arial" w:eastAsia="Arial" w:hAnsi="Arial"/>
                <w:sz w:val="16"/>
                <w:szCs w:val="16"/>
                <w:color w:val="auto"/>
              </w:rPr>
              <w:t>Company and members of the Board or senior</w:t>
            </w:r>
          </w:p>
        </w:tc>
        <w:tc>
          <w:tcPr>
            <w:tcW w:w="3600" w:type="dxa"/>
            <w:vAlign w:val="bottom"/>
          </w:tcPr>
          <w:p>
            <w:pPr>
              <w:ind w:left="480"/>
              <w:spacing w:after="0" w:line="182" w:lineRule="exact"/>
              <w:rPr>
                <w:sz w:val="20"/>
                <w:szCs w:val="20"/>
                <w:color w:val="auto"/>
              </w:rPr>
            </w:pPr>
            <w:r>
              <w:rPr>
                <w:rFonts w:ascii="Arial" w:cs="Arial" w:eastAsia="Arial" w:hAnsi="Arial"/>
                <w:sz w:val="16"/>
                <w:szCs w:val="16"/>
                <w:color w:val="auto"/>
              </w:rPr>
              <w:t>to short-term and long-term incentive</w:t>
            </w:r>
          </w:p>
        </w:tc>
        <w:tc>
          <w:tcPr>
            <w:tcW w:w="3280" w:type="dxa"/>
            <w:vAlign w:val="bottom"/>
          </w:tcPr>
          <w:p>
            <w:pPr>
              <w:ind w:left="260"/>
              <w:spacing w:after="0" w:line="182" w:lineRule="exact"/>
              <w:rPr>
                <w:sz w:val="20"/>
                <w:szCs w:val="20"/>
                <w:color w:val="auto"/>
              </w:rPr>
            </w:pPr>
            <w:r>
              <w:rPr>
                <w:rFonts w:ascii="Arial" w:cs="Arial" w:eastAsia="Arial" w:hAnsi="Arial"/>
                <w:sz w:val="16"/>
                <w:szCs w:val="16"/>
                <w:color w:val="auto"/>
                <w:w w:val="99"/>
              </w:rPr>
              <w:t>and Governance (“ESG”) standards by the</w:t>
            </w:r>
          </w:p>
        </w:tc>
      </w:tr>
      <w:tr>
        <w:trPr>
          <w:trHeight w:val="182"/>
        </w:trPr>
        <w:tc>
          <w:tcPr>
            <w:tcW w:w="3740" w:type="dxa"/>
            <w:vAlign w:val="bottom"/>
          </w:tcPr>
          <w:p>
            <w:pPr>
              <w:ind w:left="160"/>
              <w:spacing w:after="0" w:line="182" w:lineRule="exact"/>
              <w:rPr>
                <w:sz w:val="20"/>
                <w:szCs w:val="20"/>
                <w:color w:val="auto"/>
              </w:rPr>
            </w:pPr>
            <w:r>
              <w:rPr>
                <w:rFonts w:ascii="Arial" w:cs="Arial" w:eastAsia="Arial" w:hAnsi="Arial"/>
                <w:sz w:val="16"/>
                <w:szCs w:val="16"/>
                <w:color w:val="auto"/>
              </w:rPr>
              <w:t>management</w:t>
            </w:r>
          </w:p>
        </w:tc>
        <w:tc>
          <w:tcPr>
            <w:tcW w:w="3600" w:type="dxa"/>
            <w:vAlign w:val="bottom"/>
          </w:tcPr>
          <w:p>
            <w:pPr>
              <w:ind w:left="480"/>
              <w:spacing w:after="0" w:line="182" w:lineRule="exact"/>
              <w:rPr>
                <w:sz w:val="20"/>
                <w:szCs w:val="20"/>
                <w:color w:val="auto"/>
              </w:rPr>
            </w:pPr>
            <w:r>
              <w:rPr>
                <w:rFonts w:ascii="Arial" w:cs="Arial" w:eastAsia="Arial" w:hAnsi="Arial"/>
                <w:sz w:val="16"/>
                <w:szCs w:val="16"/>
                <w:color w:val="auto"/>
                <w:w w:val="99"/>
              </w:rPr>
              <w:t>compensation plans for senior management</w:t>
            </w:r>
          </w:p>
        </w:tc>
        <w:tc>
          <w:tcPr>
            <w:tcW w:w="3280" w:type="dxa"/>
            <w:vAlign w:val="bottom"/>
          </w:tcPr>
          <w:p>
            <w:pPr>
              <w:ind w:left="260"/>
              <w:spacing w:after="0" w:line="182" w:lineRule="exact"/>
              <w:rPr>
                <w:sz w:val="20"/>
                <w:szCs w:val="20"/>
                <w:color w:val="auto"/>
              </w:rPr>
            </w:pPr>
            <w:r>
              <w:rPr>
                <w:rFonts w:ascii="Arial" w:cs="Arial" w:eastAsia="Arial" w:hAnsi="Arial"/>
                <w:sz w:val="16"/>
                <w:szCs w:val="16"/>
                <w:color w:val="auto"/>
              </w:rPr>
              <w:t>Board and Corporate Governance and</w:t>
            </w:r>
          </w:p>
        </w:tc>
      </w:tr>
      <w:tr>
        <w:trPr>
          <w:trHeight w:val="205"/>
        </w:trPr>
        <w:tc>
          <w:tcPr>
            <w:tcW w:w="37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280" w:type="dxa"/>
            <w:vAlign w:val="bottom"/>
          </w:tcPr>
          <w:p>
            <w:pPr>
              <w:ind w:left="260"/>
              <w:spacing w:after="0"/>
              <w:rPr>
                <w:sz w:val="20"/>
                <w:szCs w:val="20"/>
                <w:color w:val="auto"/>
              </w:rPr>
            </w:pPr>
            <w:r>
              <w:rPr>
                <w:rFonts w:ascii="Arial" w:cs="Arial" w:eastAsia="Arial" w:hAnsi="Arial"/>
                <w:sz w:val="16"/>
                <w:szCs w:val="16"/>
                <w:color w:val="auto"/>
              </w:rPr>
              <w:t>Nominating Committee</w:t>
            </w:r>
          </w:p>
        </w:tc>
      </w:tr>
    </w:tbl>
    <w:p>
      <w:pPr>
        <w:spacing w:after="0" w:line="107" w:lineRule="exact"/>
        <w:rPr>
          <w:sz w:val="20"/>
          <w:szCs w:val="20"/>
          <w:color w:val="auto"/>
        </w:rPr>
      </w:pPr>
    </w:p>
    <w:p>
      <w:pPr>
        <w:sectPr>
          <w:pgSz w:w="11900" w:h="16838" w:orient="portrait"/>
          <w:cols w:equalWidth="0" w:num="1">
            <w:col w:w="10620"/>
          </w:cols>
          <w:pgMar w:left="640" w:top="296" w:right="639" w:bottom="1440" w:gutter="0" w:footer="0" w:header="0"/>
          <w:type w:val="continuous"/>
        </w:sectPr>
      </w:pPr>
    </w:p>
    <w:p>
      <w:pPr>
        <w:ind w:left="40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Stock ownership requirements for directors</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and senior management</w:t>
      </w:r>
    </w:p>
    <w:p>
      <w:pPr>
        <w:spacing w:after="0" w:line="20" w:lineRule="exact"/>
        <w:rPr>
          <w:sz w:val="20"/>
          <w:szCs w:val="20"/>
          <w:color w:val="auto"/>
        </w:rPr>
      </w:pPr>
      <w:r>
        <w:rPr>
          <w:sz w:val="20"/>
          <w:szCs w:val="20"/>
          <w:color w:val="auto"/>
        </w:rPr>
        <w:br w:type="column"/>
      </w:r>
    </w:p>
    <w:p>
      <w:pPr>
        <w:ind w:right="320" w:hanging="155"/>
        <w:spacing w:after="0" w:line="275"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Comprehensive orientation program for</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new directors and robust continuing education programs for Board</w:t>
      </w:r>
    </w:p>
    <w:p>
      <w:pPr>
        <w:spacing w:after="0" w:line="82" w:lineRule="exact"/>
        <w:rPr>
          <w:sz w:val="20"/>
          <w:szCs w:val="20"/>
          <w:color w:val="auto"/>
        </w:rPr>
      </w:pPr>
    </w:p>
    <w:p>
      <w:pPr>
        <w:ind w:right="120" w:hanging="155"/>
        <w:spacing w:after="0" w:line="267"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Robust Code of Business Conduct and</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Ethics for the Board, senior management, and all employees that includes an annual certification requirement</w:t>
      </w:r>
    </w:p>
    <w:p>
      <w:pPr>
        <w:spacing w:after="0" w:line="1" w:lineRule="exact"/>
        <w:rPr>
          <w:sz w:val="20"/>
          <w:szCs w:val="20"/>
          <w:color w:val="auto"/>
        </w:rPr>
      </w:pPr>
    </w:p>
    <w:p>
      <w:pPr>
        <w:sectPr>
          <w:pgSz w:w="11900" w:h="16838" w:orient="portrait"/>
          <w:cols w:equalWidth="0" w:num="2">
            <w:col w:w="7180" w:space="420"/>
            <w:col w:w="3020"/>
          </w:cols>
          <w:pgMar w:left="640" w:top="296" w:right="639" w:bottom="1440" w:gutter="0" w:footer="0" w:header="0"/>
          <w:type w:val="continuous"/>
        </w:sectPr>
      </w:pPr>
    </w:p>
    <w:p>
      <w:pPr>
        <w:ind w:left="8900"/>
        <w:spacing w:after="0"/>
        <w:tabs>
          <w:tab w:leader="none" w:pos="101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5"/>
          <w:szCs w:val="15"/>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6740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-184150</wp:posOffset>
            </wp:positionV>
            <wp:extent cx="8255"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type w:val="continuous"/>
        </w:sectPr>
      </w:pPr>
    </w:p>
    <w:bookmarkStart w:id="9" w:name="page10"/>
    <w:bookmarkEnd w:id="9"/>
    <w:p>
      <w:pPr>
        <w:ind w:left="4"/>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Proxy Summary</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Meet Today’s Kelly</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6"/>
          <w:szCs w:val="16"/>
          <w:color w:val="auto"/>
        </w:rPr>
        <w:t>We’re building on 77 years of industry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154940</wp:posOffset>
            </wp:positionV>
            <wp:extent cx="4914900" cy="266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14900" cy="266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A Year in Review</w:t>
      </w:r>
    </w:p>
    <w:p>
      <w:pPr>
        <w:spacing w:after="0" w:line="85" w:lineRule="exact"/>
        <w:rPr>
          <w:sz w:val="20"/>
          <w:szCs w:val="20"/>
          <w:color w:val="auto"/>
        </w:rPr>
      </w:pPr>
    </w:p>
    <w:p>
      <w:pPr>
        <w:ind w:left="4" w:right="140"/>
        <w:spacing w:after="0" w:line="293" w:lineRule="auto"/>
        <w:rPr>
          <w:sz w:val="20"/>
          <w:szCs w:val="20"/>
          <w:color w:val="auto"/>
        </w:rPr>
      </w:pPr>
      <w:r>
        <w:rPr>
          <w:rFonts w:ascii="Arial" w:cs="Arial" w:eastAsia="Arial" w:hAnsi="Arial"/>
          <w:sz w:val="14"/>
          <w:szCs w:val="14"/>
          <w:color w:val="auto"/>
        </w:rPr>
        <w:t>2023 marked a year of macroeconomic headwinds and challenging staffing market dynamics as employers in most sectors maintained a guarded approach to hiring and focused on retaining their current workforce amid ongoing economic uncertainty. In more resilient pockets of the economy, where employers need talent, the supply of candidates to fill open roles remains constrained. These dynamics put pressure on our business as the year progressed, and while we captured available growth opportunities, the macroeconomic effects became more noticeable in certain parts of our portfolio.</w:t>
      </w:r>
    </w:p>
    <w:p>
      <w:pPr>
        <w:spacing w:after="0" w:line="20" w:lineRule="exact"/>
        <w:rPr>
          <w:sz w:val="20"/>
          <w:szCs w:val="20"/>
          <w:color w:val="auto"/>
        </w:rPr>
      </w:pPr>
    </w:p>
    <w:p>
      <w:pPr>
        <w:ind w:left="204" w:right="20" w:hanging="204"/>
        <w:spacing w:after="0" w:line="202" w:lineRule="auto"/>
        <w:tabs>
          <w:tab w:leader="none" w:pos="204" w:val="left"/>
        </w:tabs>
        <w:numPr>
          <w:ilvl w:val="0"/>
          <w:numId w:val="5"/>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Our Education segment continued to report significant year-over-year growth driven by improved fill rates, strong demand from existing customers, and net new customer wins.</w:t>
      </w:r>
    </w:p>
    <w:p>
      <w:pPr>
        <w:spacing w:after="0" w:line="55" w:lineRule="exact"/>
        <w:rPr>
          <w:rFonts w:ascii="Times New Roman" w:cs="Times New Roman" w:eastAsia="Times New Roman" w:hAnsi="Times New Roman"/>
          <w:sz w:val="24"/>
          <w:szCs w:val="24"/>
          <w:color w:val="0A9E50"/>
          <w:vertAlign w:val="superscript"/>
        </w:rPr>
      </w:pPr>
    </w:p>
    <w:p>
      <w:pPr>
        <w:ind w:left="204" w:right="340" w:hanging="204"/>
        <w:spacing w:after="0" w:line="202" w:lineRule="auto"/>
        <w:tabs>
          <w:tab w:leader="none" w:pos="204" w:val="left"/>
        </w:tabs>
        <w:numPr>
          <w:ilvl w:val="0"/>
          <w:numId w:val="5"/>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Our higher margin outcome-based solutions in our Professional &amp; Industrial (“P&amp;I”) segment delivered revenue growth as demand for these value-added solutions continues.</w:t>
      </w:r>
    </w:p>
    <w:p>
      <w:pPr>
        <w:spacing w:after="0" w:line="55" w:lineRule="exact"/>
        <w:rPr>
          <w:rFonts w:ascii="Times New Roman" w:cs="Times New Roman" w:eastAsia="Times New Roman" w:hAnsi="Times New Roman"/>
          <w:sz w:val="24"/>
          <w:szCs w:val="24"/>
          <w:color w:val="0A9E50"/>
          <w:vertAlign w:val="superscript"/>
        </w:rPr>
      </w:pPr>
    </w:p>
    <w:p>
      <w:pPr>
        <w:ind w:left="204" w:right="260" w:hanging="204"/>
        <w:spacing w:after="0" w:line="202" w:lineRule="auto"/>
        <w:tabs>
          <w:tab w:leader="none" w:pos="204" w:val="left"/>
        </w:tabs>
        <w:numPr>
          <w:ilvl w:val="0"/>
          <w:numId w:val="5"/>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We continued to experience a deceleration in demand for temporary and permanent placement services as well as talent solutions, which impacted results in our P&amp;I, Science, Engineering &amp; Technology (“SET”) and Outsourcing &amp; Consulting Group (“OCG”) segments.</w:t>
      </w:r>
    </w:p>
    <w:p>
      <w:pPr>
        <w:spacing w:after="0" w:line="55" w:lineRule="exact"/>
        <w:rPr>
          <w:rFonts w:ascii="Times New Roman" w:cs="Times New Roman" w:eastAsia="Times New Roman" w:hAnsi="Times New Roman"/>
          <w:sz w:val="24"/>
          <w:szCs w:val="24"/>
          <w:color w:val="0A9E50"/>
          <w:vertAlign w:val="superscript"/>
        </w:rPr>
      </w:pPr>
    </w:p>
    <w:p>
      <w:pPr>
        <w:ind w:left="204" w:right="40" w:hanging="204"/>
        <w:spacing w:after="0" w:line="202" w:lineRule="auto"/>
        <w:tabs>
          <w:tab w:leader="none" w:pos="204" w:val="left"/>
        </w:tabs>
        <w:numPr>
          <w:ilvl w:val="0"/>
          <w:numId w:val="5"/>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We maintained a disciplined approach to managing expenses, including our transformation initiatives, while ensuring Kelly is well positioned to capture demand on the other side of the current economic cycle.</w:t>
      </w:r>
    </w:p>
    <w:p>
      <w:pPr>
        <w:spacing w:after="0" w:line="42" w:lineRule="exact"/>
        <w:rPr>
          <w:sz w:val="20"/>
          <w:szCs w:val="20"/>
          <w:color w:val="auto"/>
        </w:rPr>
      </w:pPr>
    </w:p>
    <w:p>
      <w:pPr>
        <w:ind w:left="4"/>
        <w:spacing w:after="0" w:line="244" w:lineRule="auto"/>
        <w:rPr>
          <w:sz w:val="20"/>
          <w:szCs w:val="20"/>
          <w:color w:val="auto"/>
        </w:rPr>
      </w:pPr>
      <w:r>
        <w:rPr>
          <w:rFonts w:ascii="Arial" w:cs="Arial" w:eastAsia="Arial" w:hAnsi="Arial"/>
          <w:sz w:val="16"/>
          <w:szCs w:val="16"/>
          <w:color w:val="auto"/>
        </w:rPr>
        <w:t>We remain focused on the future and are taking aggressive action on our transformation journey to improve Kelly’s profitability and accelerate growth over the long term. Since announcing the transformation in May, our business unit and enterprise function teams, together with the Transformation Management Office, made substantial progress on multiple initiatives to drive organizational efficiency and effectiveness. The actions taken to date include restructuring our full-time and in-house temporary employee headcount, and renegotiation of supplier agreements and real estate contracts to deliver structural cost savings.</w:t>
      </w:r>
    </w:p>
    <w:p>
      <w:pPr>
        <w:spacing w:after="0" w:line="40" w:lineRule="exact"/>
        <w:rPr>
          <w:sz w:val="20"/>
          <w:szCs w:val="20"/>
          <w:color w:val="auto"/>
        </w:rPr>
      </w:pPr>
    </w:p>
    <w:p>
      <w:pPr>
        <w:ind w:left="4" w:right="180"/>
        <w:spacing w:after="0" w:line="246" w:lineRule="auto"/>
        <w:rPr>
          <w:sz w:val="20"/>
          <w:szCs w:val="20"/>
          <w:color w:val="auto"/>
        </w:rPr>
      </w:pPr>
      <w:r>
        <w:rPr>
          <w:rFonts w:ascii="Arial" w:cs="Arial" w:eastAsia="Arial" w:hAnsi="Arial"/>
          <w:sz w:val="16"/>
          <w:szCs w:val="16"/>
          <w:color w:val="auto"/>
        </w:rPr>
        <w:t>We also committed to finding new avenues of growth, including a refreshed go-to-market strategy to deliver more Kelly solutions to our large enterprise customers to enhance our customer value as we move into 2024. Notwithstanding our focus on these enterprise customers, we remain committed to delivering the highest quality of service to customers regardless of spend or size. For example, we enhanced our local delivery model and rolled out our Kelly Now mobile application across the U.S to meet the needs of clients and talent.</w:t>
      </w:r>
    </w:p>
    <w:p>
      <w:pPr>
        <w:spacing w:after="0" w:line="31" w:lineRule="exact"/>
        <w:rPr>
          <w:sz w:val="20"/>
          <w:szCs w:val="20"/>
          <w:color w:val="auto"/>
        </w:rPr>
      </w:pPr>
    </w:p>
    <w:p>
      <w:pPr>
        <w:ind w:left="64"/>
        <w:spacing w:after="0"/>
        <w:tabs>
          <w:tab w:leader="none" w:pos="443" w:val="left"/>
        </w:tabs>
        <w:rPr>
          <w:sz w:val="20"/>
          <w:szCs w:val="20"/>
          <w:color w:val="auto"/>
        </w:rPr>
      </w:pPr>
      <w:r>
        <w:rPr>
          <w:rFonts w:ascii="Arial" w:cs="Arial" w:eastAsia="Arial" w:hAnsi="Arial"/>
          <w:sz w:val="38"/>
          <w:szCs w:val="38"/>
          <w:color w:val="auto"/>
          <w:vertAlign w:val="superscript"/>
        </w:rPr>
        <w:t>8 </w:t>
      </w:r>
      <w:r>
        <w:rPr>
          <w:sz w:val="20"/>
          <w:szCs w:val="20"/>
          <w:color w:val="auto"/>
        </w:rPr>
        <w:tab/>
      </w:r>
      <w:r>
        <w:rPr>
          <w:rFonts w:ascii="Arial" w:cs="Arial" w:eastAsia="Arial" w:hAnsi="Arial"/>
          <w:sz w:val="20"/>
          <w:szCs w:val="20"/>
          <w:color w:val="auto"/>
        </w:rPr>
        <w:t xml:space="preserve">    </w:t>
      </w:r>
      <w:r>
        <w:rPr>
          <w:sz w:val="1"/>
          <w:szCs w:val="1"/>
          <w:color w:val="auto"/>
        </w:rPr>
        <w:drawing>
          <wp:inline distT="0" distB="0" distL="0" distR="0">
            <wp:extent cx="396240" cy="18986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-214630</wp:posOffset>
            </wp:positionV>
            <wp:extent cx="8255" cy="222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bookmarkStart w:id="10" w:name="page11"/>
    <w:bookmarkEnd w:id="10"/>
    <w:p>
      <w:pPr>
        <w:ind w:left="9624"/>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Proxy Summary</w:t>
      </w:r>
    </w:p>
    <w:p>
      <w:pPr>
        <w:spacing w:after="0" w:line="137" w:lineRule="exact"/>
        <w:rPr>
          <w:sz w:val="20"/>
          <w:szCs w:val="20"/>
          <w:color w:val="auto"/>
        </w:rPr>
      </w:pPr>
    </w:p>
    <w:p>
      <w:pPr>
        <w:ind w:left="4" w:right="40"/>
        <w:spacing w:after="0" w:line="319" w:lineRule="auto"/>
        <w:rPr>
          <w:sz w:val="20"/>
          <w:szCs w:val="20"/>
          <w:color w:val="auto"/>
        </w:rPr>
      </w:pPr>
      <w:r>
        <w:rPr>
          <w:rFonts w:ascii="Arial" w:cs="Arial" w:eastAsia="Arial" w:hAnsi="Arial"/>
          <w:sz w:val="14"/>
          <w:szCs w:val="14"/>
          <w:color w:val="auto"/>
        </w:rPr>
        <w:t>We completed the sale of our European staffing operations on January 2, 2024 and moved forward with a further streamlined operating model focused on North American staffing and solutions and global Managed Service Provider (“MSP”) and Recruitment Process Outsourcing (“RPO”) solutions.</w:t>
      </w:r>
    </w:p>
    <w:p>
      <w:pPr>
        <w:spacing w:after="0" w:line="1" w:lineRule="exact"/>
        <w:rPr>
          <w:sz w:val="20"/>
          <w:szCs w:val="20"/>
          <w:color w:val="auto"/>
        </w:rPr>
      </w:pPr>
    </w:p>
    <w:p>
      <w:pPr>
        <w:ind w:left="4" w:right="160"/>
        <w:spacing w:after="0" w:line="265" w:lineRule="auto"/>
        <w:rPr>
          <w:sz w:val="20"/>
          <w:szCs w:val="20"/>
          <w:color w:val="auto"/>
        </w:rPr>
      </w:pPr>
      <w:r>
        <w:rPr>
          <w:rFonts w:ascii="Arial" w:cs="Arial" w:eastAsia="Arial" w:hAnsi="Arial"/>
          <w:sz w:val="16"/>
          <w:szCs w:val="16"/>
          <w:color w:val="auto"/>
        </w:rPr>
        <w:t>Together these changes represent structural shifts in Kelly’s operations, delivering meaningful improvement to the Company’s EBITDA margin which we expect to continue into 2024 and beyond.</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2023 Financial Highlights</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Full Year 2023 Financial Summary</w:t>
      </w:r>
    </w:p>
    <w:p>
      <w:pPr>
        <w:spacing w:after="0" w:line="241"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80" w:type="dxa"/>
            <w:vAlign w:val="bottom"/>
            <w:gridSpan w:val="2"/>
          </w:tcPr>
          <w:p>
            <w:pPr>
              <w:ind w:left="200"/>
              <w:spacing w:after="0"/>
              <w:rPr>
                <w:sz w:val="20"/>
                <w:szCs w:val="20"/>
                <w:color w:val="auto"/>
              </w:rPr>
            </w:pPr>
            <w:r>
              <w:rPr>
                <w:rFonts w:ascii="Arial" w:cs="Arial" w:eastAsia="Arial" w:hAnsi="Arial"/>
                <w:sz w:val="14"/>
                <w:szCs w:val="14"/>
                <w:b w:val="1"/>
                <w:bCs w:val="1"/>
                <w:color w:val="0A9E50"/>
              </w:rPr>
              <w:t>Change Increase/(Decrease)</w:t>
            </w:r>
          </w:p>
        </w:tc>
        <w:tc>
          <w:tcPr>
            <w:tcW w:w="0" w:type="dxa"/>
            <w:vAlign w:val="bottom"/>
          </w:tcPr>
          <w:p>
            <w:pPr>
              <w:spacing w:after="0"/>
              <w:rPr>
                <w:sz w:val="1"/>
                <w:szCs w:val="1"/>
                <w:color w:val="auto"/>
              </w:rPr>
            </w:pPr>
          </w:p>
        </w:tc>
      </w:tr>
      <w:tr>
        <w:trPr>
          <w:trHeight w:val="26"/>
        </w:trPr>
        <w:tc>
          <w:tcPr>
            <w:tcW w:w="4420" w:type="dxa"/>
            <w:vAlign w:val="bottom"/>
          </w:tcPr>
          <w:p>
            <w:pPr>
              <w:spacing w:after="0"/>
              <w:rPr>
                <w:sz w:val="2"/>
                <w:szCs w:val="2"/>
                <w:color w:val="auto"/>
              </w:rPr>
            </w:pPr>
          </w:p>
        </w:tc>
        <w:tc>
          <w:tcPr>
            <w:tcW w:w="3920" w:type="dxa"/>
            <w:vAlign w:val="bottom"/>
            <w:vMerge w:val="restart"/>
          </w:tcPr>
          <w:p>
            <w:pPr>
              <w:ind w:left="2660"/>
              <w:spacing w:after="0"/>
              <w:rPr>
                <w:sz w:val="20"/>
                <w:szCs w:val="20"/>
                <w:color w:val="auto"/>
              </w:rPr>
            </w:pPr>
            <w:r>
              <w:rPr>
                <w:rFonts w:ascii="Arial" w:cs="Arial" w:eastAsia="Arial" w:hAnsi="Arial"/>
                <w:sz w:val="14"/>
                <w:szCs w:val="14"/>
                <w:b w:val="1"/>
                <w:bCs w:val="1"/>
                <w:color w:val="0A9E50"/>
              </w:rPr>
              <w:t>Actual Results</w:t>
            </w: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442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0A9E50"/>
                <w:w w:val="98"/>
              </w:rPr>
              <w:t>As Reported</w:t>
            </w:r>
          </w:p>
        </w:tc>
        <w:tc>
          <w:tcPr>
            <w:tcW w:w="1200" w:type="dxa"/>
            <w:vAlign w:val="bottom"/>
            <w:tcBorders>
              <w:bottom w:val="single" w:sz="8" w:color="auto"/>
            </w:tcBorders>
          </w:tcPr>
          <w:p>
            <w:pPr>
              <w:jc w:val="center"/>
              <w:ind w:left="11"/>
              <w:spacing w:after="0" w:line="175" w:lineRule="exact"/>
              <w:rPr>
                <w:sz w:val="20"/>
                <w:szCs w:val="20"/>
                <w:color w:val="auto"/>
              </w:rPr>
            </w:pPr>
            <w:r>
              <w:rPr>
                <w:rFonts w:ascii="Arial" w:cs="Arial" w:eastAsia="Arial" w:hAnsi="Arial"/>
                <w:sz w:val="14"/>
                <w:szCs w:val="14"/>
                <w:b w:val="1"/>
                <w:bCs w:val="1"/>
                <w:color w:val="0A9E50"/>
                <w:w w:val="93"/>
              </w:rPr>
              <w:t>As Adjusted</w:t>
            </w:r>
            <w:r>
              <w:rPr>
                <w:rFonts w:ascii="Arial" w:cs="Arial" w:eastAsia="Arial" w:hAnsi="Arial"/>
                <w:sz w:val="20"/>
                <w:szCs w:val="20"/>
                <w:b w:val="1"/>
                <w:bCs w:val="1"/>
                <w:color w:val="0A9E50"/>
                <w:w w:val="93"/>
                <w:vertAlign w:val="superscript"/>
              </w:rPr>
              <w:t>(2)</w:t>
            </w:r>
          </w:p>
        </w:tc>
        <w:tc>
          <w:tcPr>
            <w:tcW w:w="0" w:type="dxa"/>
            <w:vAlign w:val="bottom"/>
          </w:tcPr>
          <w:p>
            <w:pPr>
              <w:spacing w:after="0"/>
              <w:rPr>
                <w:sz w:val="1"/>
                <w:szCs w:val="1"/>
                <w:color w:val="auto"/>
              </w:rPr>
            </w:pPr>
          </w:p>
        </w:tc>
      </w:tr>
      <w:tr>
        <w:trPr>
          <w:trHeight w:val="188"/>
        </w:trPr>
        <w:tc>
          <w:tcPr>
            <w:tcW w:w="4420" w:type="dxa"/>
            <w:vAlign w:val="bottom"/>
          </w:tcPr>
          <w:p>
            <w:pPr>
              <w:ind w:left="60"/>
              <w:spacing w:after="0"/>
              <w:rPr>
                <w:sz w:val="20"/>
                <w:szCs w:val="20"/>
                <w:color w:val="auto"/>
              </w:rPr>
            </w:pPr>
            <w:r>
              <w:rPr>
                <w:rFonts w:ascii="Arial" w:cs="Arial" w:eastAsia="Arial" w:hAnsi="Arial"/>
                <w:sz w:val="14"/>
                <w:szCs w:val="14"/>
                <w:b w:val="1"/>
                <w:bCs w:val="1"/>
                <w:color w:val="auto"/>
              </w:rPr>
              <w:t>Revenue</w:t>
            </w:r>
          </w:p>
        </w:tc>
        <w:tc>
          <w:tcPr>
            <w:tcW w:w="3920" w:type="dxa"/>
            <w:vAlign w:val="bottom"/>
          </w:tcPr>
          <w:p>
            <w:pPr>
              <w:jc w:val="center"/>
              <w:ind w:left="2291"/>
              <w:spacing w:after="0"/>
              <w:rPr>
                <w:sz w:val="20"/>
                <w:szCs w:val="20"/>
                <w:color w:val="auto"/>
              </w:rPr>
            </w:pPr>
            <w:r>
              <w:rPr>
                <w:rFonts w:ascii="Arial" w:cs="Arial" w:eastAsia="Arial" w:hAnsi="Arial"/>
                <w:sz w:val="14"/>
                <w:szCs w:val="14"/>
                <w:color w:val="auto"/>
                <w:w w:val="98"/>
              </w:rPr>
              <w:t>$4.8B</w:t>
            </w:r>
          </w:p>
        </w:tc>
        <w:tc>
          <w:tcPr>
            <w:tcW w:w="1080" w:type="dxa"/>
            <w:vAlign w:val="bottom"/>
          </w:tcPr>
          <w:p>
            <w:pPr>
              <w:jc w:val="center"/>
              <w:ind w:right="51"/>
              <w:spacing w:after="0"/>
              <w:rPr>
                <w:sz w:val="20"/>
                <w:szCs w:val="20"/>
                <w:color w:val="auto"/>
              </w:rPr>
            </w:pPr>
            <w:r>
              <w:rPr>
                <w:rFonts w:ascii="Arial" w:cs="Arial" w:eastAsia="Arial" w:hAnsi="Arial"/>
                <w:sz w:val="14"/>
                <w:szCs w:val="14"/>
                <w:color w:val="auto"/>
                <w:w w:val="96"/>
              </w:rPr>
              <w:t>(2.6%)</w:t>
            </w:r>
          </w:p>
        </w:tc>
        <w:tc>
          <w:tcPr>
            <w:tcW w:w="1200" w:type="dxa"/>
            <w:vAlign w:val="bottom"/>
          </w:tcPr>
          <w:p>
            <w:pPr>
              <w:jc w:val="center"/>
              <w:ind w:left="11"/>
              <w:spacing w:after="0"/>
              <w:rPr>
                <w:sz w:val="20"/>
                <w:szCs w:val="20"/>
                <w:color w:val="auto"/>
              </w:rPr>
            </w:pPr>
            <w:r>
              <w:rPr>
                <w:rFonts w:ascii="Arial" w:cs="Arial" w:eastAsia="Arial" w:hAnsi="Arial"/>
                <w:sz w:val="14"/>
                <w:szCs w:val="14"/>
                <w:color w:val="auto"/>
                <w:w w:val="96"/>
              </w:rPr>
              <w:t>(2.6%)</w:t>
            </w:r>
          </w:p>
        </w:tc>
        <w:tc>
          <w:tcPr>
            <w:tcW w:w="0" w:type="dxa"/>
            <w:vAlign w:val="bottom"/>
          </w:tcPr>
          <w:p>
            <w:pPr>
              <w:spacing w:after="0"/>
              <w:rPr>
                <w:sz w:val="1"/>
                <w:szCs w:val="1"/>
                <w:color w:val="auto"/>
              </w:rPr>
            </w:pPr>
          </w:p>
        </w:tc>
      </w:tr>
      <w:tr>
        <w:trPr>
          <w:trHeight w:val="234"/>
        </w:trPr>
        <w:tc>
          <w:tcPr>
            <w:tcW w:w="4420" w:type="dxa"/>
            <w:vAlign w:val="bottom"/>
            <w:tcBorders>
              <w:bottom w:val="single" w:sz="8" w:color="7F7F7F"/>
            </w:tcBorders>
          </w:tcPr>
          <w:p>
            <w:pPr>
              <w:spacing w:after="0"/>
              <w:rPr>
                <w:sz w:val="20"/>
                <w:szCs w:val="20"/>
                <w:color w:val="auto"/>
              </w:rPr>
            </w:pPr>
          </w:p>
        </w:tc>
        <w:tc>
          <w:tcPr>
            <w:tcW w:w="3920" w:type="dxa"/>
            <w:vAlign w:val="bottom"/>
            <w:tcBorders>
              <w:bottom w:val="single" w:sz="8" w:color="7F7F7F"/>
            </w:tcBorders>
          </w:tcPr>
          <w:p>
            <w:pPr>
              <w:spacing w:after="0"/>
              <w:rPr>
                <w:sz w:val="20"/>
                <w:szCs w:val="20"/>
                <w:color w:val="auto"/>
              </w:rPr>
            </w:pPr>
          </w:p>
        </w:tc>
        <w:tc>
          <w:tcPr>
            <w:tcW w:w="1080" w:type="dxa"/>
            <w:vAlign w:val="bottom"/>
            <w:tcBorders>
              <w:bottom w:val="single" w:sz="8" w:color="7F7F7F"/>
            </w:tcBorders>
          </w:tcPr>
          <w:p>
            <w:pPr>
              <w:jc w:val="center"/>
              <w:ind w:right="51"/>
              <w:spacing w:after="0"/>
              <w:rPr>
                <w:sz w:val="20"/>
                <w:szCs w:val="20"/>
                <w:color w:val="auto"/>
              </w:rPr>
            </w:pPr>
            <w:r>
              <w:rPr>
                <w:rFonts w:ascii="Arial" w:cs="Arial" w:eastAsia="Arial" w:hAnsi="Arial"/>
                <w:sz w:val="14"/>
                <w:szCs w:val="14"/>
                <w:color w:val="auto"/>
                <w:w w:val="94"/>
              </w:rPr>
              <w:t>(3.2%) CC</w:t>
            </w:r>
            <w:r>
              <w:rPr>
                <w:rFonts w:ascii="Arial" w:cs="Arial" w:eastAsia="Arial" w:hAnsi="Arial"/>
                <w:sz w:val="20"/>
                <w:szCs w:val="20"/>
                <w:color w:val="auto"/>
                <w:w w:val="94"/>
                <w:vertAlign w:val="superscript"/>
              </w:rPr>
              <w:t>(1)</w:t>
            </w:r>
          </w:p>
        </w:tc>
        <w:tc>
          <w:tcPr>
            <w:tcW w:w="1200" w:type="dxa"/>
            <w:vAlign w:val="bottom"/>
            <w:tcBorders>
              <w:bottom w:val="single" w:sz="8" w:color="7F7F7F"/>
            </w:tcBorders>
          </w:tcPr>
          <w:p>
            <w:pPr>
              <w:jc w:val="center"/>
              <w:ind w:left="11"/>
              <w:spacing w:after="0"/>
              <w:rPr>
                <w:sz w:val="20"/>
                <w:szCs w:val="20"/>
                <w:color w:val="auto"/>
              </w:rPr>
            </w:pPr>
            <w:r>
              <w:rPr>
                <w:rFonts w:ascii="Arial" w:cs="Arial" w:eastAsia="Arial" w:hAnsi="Arial"/>
                <w:sz w:val="14"/>
                <w:szCs w:val="14"/>
                <w:color w:val="auto"/>
                <w:w w:val="94"/>
              </w:rPr>
              <w:t>(3.2%) CC</w:t>
            </w:r>
            <w:r>
              <w:rPr>
                <w:rFonts w:ascii="Arial" w:cs="Arial" w:eastAsia="Arial" w:hAnsi="Arial"/>
                <w:sz w:val="20"/>
                <w:szCs w:val="20"/>
                <w:color w:val="auto"/>
                <w:w w:val="94"/>
                <w:vertAlign w:val="superscript"/>
              </w:rPr>
              <w:t>(1)</w:t>
            </w:r>
          </w:p>
        </w:tc>
        <w:tc>
          <w:tcPr>
            <w:tcW w:w="0" w:type="dxa"/>
            <w:vAlign w:val="bottom"/>
          </w:tcPr>
          <w:p>
            <w:pPr>
              <w:spacing w:after="0"/>
              <w:rPr>
                <w:sz w:val="1"/>
                <w:szCs w:val="1"/>
                <w:color w:val="auto"/>
              </w:rPr>
            </w:pPr>
          </w:p>
        </w:tc>
      </w:tr>
      <w:tr>
        <w:trPr>
          <w:trHeight w:val="227"/>
        </w:trPr>
        <w:tc>
          <w:tcPr>
            <w:tcW w:w="4420" w:type="dxa"/>
            <w:vAlign w:val="bottom"/>
          </w:tcPr>
          <w:p>
            <w:pPr>
              <w:ind w:left="60"/>
              <w:spacing w:after="0"/>
              <w:rPr>
                <w:sz w:val="20"/>
                <w:szCs w:val="20"/>
                <w:color w:val="auto"/>
              </w:rPr>
            </w:pPr>
            <w:r>
              <w:rPr>
                <w:rFonts w:ascii="Arial" w:cs="Arial" w:eastAsia="Arial" w:hAnsi="Arial"/>
                <w:sz w:val="14"/>
                <w:szCs w:val="14"/>
                <w:b w:val="1"/>
                <w:bCs w:val="1"/>
                <w:color w:val="auto"/>
              </w:rPr>
              <w:t>Gross Profit Rate</w:t>
            </w:r>
          </w:p>
        </w:tc>
        <w:tc>
          <w:tcPr>
            <w:tcW w:w="3920" w:type="dxa"/>
            <w:vAlign w:val="bottom"/>
          </w:tcPr>
          <w:p>
            <w:pPr>
              <w:jc w:val="center"/>
              <w:ind w:left="2291"/>
              <w:spacing w:after="0"/>
              <w:rPr>
                <w:sz w:val="20"/>
                <w:szCs w:val="20"/>
                <w:color w:val="auto"/>
              </w:rPr>
            </w:pPr>
            <w:r>
              <w:rPr>
                <w:rFonts w:ascii="Arial" w:cs="Arial" w:eastAsia="Arial" w:hAnsi="Arial"/>
                <w:sz w:val="14"/>
                <w:szCs w:val="14"/>
                <w:color w:val="auto"/>
              </w:rPr>
              <w:t>19.9%</w:t>
            </w:r>
          </w:p>
        </w:tc>
        <w:tc>
          <w:tcPr>
            <w:tcW w:w="1080" w:type="dxa"/>
            <w:vAlign w:val="bottom"/>
          </w:tcPr>
          <w:p>
            <w:pPr>
              <w:jc w:val="center"/>
              <w:ind w:right="71"/>
              <w:spacing w:after="0"/>
              <w:rPr>
                <w:sz w:val="20"/>
                <w:szCs w:val="20"/>
                <w:color w:val="auto"/>
              </w:rPr>
            </w:pPr>
            <w:r>
              <w:rPr>
                <w:rFonts w:ascii="Arial" w:cs="Arial" w:eastAsia="Arial" w:hAnsi="Arial"/>
                <w:sz w:val="14"/>
                <w:szCs w:val="14"/>
                <w:color w:val="auto"/>
                <w:w w:val="99"/>
              </w:rPr>
              <w:t>(50) bps</w:t>
            </w:r>
          </w:p>
        </w:tc>
        <w:tc>
          <w:tcPr>
            <w:tcW w:w="1200" w:type="dxa"/>
            <w:vAlign w:val="bottom"/>
          </w:tcPr>
          <w:p>
            <w:pPr>
              <w:jc w:val="center"/>
              <w:ind w:left="11"/>
              <w:spacing w:after="0"/>
              <w:rPr>
                <w:sz w:val="20"/>
                <w:szCs w:val="20"/>
                <w:color w:val="auto"/>
              </w:rPr>
            </w:pPr>
            <w:r>
              <w:rPr>
                <w:rFonts w:ascii="Arial" w:cs="Arial" w:eastAsia="Arial" w:hAnsi="Arial"/>
                <w:sz w:val="14"/>
                <w:szCs w:val="14"/>
                <w:color w:val="auto"/>
                <w:w w:val="95"/>
              </w:rPr>
              <w:t>(50) bps</w:t>
            </w:r>
          </w:p>
        </w:tc>
        <w:tc>
          <w:tcPr>
            <w:tcW w:w="0" w:type="dxa"/>
            <w:vAlign w:val="bottom"/>
          </w:tcPr>
          <w:p>
            <w:pPr>
              <w:spacing w:after="0"/>
              <w:rPr>
                <w:sz w:val="1"/>
                <w:szCs w:val="1"/>
                <w:color w:val="auto"/>
              </w:rPr>
            </w:pPr>
          </w:p>
        </w:tc>
      </w:tr>
      <w:tr>
        <w:trPr>
          <w:trHeight w:val="39"/>
        </w:trPr>
        <w:tc>
          <w:tcPr>
            <w:tcW w:w="4420" w:type="dxa"/>
            <w:vAlign w:val="bottom"/>
            <w:tcBorders>
              <w:bottom w:val="single" w:sz="8" w:color="7F7F7F"/>
            </w:tcBorders>
          </w:tcPr>
          <w:p>
            <w:pPr>
              <w:spacing w:after="0"/>
              <w:rPr>
                <w:sz w:val="3"/>
                <w:szCs w:val="3"/>
                <w:color w:val="auto"/>
              </w:rPr>
            </w:pPr>
          </w:p>
        </w:tc>
        <w:tc>
          <w:tcPr>
            <w:tcW w:w="3920" w:type="dxa"/>
            <w:vAlign w:val="bottom"/>
            <w:tcBorders>
              <w:bottom w:val="single" w:sz="8" w:color="7F7F7F"/>
            </w:tcBorders>
          </w:tcPr>
          <w:p>
            <w:pPr>
              <w:spacing w:after="0"/>
              <w:rPr>
                <w:sz w:val="3"/>
                <w:szCs w:val="3"/>
                <w:color w:val="auto"/>
              </w:rPr>
            </w:pPr>
          </w:p>
        </w:tc>
        <w:tc>
          <w:tcPr>
            <w:tcW w:w="108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60"/>
              <w:spacing w:after="0"/>
              <w:rPr>
                <w:sz w:val="20"/>
                <w:szCs w:val="20"/>
                <w:color w:val="auto"/>
              </w:rPr>
            </w:pPr>
            <w:r>
              <w:rPr>
                <w:rFonts w:ascii="Arial" w:cs="Arial" w:eastAsia="Arial" w:hAnsi="Arial"/>
                <w:sz w:val="14"/>
                <w:szCs w:val="14"/>
                <w:b w:val="1"/>
                <w:bCs w:val="1"/>
                <w:color w:val="auto"/>
              </w:rPr>
              <w:t>Earnings from Operations</w:t>
            </w:r>
          </w:p>
        </w:tc>
        <w:tc>
          <w:tcPr>
            <w:tcW w:w="3920" w:type="dxa"/>
            <w:vAlign w:val="bottom"/>
          </w:tcPr>
          <w:p>
            <w:pPr>
              <w:jc w:val="center"/>
              <w:ind w:left="2311"/>
              <w:spacing w:after="0"/>
              <w:rPr>
                <w:sz w:val="20"/>
                <w:szCs w:val="20"/>
                <w:color w:val="auto"/>
              </w:rPr>
            </w:pPr>
            <w:r>
              <w:rPr>
                <w:rFonts w:ascii="Arial" w:cs="Arial" w:eastAsia="Arial" w:hAnsi="Arial"/>
                <w:sz w:val="14"/>
                <w:szCs w:val="14"/>
                <w:color w:val="auto"/>
                <w:w w:val="98"/>
              </w:rPr>
              <w:t>$24.3M</w:t>
            </w:r>
          </w:p>
        </w:tc>
        <w:tc>
          <w:tcPr>
            <w:tcW w:w="1080" w:type="dxa"/>
            <w:vAlign w:val="bottom"/>
          </w:tcPr>
          <w:p>
            <w:pPr>
              <w:jc w:val="center"/>
              <w:ind w:right="51"/>
              <w:spacing w:after="0"/>
              <w:rPr>
                <w:sz w:val="20"/>
                <w:szCs w:val="20"/>
                <w:color w:val="auto"/>
              </w:rPr>
            </w:pPr>
            <w:r>
              <w:rPr>
                <w:rFonts w:ascii="Arial" w:cs="Arial" w:eastAsia="Arial" w:hAnsi="Arial"/>
                <w:sz w:val="14"/>
                <w:szCs w:val="14"/>
                <w:color w:val="auto"/>
              </w:rPr>
              <w:t>65.0%</w:t>
            </w:r>
          </w:p>
        </w:tc>
        <w:tc>
          <w:tcPr>
            <w:tcW w:w="1200" w:type="dxa"/>
            <w:vAlign w:val="bottom"/>
          </w:tcPr>
          <w:p>
            <w:pPr>
              <w:jc w:val="center"/>
              <w:ind w:left="11"/>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34"/>
        </w:trPr>
        <w:tc>
          <w:tcPr>
            <w:tcW w:w="4420" w:type="dxa"/>
            <w:vAlign w:val="bottom"/>
            <w:tcBorders>
              <w:bottom w:val="single" w:sz="8" w:color="7F7F7F"/>
            </w:tcBorders>
          </w:tcPr>
          <w:p>
            <w:pPr>
              <w:spacing w:after="0"/>
              <w:rPr>
                <w:sz w:val="20"/>
                <w:szCs w:val="20"/>
                <w:color w:val="auto"/>
              </w:rPr>
            </w:pPr>
          </w:p>
        </w:tc>
        <w:tc>
          <w:tcPr>
            <w:tcW w:w="3920" w:type="dxa"/>
            <w:vAlign w:val="bottom"/>
            <w:tcBorders>
              <w:bottom w:val="single" w:sz="8" w:color="7F7F7F"/>
            </w:tcBorders>
          </w:tcPr>
          <w:p>
            <w:pPr>
              <w:spacing w:after="0"/>
              <w:rPr>
                <w:sz w:val="20"/>
                <w:szCs w:val="20"/>
                <w:color w:val="auto"/>
              </w:rPr>
            </w:pPr>
          </w:p>
        </w:tc>
        <w:tc>
          <w:tcPr>
            <w:tcW w:w="1080" w:type="dxa"/>
            <w:vAlign w:val="bottom"/>
            <w:tcBorders>
              <w:bottom w:val="single" w:sz="8" w:color="7F7F7F"/>
            </w:tcBorders>
          </w:tcPr>
          <w:p>
            <w:pPr>
              <w:jc w:val="center"/>
              <w:ind w:right="51"/>
              <w:spacing w:after="0"/>
              <w:rPr>
                <w:sz w:val="20"/>
                <w:szCs w:val="20"/>
                <w:color w:val="auto"/>
              </w:rPr>
            </w:pPr>
            <w:r>
              <w:rPr>
                <w:rFonts w:ascii="Arial" w:cs="Arial" w:eastAsia="Arial" w:hAnsi="Arial"/>
                <w:sz w:val="14"/>
                <w:szCs w:val="14"/>
                <w:color w:val="auto"/>
                <w:w w:val="96"/>
              </w:rPr>
              <w:t>73.8% CC</w:t>
            </w:r>
            <w:r>
              <w:rPr>
                <w:rFonts w:ascii="Arial" w:cs="Arial" w:eastAsia="Arial" w:hAnsi="Arial"/>
                <w:sz w:val="20"/>
                <w:szCs w:val="20"/>
                <w:color w:val="auto"/>
                <w:w w:val="96"/>
                <w:vertAlign w:val="superscript"/>
              </w:rPr>
              <w:t>(1)</w:t>
            </w:r>
          </w:p>
        </w:tc>
        <w:tc>
          <w:tcPr>
            <w:tcW w:w="1200" w:type="dxa"/>
            <w:vAlign w:val="bottom"/>
            <w:tcBorders>
              <w:bottom w:val="single" w:sz="8" w:color="7F7F7F"/>
            </w:tcBorders>
          </w:tcPr>
          <w:p>
            <w:pPr>
              <w:jc w:val="center"/>
              <w:ind w:left="11"/>
              <w:spacing w:after="0"/>
              <w:rPr>
                <w:sz w:val="20"/>
                <w:szCs w:val="20"/>
                <w:color w:val="auto"/>
              </w:rPr>
            </w:pPr>
            <w:r>
              <w:rPr>
                <w:rFonts w:ascii="Arial" w:cs="Arial" w:eastAsia="Arial" w:hAnsi="Arial"/>
                <w:sz w:val="14"/>
                <w:szCs w:val="14"/>
                <w:color w:val="auto"/>
                <w:w w:val="95"/>
              </w:rPr>
              <w:t>2.8% CC</w:t>
            </w:r>
            <w:r>
              <w:rPr>
                <w:rFonts w:ascii="Arial" w:cs="Arial" w:eastAsia="Arial" w:hAnsi="Arial"/>
                <w:sz w:val="20"/>
                <w:szCs w:val="20"/>
                <w:color w:val="auto"/>
                <w:w w:val="95"/>
                <w:vertAlign w:val="superscript"/>
              </w:rPr>
              <w:t>(1)</w:t>
            </w:r>
          </w:p>
        </w:tc>
        <w:tc>
          <w:tcPr>
            <w:tcW w:w="0" w:type="dxa"/>
            <w:vAlign w:val="bottom"/>
          </w:tcPr>
          <w:p>
            <w:pPr>
              <w:spacing w:after="0"/>
              <w:rPr>
                <w:sz w:val="1"/>
                <w:szCs w:val="1"/>
                <w:color w:val="auto"/>
              </w:rPr>
            </w:pPr>
          </w:p>
        </w:tc>
      </w:tr>
      <w:tr>
        <w:trPr>
          <w:trHeight w:val="227"/>
        </w:trPr>
        <w:tc>
          <w:tcPr>
            <w:tcW w:w="4420" w:type="dxa"/>
            <w:vAlign w:val="bottom"/>
          </w:tcPr>
          <w:p>
            <w:pPr>
              <w:ind w:left="60"/>
              <w:spacing w:after="0"/>
              <w:rPr>
                <w:sz w:val="20"/>
                <w:szCs w:val="20"/>
                <w:color w:val="auto"/>
              </w:rPr>
            </w:pPr>
            <w:r>
              <w:rPr>
                <w:rFonts w:ascii="Arial" w:cs="Arial" w:eastAsia="Arial" w:hAnsi="Arial"/>
                <w:sz w:val="14"/>
                <w:szCs w:val="14"/>
                <w:b w:val="1"/>
                <w:bCs w:val="1"/>
                <w:color w:val="auto"/>
              </w:rPr>
              <w:t>Adjusted EBITDA</w:t>
            </w:r>
          </w:p>
        </w:tc>
        <w:tc>
          <w:tcPr>
            <w:tcW w:w="3920" w:type="dxa"/>
            <w:vAlign w:val="bottom"/>
          </w:tcPr>
          <w:p>
            <w:pPr>
              <w:jc w:val="center"/>
              <w:ind w:left="2311"/>
              <w:spacing w:after="0"/>
              <w:rPr>
                <w:sz w:val="20"/>
                <w:szCs w:val="20"/>
                <w:color w:val="auto"/>
              </w:rPr>
            </w:pPr>
            <w:r>
              <w:rPr>
                <w:rFonts w:ascii="Arial" w:cs="Arial" w:eastAsia="Arial" w:hAnsi="Arial"/>
                <w:sz w:val="14"/>
                <w:szCs w:val="14"/>
                <w:color w:val="auto"/>
                <w:w w:val="99"/>
              </w:rPr>
              <w:t>$109.4M</w:t>
            </w:r>
          </w:p>
        </w:tc>
        <w:tc>
          <w:tcPr>
            <w:tcW w:w="1080" w:type="dxa"/>
            <w:vAlign w:val="bottom"/>
          </w:tcPr>
          <w:p>
            <w:pPr>
              <w:spacing w:after="0"/>
              <w:rPr>
                <w:sz w:val="19"/>
                <w:szCs w:val="19"/>
                <w:color w:val="auto"/>
              </w:rPr>
            </w:pPr>
          </w:p>
        </w:tc>
        <w:tc>
          <w:tcPr>
            <w:tcW w:w="1200" w:type="dxa"/>
            <w:vAlign w:val="bottom"/>
          </w:tcPr>
          <w:p>
            <w:pPr>
              <w:jc w:val="center"/>
              <w:ind w:left="11"/>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39"/>
        </w:trPr>
        <w:tc>
          <w:tcPr>
            <w:tcW w:w="4420" w:type="dxa"/>
            <w:vAlign w:val="bottom"/>
            <w:tcBorders>
              <w:bottom w:val="single" w:sz="8" w:color="7F7F7F"/>
            </w:tcBorders>
          </w:tcPr>
          <w:p>
            <w:pPr>
              <w:spacing w:after="0"/>
              <w:rPr>
                <w:sz w:val="3"/>
                <w:szCs w:val="3"/>
                <w:color w:val="auto"/>
              </w:rPr>
            </w:pPr>
          </w:p>
        </w:tc>
        <w:tc>
          <w:tcPr>
            <w:tcW w:w="3920" w:type="dxa"/>
            <w:vAlign w:val="bottom"/>
            <w:tcBorders>
              <w:bottom w:val="single" w:sz="8" w:color="7F7F7F"/>
            </w:tcBorders>
          </w:tcPr>
          <w:p>
            <w:pPr>
              <w:spacing w:after="0"/>
              <w:rPr>
                <w:sz w:val="3"/>
                <w:szCs w:val="3"/>
                <w:color w:val="auto"/>
              </w:rPr>
            </w:pPr>
          </w:p>
        </w:tc>
        <w:tc>
          <w:tcPr>
            <w:tcW w:w="108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420" w:type="dxa"/>
            <w:vAlign w:val="bottom"/>
          </w:tcPr>
          <w:p>
            <w:pPr>
              <w:ind w:left="60"/>
              <w:spacing w:after="0"/>
              <w:rPr>
                <w:sz w:val="20"/>
                <w:szCs w:val="20"/>
                <w:color w:val="auto"/>
              </w:rPr>
            </w:pPr>
            <w:r>
              <w:rPr>
                <w:rFonts w:ascii="Arial" w:cs="Arial" w:eastAsia="Arial" w:hAnsi="Arial"/>
                <w:sz w:val="14"/>
                <w:szCs w:val="14"/>
                <w:b w:val="1"/>
                <w:bCs w:val="1"/>
                <w:color w:val="auto"/>
              </w:rPr>
              <w:t>Adjusted EBITDA Margin</w:t>
            </w:r>
          </w:p>
        </w:tc>
        <w:tc>
          <w:tcPr>
            <w:tcW w:w="3920" w:type="dxa"/>
            <w:vAlign w:val="bottom"/>
          </w:tcPr>
          <w:p>
            <w:pPr>
              <w:jc w:val="center"/>
              <w:ind w:left="2291"/>
              <w:spacing w:after="0"/>
              <w:rPr>
                <w:sz w:val="20"/>
                <w:szCs w:val="20"/>
                <w:color w:val="auto"/>
              </w:rPr>
            </w:pPr>
            <w:r>
              <w:rPr>
                <w:rFonts w:ascii="Arial" w:cs="Arial" w:eastAsia="Arial" w:hAnsi="Arial"/>
                <w:sz w:val="14"/>
                <w:szCs w:val="14"/>
                <w:color w:val="auto"/>
              </w:rPr>
              <w:t>2.3%</w:t>
            </w:r>
          </w:p>
        </w:tc>
        <w:tc>
          <w:tcPr>
            <w:tcW w:w="1080" w:type="dxa"/>
            <w:vAlign w:val="bottom"/>
          </w:tcPr>
          <w:p>
            <w:pPr>
              <w:spacing w:after="0"/>
              <w:rPr>
                <w:sz w:val="19"/>
                <w:szCs w:val="19"/>
                <w:color w:val="auto"/>
              </w:rPr>
            </w:pPr>
          </w:p>
        </w:tc>
        <w:tc>
          <w:tcPr>
            <w:tcW w:w="1200" w:type="dxa"/>
            <w:vAlign w:val="bottom"/>
          </w:tcPr>
          <w:p>
            <w:pPr>
              <w:jc w:val="center"/>
              <w:ind w:left="11"/>
              <w:spacing w:after="0"/>
              <w:rPr>
                <w:sz w:val="20"/>
                <w:szCs w:val="20"/>
                <w:color w:val="auto"/>
              </w:rPr>
            </w:pPr>
            <w:r>
              <w:rPr>
                <w:rFonts w:ascii="Arial" w:cs="Arial" w:eastAsia="Arial" w:hAnsi="Arial"/>
                <w:sz w:val="14"/>
                <w:szCs w:val="14"/>
                <w:color w:val="auto"/>
                <w:w w:val="97"/>
              </w:rPr>
              <w:t>20 bps</w:t>
            </w:r>
          </w:p>
        </w:tc>
        <w:tc>
          <w:tcPr>
            <w:tcW w:w="0" w:type="dxa"/>
            <w:vAlign w:val="bottom"/>
          </w:tcPr>
          <w:p>
            <w:pPr>
              <w:spacing w:after="0"/>
              <w:rPr>
                <w:sz w:val="1"/>
                <w:szCs w:val="1"/>
                <w:color w:val="auto"/>
              </w:rPr>
            </w:pPr>
          </w:p>
        </w:tc>
      </w:tr>
      <w:tr>
        <w:trPr>
          <w:trHeight w:val="39"/>
        </w:trPr>
        <w:tc>
          <w:tcPr>
            <w:tcW w:w="4420" w:type="dxa"/>
            <w:vAlign w:val="bottom"/>
            <w:tcBorders>
              <w:bottom w:val="single" w:sz="8" w:color="7F7F7F"/>
            </w:tcBorders>
          </w:tcPr>
          <w:p>
            <w:pPr>
              <w:spacing w:after="0"/>
              <w:rPr>
                <w:sz w:val="3"/>
                <w:szCs w:val="3"/>
                <w:color w:val="auto"/>
              </w:rPr>
            </w:pPr>
          </w:p>
        </w:tc>
        <w:tc>
          <w:tcPr>
            <w:tcW w:w="3920" w:type="dxa"/>
            <w:vAlign w:val="bottom"/>
            <w:tcBorders>
              <w:bottom w:val="single" w:sz="8" w:color="7F7F7F"/>
            </w:tcBorders>
          </w:tcPr>
          <w:p>
            <w:pPr>
              <w:spacing w:after="0"/>
              <w:rPr>
                <w:sz w:val="3"/>
                <w:szCs w:val="3"/>
                <w:color w:val="auto"/>
              </w:rPr>
            </w:pPr>
          </w:p>
        </w:tc>
        <w:tc>
          <w:tcPr>
            <w:tcW w:w="108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04" w:hanging="304"/>
        <w:spacing w:after="0"/>
        <w:tabs>
          <w:tab w:leader="none" w:pos="304" w:val="left"/>
        </w:tabs>
        <w:numPr>
          <w:ilvl w:val="0"/>
          <w:numId w:val="6"/>
        </w:numPr>
        <w:rPr>
          <w:rFonts w:ascii="Arial" w:cs="Arial" w:eastAsia="Arial" w:hAnsi="Arial"/>
          <w:sz w:val="12"/>
          <w:szCs w:val="12"/>
          <w:color w:val="auto"/>
        </w:rPr>
      </w:pPr>
      <w:r>
        <w:rPr>
          <w:rFonts w:ascii="Arial" w:cs="Arial" w:eastAsia="Arial" w:hAnsi="Arial"/>
          <w:sz w:val="12"/>
          <w:szCs w:val="12"/>
          <w:color w:val="auto"/>
        </w:rPr>
        <w:t>Constant Currency (“CC”) represents year-over-year changes resulting from translating 2023 financial data into USD using 2022 exchange rates</w:t>
      </w:r>
    </w:p>
    <w:p>
      <w:pPr>
        <w:spacing w:after="0" w:line="70" w:lineRule="exact"/>
        <w:rPr>
          <w:rFonts w:ascii="Arial" w:cs="Arial" w:eastAsia="Arial" w:hAnsi="Arial"/>
          <w:sz w:val="12"/>
          <w:szCs w:val="12"/>
          <w:color w:val="auto"/>
        </w:rPr>
      </w:pPr>
    </w:p>
    <w:p>
      <w:pPr>
        <w:ind w:left="304" w:hanging="304"/>
        <w:spacing w:after="0"/>
        <w:tabs>
          <w:tab w:leader="none" w:pos="304" w:val="left"/>
        </w:tabs>
        <w:numPr>
          <w:ilvl w:val="0"/>
          <w:numId w:val="6"/>
        </w:numPr>
        <w:rPr>
          <w:rFonts w:ascii="Arial" w:cs="Arial" w:eastAsia="Arial" w:hAnsi="Arial"/>
          <w:sz w:val="12"/>
          <w:szCs w:val="12"/>
          <w:color w:val="auto"/>
        </w:rPr>
      </w:pPr>
      <w:r>
        <w:rPr>
          <w:rFonts w:ascii="Arial" w:cs="Arial" w:eastAsia="Arial" w:hAnsi="Arial"/>
          <w:sz w:val="12"/>
          <w:szCs w:val="12"/>
          <w:color w:val="auto"/>
        </w:rPr>
        <w:t>See reconciliation of Non-GAAP Measures included in Form 8-K dated February 15, 2024</w:t>
      </w:r>
    </w:p>
    <w:p>
      <w:pPr>
        <w:spacing w:after="0" w:line="201"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Portfolio Progress</w:t>
      </w:r>
    </w:p>
    <w:p>
      <w:pPr>
        <w:spacing w:after="0" w:line="69"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M&amp;A activities are shifting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154940</wp:posOffset>
            </wp:positionV>
            <wp:extent cx="5551170" cy="21145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51170" cy="211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904"/>
        <w:spacing w:after="0"/>
        <w:tabs>
          <w:tab w:leader="none" w:pos="10143" w:val="left"/>
        </w:tabs>
        <w:rPr>
          <w:sz w:val="20"/>
          <w:szCs w:val="20"/>
          <w:color w:val="auto"/>
        </w:rPr>
      </w:pPr>
      <w:r>
        <w:rPr>
          <w:rFonts w:ascii="Arial" w:cs="Arial" w:eastAsia="Arial" w:hAnsi="Arial"/>
          <w:sz w:val="21"/>
          <w:szCs w:val="21"/>
          <w:color w:val="auto"/>
        </w:rPr>
        <w:t xml:space="preserve">   </w:t>
      </w:r>
      <w:r>
        <w:rPr>
          <w:sz w:val="1"/>
          <w:szCs w:val="1"/>
          <w:color w:val="auto"/>
        </w:rPr>
        <w:drawing>
          <wp:inline distT="0" distB="0" distL="0" distR="0">
            <wp:extent cx="396240" cy="18986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rPr>
        <w:t xml:space="preserve">  </w:t>
      </w:r>
      <w:r>
        <w:rPr>
          <w:sz w:val="20"/>
          <w:szCs w:val="20"/>
          <w:color w:val="auto"/>
        </w:rPr>
        <w:tab/>
      </w:r>
      <w:r>
        <w:rPr>
          <w:rFonts w:ascii="Arial" w:cs="Arial" w:eastAsia="Arial" w:hAnsi="Arial"/>
          <w:sz w:val="23"/>
          <w:szCs w:val="23"/>
          <w:color w:val="auto"/>
          <w:vertAlign w:val="superscript"/>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6385560</wp:posOffset>
            </wp:positionH>
            <wp:positionV relativeFrom="paragraph">
              <wp:posOffset>-200660</wp:posOffset>
            </wp:positionV>
            <wp:extent cx="8255"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bookmarkStart w:id="11" w:name="page12"/>
    <w:bookmarkEnd w:id="11"/>
    <w:p>
      <w:pPr>
        <w:ind w:left="4"/>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Proxy Summary</w:t>
      </w:r>
    </w:p>
    <w:p>
      <w:pPr>
        <w:spacing w:after="0" w:line="133"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Our Operating Model Aligns to these Specialties (As Reported, by Business Unit)</w:t>
      </w:r>
    </w:p>
    <w:p>
      <w:pPr>
        <w:spacing w:after="0" w:line="69"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priorities for each segment are clear.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740525" cy="4876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40525" cy="487680"/>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984"/>
        <w:spacing w:after="0"/>
        <w:rPr>
          <w:sz w:val="20"/>
          <w:szCs w:val="20"/>
          <w:color w:val="auto"/>
        </w:rPr>
      </w:pPr>
      <w:r>
        <w:rPr>
          <w:rFonts w:ascii="Arial" w:cs="Arial" w:eastAsia="Arial" w:hAnsi="Arial"/>
          <w:sz w:val="19"/>
          <w:szCs w:val="19"/>
          <w:b w:val="1"/>
          <w:bCs w:val="1"/>
          <w:color w:val="FFFFFF"/>
        </w:rPr>
        <w:t>Optimize Operations and Drive Efficiencies</w:t>
      </w:r>
    </w:p>
    <w:p>
      <w:pPr>
        <w:spacing w:after="0" w:line="200" w:lineRule="exact"/>
        <w:rPr>
          <w:sz w:val="20"/>
          <w:szCs w:val="20"/>
          <w:color w:val="auto"/>
        </w:rPr>
      </w:pPr>
    </w:p>
    <w:p>
      <w:pPr>
        <w:spacing w:after="0" w:line="381" w:lineRule="exact"/>
        <w:rPr>
          <w:sz w:val="20"/>
          <w:szCs w:val="20"/>
          <w:color w:val="auto"/>
        </w:rPr>
      </w:pPr>
    </w:p>
    <w:tbl>
      <w:tblPr>
        <w:tblLayout w:type="fixed"/>
        <w:tblInd w:w="4" w:type="dxa"/>
        <w:tblCellMar>
          <w:top w:w="0" w:type="dxa"/>
          <w:left w:w="0" w:type="dxa"/>
          <w:bottom w:w="0" w:type="dxa"/>
          <w:right w:w="0" w:type="dxa"/>
        </w:tblCellMar>
      </w:tblPr>
      <w:tr>
        <w:trPr>
          <w:trHeight w:val="280"/>
        </w:trPr>
        <w:tc>
          <w:tcPr>
            <w:tcW w:w="1180" w:type="dxa"/>
            <w:vAlign w:val="bottom"/>
          </w:tcPr>
          <w:p>
            <w:pPr>
              <w:spacing w:after="0"/>
              <w:rPr>
                <w:sz w:val="20"/>
                <w:szCs w:val="20"/>
                <w:color w:val="auto"/>
              </w:rPr>
            </w:pPr>
            <w:r>
              <w:rPr>
                <w:rFonts w:ascii="Arial" w:cs="Arial" w:eastAsia="Arial" w:hAnsi="Arial"/>
                <w:sz w:val="23"/>
                <w:szCs w:val="23"/>
                <w:b w:val="1"/>
                <w:bCs w:val="1"/>
                <w:color w:val="0A9E50"/>
              </w:rPr>
              <w:t>Kelly</w:t>
            </w:r>
          </w:p>
        </w:tc>
        <w:tc>
          <w:tcPr>
            <w:tcW w:w="1540" w:type="dxa"/>
            <w:vAlign w:val="bottom"/>
          </w:tcPr>
          <w:p>
            <w:pPr>
              <w:ind w:left="620"/>
              <w:spacing w:after="0"/>
              <w:rPr>
                <w:sz w:val="20"/>
                <w:szCs w:val="20"/>
                <w:color w:val="auto"/>
              </w:rPr>
            </w:pPr>
            <w:r>
              <w:rPr>
                <w:rFonts w:ascii="Arial" w:cs="Arial" w:eastAsia="Arial" w:hAnsi="Arial"/>
                <w:sz w:val="21"/>
                <w:szCs w:val="21"/>
                <w:color w:val="auto"/>
              </w:rPr>
              <w:t> </w:t>
            </w:r>
          </w:p>
        </w:tc>
        <w:tc>
          <w:tcPr>
            <w:tcW w:w="880" w:type="dxa"/>
            <w:vAlign w:val="bottom"/>
          </w:tcPr>
          <w:p>
            <w:pPr>
              <w:ind w:left="860"/>
              <w:spacing w:after="0"/>
              <w:rPr>
                <w:sz w:val="20"/>
                <w:szCs w:val="20"/>
                <w:color w:val="auto"/>
              </w:rPr>
            </w:pPr>
            <w:r>
              <w:rPr>
                <w:rFonts w:ascii="Arial" w:cs="Arial" w:eastAsia="Arial" w:hAnsi="Arial"/>
                <w:sz w:val="1"/>
                <w:szCs w:val="1"/>
                <w:color w:val="auto"/>
                <w:w w:val="4294967291"/>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-42545</wp:posOffset>
            </wp:positionV>
            <wp:extent cx="1924685" cy="4876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24685" cy="4876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308"/>
        </w:trPr>
        <w:tc>
          <w:tcPr>
            <w:tcW w:w="1680" w:type="dxa"/>
            <w:vAlign w:val="bottom"/>
            <w:vMerge w:val="restart"/>
          </w:tcPr>
          <w:p>
            <w:pPr>
              <w:spacing w:after="0"/>
              <w:rPr>
                <w:sz w:val="20"/>
                <w:szCs w:val="20"/>
                <w:color w:val="auto"/>
              </w:rPr>
            </w:pPr>
            <w:r>
              <w:rPr>
                <w:rFonts w:ascii="Arial" w:cs="Arial" w:eastAsia="Arial" w:hAnsi="Arial"/>
                <w:sz w:val="23"/>
                <w:szCs w:val="23"/>
                <w:b w:val="1"/>
                <w:bCs w:val="1"/>
                <w:color w:val="auto"/>
              </w:rPr>
              <w:t>Professional</w:t>
            </w:r>
          </w:p>
        </w:tc>
        <w:tc>
          <w:tcPr>
            <w:tcW w:w="380" w:type="dxa"/>
            <w:vAlign w:val="bottom"/>
          </w:tcPr>
          <w:p>
            <w:pPr>
              <w:spacing w:after="0"/>
              <w:rPr>
                <w:sz w:val="24"/>
                <w:szCs w:val="24"/>
                <w:color w:val="auto"/>
              </w:rPr>
            </w:pPr>
          </w:p>
        </w:tc>
        <w:tc>
          <w:tcPr>
            <w:tcW w:w="1340" w:type="dxa"/>
            <w:vAlign w:val="bottom"/>
            <w:gridSpan w:val="2"/>
          </w:tcPr>
          <w:p>
            <w:pPr>
              <w:jc w:val="center"/>
              <w:ind w:left="99"/>
              <w:spacing w:after="0"/>
              <w:rPr>
                <w:sz w:val="20"/>
                <w:szCs w:val="20"/>
                <w:color w:val="auto"/>
              </w:rPr>
            </w:pPr>
            <w:r>
              <w:rPr>
                <w:rFonts w:ascii="Arial" w:cs="Arial" w:eastAsia="Arial" w:hAnsi="Arial"/>
                <w:sz w:val="26"/>
                <w:szCs w:val="26"/>
                <w:b w:val="1"/>
                <w:bCs w:val="1"/>
                <w:color w:val="0A9E50"/>
              </w:rPr>
              <w:t>$1.5B</w:t>
            </w:r>
          </w:p>
        </w:tc>
        <w:tc>
          <w:tcPr>
            <w:tcW w:w="1680" w:type="dxa"/>
            <w:vAlign w:val="bottom"/>
          </w:tcPr>
          <w:p>
            <w:pPr>
              <w:jc w:val="right"/>
              <w:ind w:right="260"/>
              <w:spacing w:after="0"/>
              <w:rPr>
                <w:sz w:val="20"/>
                <w:szCs w:val="20"/>
                <w:color w:val="auto"/>
              </w:rPr>
            </w:pPr>
            <w:r>
              <w:rPr>
                <w:rFonts w:ascii="Arial" w:cs="Arial" w:eastAsia="Arial" w:hAnsi="Arial"/>
                <w:sz w:val="26"/>
                <w:szCs w:val="26"/>
                <w:b w:val="1"/>
                <w:bCs w:val="1"/>
                <w:color w:val="0A9E50"/>
              </w:rPr>
              <w:t>17.8%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6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gridSpan w:val="2"/>
          </w:tcPr>
          <w:p>
            <w:pPr>
              <w:jc w:val="center"/>
              <w:ind w:left="99"/>
              <w:spacing w:after="0" w:line="157" w:lineRule="exact"/>
              <w:rPr>
                <w:sz w:val="20"/>
                <w:szCs w:val="20"/>
                <w:color w:val="auto"/>
              </w:rPr>
            </w:pPr>
            <w:r>
              <w:rPr>
                <w:rFonts w:ascii="Arial" w:cs="Arial" w:eastAsia="Arial" w:hAnsi="Arial"/>
                <w:sz w:val="13"/>
                <w:szCs w:val="13"/>
                <w:b w:val="1"/>
                <w:bCs w:val="1"/>
                <w:color w:val="auto"/>
              </w:rPr>
              <w:t>Revenue</w:t>
            </w:r>
            <w:r>
              <w:rPr>
                <w:rFonts w:ascii="Arial" w:cs="Arial" w:eastAsia="Arial" w:hAnsi="Arial"/>
                <w:sz w:val="18"/>
                <w:szCs w:val="18"/>
                <w:b w:val="1"/>
                <w:bCs w:val="1"/>
                <w:color w:val="auto"/>
                <w:vertAlign w:val="superscript"/>
              </w:rPr>
              <w:t>(1)</w:t>
            </w:r>
          </w:p>
        </w:tc>
        <w:tc>
          <w:tcPr>
            <w:tcW w:w="1680" w:type="dxa"/>
            <w:vAlign w:val="bottom"/>
          </w:tcPr>
          <w:p>
            <w:pPr>
              <w:ind w:left="600"/>
              <w:spacing w:after="0" w:line="157" w:lineRule="exact"/>
              <w:rPr>
                <w:sz w:val="20"/>
                <w:szCs w:val="20"/>
                <w:color w:val="auto"/>
              </w:rPr>
            </w:pPr>
            <w:r>
              <w:rPr>
                <w:rFonts w:ascii="Arial" w:cs="Arial" w:eastAsia="Arial" w:hAnsi="Arial"/>
                <w:sz w:val="13"/>
                <w:szCs w:val="13"/>
                <w:b w:val="1"/>
                <w:bCs w:val="1"/>
                <w:color w:val="auto"/>
              </w:rPr>
              <w:t>GP Rate</w:t>
            </w:r>
            <w:r>
              <w:rPr>
                <w:rFonts w:ascii="Arial" w:cs="Arial" w:eastAsia="Arial" w:hAnsi="Arial"/>
                <w:sz w:val="18"/>
                <w:szCs w:val="18"/>
                <w:b w:val="1"/>
                <w:bCs w:val="1"/>
                <w:color w:val="auto"/>
                <w:vertAlign w:val="superscript"/>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1680" w:type="dxa"/>
            <w:vAlign w:val="bottom"/>
          </w:tcPr>
          <w:p>
            <w:pPr>
              <w:spacing w:after="0"/>
              <w:rPr>
                <w:sz w:val="20"/>
                <w:szCs w:val="20"/>
                <w:color w:val="auto"/>
              </w:rPr>
            </w:pPr>
            <w:r>
              <w:rPr>
                <w:rFonts w:ascii="Arial" w:cs="Arial" w:eastAsia="Arial" w:hAnsi="Arial"/>
                <w:sz w:val="23"/>
                <w:szCs w:val="23"/>
                <w:b w:val="1"/>
                <w:bCs w:val="1"/>
                <w:color w:val="auto"/>
              </w:rPr>
              <w:t>&amp; Industrial</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680" w:type="dxa"/>
            <w:vAlign w:val="bottom"/>
          </w:tcPr>
          <w:p>
            <w:pPr>
              <w:spacing w:after="0"/>
              <w:rPr>
                <w:sz w:val="20"/>
                <w:szCs w:val="20"/>
                <w:color w:val="auto"/>
              </w:rPr>
            </w:pPr>
            <w:r>
              <w:rPr>
                <w:rFonts w:ascii="Arial" w:cs="Arial" w:eastAsia="Arial" w:hAnsi="Arial"/>
                <w:sz w:val="16"/>
                <w:szCs w:val="16"/>
                <w:b w:val="1"/>
                <w:bCs w:val="1"/>
                <w:color w:val="auto"/>
              </w:rPr>
              <w:t>Specialties</w:t>
            </w:r>
          </w:p>
        </w:tc>
        <w:tc>
          <w:tcPr>
            <w:tcW w:w="380" w:type="dxa"/>
            <w:vAlign w:val="bottom"/>
          </w:tcPr>
          <w:p>
            <w:pPr>
              <w:spacing w:after="0"/>
              <w:rPr>
                <w:sz w:val="20"/>
                <w:szCs w:val="20"/>
                <w:color w:val="auto"/>
              </w:rPr>
            </w:pPr>
          </w:p>
        </w:tc>
        <w:tc>
          <w:tcPr>
            <w:tcW w:w="1020" w:type="dxa"/>
            <w:vAlign w:val="bottom"/>
            <w:shd w:val="clear" w:color="auto" w:fill="EAF3E3"/>
          </w:tcPr>
          <w:p>
            <w:pPr>
              <w:spacing w:after="0"/>
              <w:rPr>
                <w:sz w:val="20"/>
                <w:szCs w:val="20"/>
                <w:color w:val="auto"/>
              </w:rPr>
            </w:pPr>
          </w:p>
        </w:tc>
        <w:tc>
          <w:tcPr>
            <w:tcW w:w="320" w:type="dxa"/>
            <w:vAlign w:val="bottom"/>
            <w:shd w:val="clear" w:color="auto" w:fill="EAF3E3"/>
          </w:tcPr>
          <w:p>
            <w:pPr>
              <w:spacing w:after="0"/>
              <w:rPr>
                <w:sz w:val="20"/>
                <w:szCs w:val="20"/>
                <w:color w:val="auto"/>
              </w:rPr>
            </w:pPr>
          </w:p>
        </w:tc>
        <w:tc>
          <w:tcPr>
            <w:tcW w:w="1680" w:type="dxa"/>
            <w:vAlign w:val="bottom"/>
            <w:shd w:val="clear" w:color="auto" w:fill="EAF3E3"/>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Industrial</w:t>
            </w:r>
          </w:p>
        </w:tc>
        <w:tc>
          <w:tcPr>
            <w:tcW w:w="380" w:type="dxa"/>
            <w:vAlign w:val="bottom"/>
          </w:tcPr>
          <w:p>
            <w:pPr>
              <w:spacing w:after="0"/>
              <w:rPr>
                <w:sz w:val="15"/>
                <w:szCs w:val="15"/>
                <w:color w:val="auto"/>
              </w:rPr>
            </w:pPr>
          </w:p>
        </w:tc>
        <w:tc>
          <w:tcPr>
            <w:tcW w:w="3020" w:type="dxa"/>
            <w:vAlign w:val="bottom"/>
            <w:gridSpan w:val="3"/>
            <w:vMerge w:val="restart"/>
            <w:shd w:val="clear" w:color="auto" w:fill="EAF3E3"/>
          </w:tcPr>
          <w:p>
            <w:pPr>
              <w:jc w:val="right"/>
              <w:ind w:right="480"/>
              <w:spacing w:after="0"/>
              <w:rPr>
                <w:sz w:val="20"/>
                <w:szCs w:val="20"/>
                <w:color w:val="auto"/>
              </w:rPr>
            </w:pPr>
            <w:r>
              <w:rPr>
                <w:rFonts w:ascii="Arial" w:cs="Arial" w:eastAsia="Arial" w:hAnsi="Arial"/>
                <w:sz w:val="21"/>
                <w:szCs w:val="21"/>
                <w:b w:val="1"/>
                <w:bCs w:val="1"/>
                <w:color w:val="0A9E50"/>
              </w:rPr>
              <w:t xml:space="preserve">   North America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Contact Center</w:t>
            </w:r>
          </w:p>
        </w:tc>
        <w:tc>
          <w:tcPr>
            <w:tcW w:w="380" w:type="dxa"/>
            <w:vAlign w:val="bottom"/>
          </w:tcPr>
          <w:p>
            <w:pPr>
              <w:spacing w:after="0"/>
              <w:rPr>
                <w:sz w:val="15"/>
                <w:szCs w:val="15"/>
                <w:color w:val="auto"/>
              </w:rPr>
            </w:pPr>
          </w:p>
        </w:tc>
        <w:tc>
          <w:tcPr>
            <w:tcW w:w="3020" w:type="dxa"/>
            <w:vAlign w:val="bottom"/>
            <w:gridSpan w:val="3"/>
            <w:vMerge w:val="continue"/>
            <w:shd w:val="clear" w:color="auto" w:fill="EAF3E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Office Clerical</w:t>
            </w:r>
          </w:p>
        </w:tc>
        <w:tc>
          <w:tcPr>
            <w:tcW w:w="380" w:type="dxa"/>
            <w:vAlign w:val="bottom"/>
          </w:tcPr>
          <w:p>
            <w:pPr>
              <w:spacing w:after="0"/>
              <w:rPr>
                <w:sz w:val="13"/>
                <w:szCs w:val="13"/>
                <w:color w:val="auto"/>
              </w:rPr>
            </w:pPr>
          </w:p>
        </w:tc>
        <w:tc>
          <w:tcPr>
            <w:tcW w:w="1020" w:type="dxa"/>
            <w:vAlign w:val="bottom"/>
            <w:shd w:val="clear" w:color="auto" w:fill="EAF3E3"/>
          </w:tcPr>
          <w:p>
            <w:pPr>
              <w:spacing w:after="0"/>
              <w:rPr>
                <w:sz w:val="13"/>
                <w:szCs w:val="13"/>
                <w:color w:val="auto"/>
              </w:rPr>
            </w:pPr>
          </w:p>
        </w:tc>
        <w:tc>
          <w:tcPr>
            <w:tcW w:w="320" w:type="dxa"/>
            <w:vAlign w:val="bottom"/>
            <w:shd w:val="clear" w:color="auto" w:fill="EAF3E3"/>
          </w:tcPr>
          <w:p>
            <w:pPr>
              <w:spacing w:after="0"/>
              <w:rPr>
                <w:sz w:val="13"/>
                <w:szCs w:val="13"/>
                <w:color w:val="auto"/>
              </w:rPr>
            </w:pPr>
          </w:p>
        </w:tc>
        <w:tc>
          <w:tcPr>
            <w:tcW w:w="1680" w:type="dxa"/>
            <w:vAlign w:val="bottom"/>
            <w:shd w:val="clear" w:color="auto" w:fill="EAF3E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1680" w:type="dxa"/>
            <w:vAlign w:val="bottom"/>
            <w:tcBorders>
              <w:bottom w:val="single" w:sz="8" w:color="7F7F7F"/>
            </w:tcBorders>
          </w:tcPr>
          <w:p>
            <w:pPr>
              <w:spacing w:after="0"/>
              <w:rPr>
                <w:sz w:val="24"/>
                <w:szCs w:val="24"/>
                <w:color w:val="auto"/>
              </w:rPr>
            </w:pPr>
          </w:p>
        </w:tc>
        <w:tc>
          <w:tcPr>
            <w:tcW w:w="380" w:type="dxa"/>
            <w:vAlign w:val="bottom"/>
            <w:tcBorders>
              <w:bottom w:val="single" w:sz="8" w:color="7F7F7F"/>
            </w:tcBorders>
          </w:tcPr>
          <w:p>
            <w:pPr>
              <w:spacing w:after="0"/>
              <w:rPr>
                <w:sz w:val="24"/>
                <w:szCs w:val="24"/>
                <w:color w:val="auto"/>
              </w:rPr>
            </w:pPr>
          </w:p>
        </w:tc>
        <w:tc>
          <w:tcPr>
            <w:tcW w:w="1020" w:type="dxa"/>
            <w:vAlign w:val="bottom"/>
            <w:tcBorders>
              <w:bottom w:val="single" w:sz="8" w:color="7F7F7F"/>
            </w:tcBorders>
          </w:tcPr>
          <w:p>
            <w:pPr>
              <w:spacing w:after="0"/>
              <w:rPr>
                <w:sz w:val="24"/>
                <w:szCs w:val="24"/>
                <w:color w:val="auto"/>
              </w:rPr>
            </w:pPr>
          </w:p>
        </w:tc>
        <w:tc>
          <w:tcPr>
            <w:tcW w:w="320" w:type="dxa"/>
            <w:vAlign w:val="bottom"/>
            <w:tcBorders>
              <w:bottom w:val="single" w:sz="8" w:color="7F7F7F"/>
            </w:tcBorders>
          </w:tcPr>
          <w:p>
            <w:pPr>
              <w:spacing w:after="0"/>
              <w:rPr>
                <w:sz w:val="24"/>
                <w:szCs w:val="24"/>
                <w:color w:val="auto"/>
              </w:rPr>
            </w:pPr>
          </w:p>
        </w:tc>
        <w:tc>
          <w:tcPr>
            <w:tcW w:w="1680" w:type="dxa"/>
            <w:vAlign w:val="bottom"/>
            <w:tcBorders>
              <w:bottom w:val="single" w:sz="8" w:color="7F7F7F"/>
            </w:tcBorders>
          </w:tcPr>
          <w:p>
            <w:pPr>
              <w:spacing w:after="0"/>
              <w:rPr>
                <w:sz w:val="24"/>
                <w:szCs w:val="24"/>
                <w:color w:val="auto"/>
              </w:rPr>
            </w:pPr>
          </w:p>
        </w:tc>
        <w:tc>
          <w:tcPr>
            <w:tcW w:w="2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680" w:type="dxa"/>
            <w:vAlign w:val="bottom"/>
          </w:tcPr>
          <w:p>
            <w:pPr>
              <w:spacing w:after="0"/>
              <w:rPr>
                <w:sz w:val="20"/>
                <w:szCs w:val="20"/>
                <w:color w:val="auto"/>
              </w:rPr>
            </w:pPr>
            <w:r>
              <w:rPr>
                <w:rFonts w:ascii="Arial" w:cs="Arial" w:eastAsia="Arial" w:hAnsi="Arial"/>
                <w:sz w:val="23"/>
                <w:szCs w:val="23"/>
                <w:b w:val="1"/>
                <w:bCs w:val="1"/>
                <w:color w:val="0A9E50"/>
              </w:rPr>
              <w:t>Kelly</w:t>
            </w:r>
          </w:p>
        </w:tc>
        <w:tc>
          <w:tcPr>
            <w:tcW w:w="380" w:type="dxa"/>
            <w:vAlign w:val="bottom"/>
          </w:tcPr>
          <w:p>
            <w:pPr>
              <w:ind w:left="120"/>
              <w:spacing w:after="0"/>
              <w:rPr>
                <w:sz w:val="20"/>
                <w:szCs w:val="20"/>
                <w:color w:val="auto"/>
              </w:rPr>
            </w:pPr>
            <w:r>
              <w:rPr>
                <w:rFonts w:ascii="Arial" w:cs="Arial" w:eastAsia="Arial" w:hAnsi="Arial"/>
                <w:sz w:val="21"/>
                <w:szCs w:val="21"/>
                <w:color w:val="auto"/>
              </w:rPr>
              <w:t> </w:t>
            </w:r>
          </w:p>
        </w:tc>
        <w:tc>
          <w:tcPr>
            <w:tcW w:w="1340" w:type="dxa"/>
            <w:vAlign w:val="bottom"/>
            <w:gridSpan w:val="2"/>
            <w:vMerge w:val="restart"/>
          </w:tcPr>
          <w:p>
            <w:pPr>
              <w:jc w:val="center"/>
              <w:ind w:left="99"/>
              <w:spacing w:after="0"/>
              <w:rPr>
                <w:sz w:val="20"/>
                <w:szCs w:val="20"/>
                <w:color w:val="auto"/>
              </w:rPr>
            </w:pPr>
            <w:r>
              <w:rPr>
                <w:rFonts w:ascii="Arial" w:cs="Arial" w:eastAsia="Arial" w:hAnsi="Arial"/>
                <w:sz w:val="26"/>
                <w:szCs w:val="26"/>
                <w:b w:val="1"/>
                <w:bCs w:val="1"/>
                <w:color w:val="0A9E50"/>
              </w:rPr>
              <w:t>$0.9B</w:t>
            </w:r>
          </w:p>
        </w:tc>
        <w:tc>
          <w:tcPr>
            <w:tcW w:w="1680" w:type="dxa"/>
            <w:vAlign w:val="bottom"/>
          </w:tcPr>
          <w:p>
            <w:pPr>
              <w:jc w:val="right"/>
              <w:ind w:right="1400"/>
              <w:spacing w:after="0"/>
              <w:rPr>
                <w:sz w:val="20"/>
                <w:szCs w:val="20"/>
                <w:color w:val="auto"/>
              </w:rPr>
            </w:pPr>
            <w:r>
              <w:rPr>
                <w:rFonts w:ascii="Arial" w:cs="Arial" w:eastAsia="Arial" w:hAnsi="Arial"/>
                <w:sz w:val="5"/>
                <w:szCs w:val="5"/>
                <w:color w:val="auto"/>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680" w:type="dxa"/>
            <w:vAlign w:val="bottom"/>
            <w:vMerge w:val="restart"/>
          </w:tcPr>
          <w:p>
            <w:pPr>
              <w:spacing w:after="0"/>
              <w:rPr>
                <w:sz w:val="20"/>
                <w:szCs w:val="20"/>
                <w:color w:val="auto"/>
              </w:rPr>
            </w:pPr>
            <w:r>
              <w:rPr>
                <w:rFonts w:ascii="Arial" w:cs="Arial" w:eastAsia="Arial" w:hAnsi="Arial"/>
                <w:sz w:val="23"/>
                <w:szCs w:val="23"/>
                <w:b w:val="1"/>
                <w:bCs w:val="1"/>
                <w:color w:val="auto"/>
              </w:rPr>
              <w:t>International</w:t>
            </w:r>
            <w:r>
              <w:rPr>
                <w:rFonts w:ascii="Arial" w:cs="Arial" w:eastAsia="Arial" w:hAnsi="Arial"/>
                <w:sz w:val="33"/>
                <w:szCs w:val="33"/>
                <w:b w:val="1"/>
                <w:bCs w:val="1"/>
                <w:color w:val="auto"/>
                <w:vertAlign w:val="superscript"/>
              </w:rPr>
              <w:t>(3)</w:t>
            </w:r>
          </w:p>
        </w:tc>
        <w:tc>
          <w:tcPr>
            <w:tcW w:w="38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1680" w:type="dxa"/>
            <w:vAlign w:val="bottom"/>
          </w:tcPr>
          <w:p>
            <w:pPr>
              <w:jc w:val="right"/>
              <w:ind w:right="260"/>
              <w:spacing w:after="0"/>
              <w:rPr>
                <w:sz w:val="20"/>
                <w:szCs w:val="20"/>
                <w:color w:val="auto"/>
              </w:rPr>
            </w:pPr>
            <w:r>
              <w:rPr>
                <w:rFonts w:ascii="Arial" w:cs="Arial" w:eastAsia="Arial" w:hAnsi="Arial"/>
                <w:sz w:val="26"/>
                <w:szCs w:val="26"/>
                <w:b w:val="1"/>
                <w:bCs w:val="1"/>
                <w:color w:val="0A9E50"/>
              </w:rPr>
              <w:t>15.1%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6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vMerge w:val="restart"/>
          </w:tcPr>
          <w:p>
            <w:pPr>
              <w:ind w:left="380"/>
              <w:spacing w:after="0"/>
              <w:rPr>
                <w:sz w:val="20"/>
                <w:szCs w:val="20"/>
                <w:color w:val="auto"/>
              </w:rPr>
            </w:pPr>
            <w:r>
              <w:rPr>
                <w:rFonts w:ascii="Arial" w:cs="Arial" w:eastAsia="Arial" w:hAnsi="Arial"/>
                <w:sz w:val="16"/>
                <w:szCs w:val="16"/>
                <w:b w:val="1"/>
                <w:bCs w:val="1"/>
                <w:color w:val="auto"/>
                <w:w w:val="92"/>
              </w:rPr>
              <w:t>Revenue</w:t>
            </w:r>
          </w:p>
        </w:tc>
        <w:tc>
          <w:tcPr>
            <w:tcW w:w="320" w:type="dxa"/>
            <w:vAlign w:val="bottom"/>
          </w:tcPr>
          <w:p>
            <w:pPr>
              <w:jc w:val="right"/>
              <w:ind w:right="121"/>
              <w:spacing w:after="0" w:line="118" w:lineRule="exact"/>
              <w:rPr>
                <w:sz w:val="20"/>
                <w:szCs w:val="20"/>
                <w:color w:val="auto"/>
              </w:rPr>
            </w:pPr>
            <w:r>
              <w:rPr>
                <w:rFonts w:ascii="Arial" w:cs="Arial" w:eastAsia="Arial" w:hAnsi="Arial"/>
                <w:sz w:val="12"/>
                <w:szCs w:val="12"/>
                <w:b w:val="1"/>
                <w:bCs w:val="1"/>
                <w:color w:val="auto"/>
                <w:w w:val="81"/>
              </w:rPr>
              <w:t>(1)</w:t>
            </w:r>
          </w:p>
        </w:tc>
        <w:tc>
          <w:tcPr>
            <w:tcW w:w="1680" w:type="dxa"/>
            <w:vAlign w:val="bottom"/>
          </w:tcPr>
          <w:p>
            <w:pPr>
              <w:jc w:val="right"/>
              <w:ind w:right="240"/>
              <w:spacing w:after="0" w:line="118" w:lineRule="exact"/>
              <w:rPr>
                <w:sz w:val="20"/>
                <w:szCs w:val="20"/>
                <w:color w:val="auto"/>
              </w:rPr>
            </w:pPr>
            <w:r>
              <w:rPr>
                <w:rFonts w:ascii="Arial" w:cs="Arial" w:eastAsia="Arial" w:hAnsi="Arial"/>
                <w:sz w:val="12"/>
                <w:szCs w:val="12"/>
                <w:b w:val="1"/>
                <w:bCs w:val="1"/>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680" w:type="dxa"/>
            <w:vAlign w:val="bottom"/>
          </w:tcPr>
          <w:p>
            <w:pPr>
              <w:ind w:left="600"/>
              <w:spacing w:after="0" w:line="132" w:lineRule="exact"/>
              <w:rPr>
                <w:sz w:val="20"/>
                <w:szCs w:val="20"/>
                <w:color w:val="auto"/>
              </w:rPr>
            </w:pPr>
            <w:r>
              <w:rPr>
                <w:rFonts w:ascii="Arial" w:cs="Arial" w:eastAsia="Arial" w:hAnsi="Arial"/>
                <w:sz w:val="14"/>
                <w:szCs w:val="14"/>
                <w:b w:val="1"/>
                <w:bCs w:val="1"/>
                <w:color w:val="auto"/>
              </w:rPr>
              <w:t>GP Rate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-396875</wp:posOffset>
            </wp:positionV>
            <wp:extent cx="1924685" cy="5124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24685" cy="51244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8"/>
        </w:trPr>
        <w:tc>
          <w:tcPr>
            <w:tcW w:w="2060" w:type="dxa"/>
            <w:vAlign w:val="bottom"/>
          </w:tcPr>
          <w:p>
            <w:pPr>
              <w:spacing w:after="0" w:line="168" w:lineRule="exact"/>
              <w:rPr>
                <w:sz w:val="20"/>
                <w:szCs w:val="20"/>
                <w:color w:val="auto"/>
              </w:rPr>
            </w:pPr>
            <w:r>
              <w:rPr>
                <w:rFonts w:ascii="Arial" w:cs="Arial" w:eastAsia="Arial" w:hAnsi="Arial"/>
                <w:sz w:val="16"/>
                <w:szCs w:val="16"/>
                <w:b w:val="1"/>
                <w:bCs w:val="1"/>
                <w:color w:val="auto"/>
              </w:rPr>
              <w:t>Specialties</w:t>
            </w: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60" w:type="dxa"/>
            <w:vAlign w:val="bottom"/>
            <w:vMerge w:val="restart"/>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Life Sciences</w:t>
            </w:r>
          </w:p>
        </w:tc>
        <w:tc>
          <w:tcPr>
            <w:tcW w:w="3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vMerge w:val="continue"/>
          </w:tcPr>
          <w:p>
            <w:pPr>
              <w:spacing w:after="0"/>
              <w:rPr>
                <w:sz w:val="7"/>
                <w:szCs w:val="7"/>
                <w:color w:val="auto"/>
              </w:rPr>
            </w:pPr>
          </w:p>
        </w:tc>
        <w:tc>
          <w:tcPr>
            <w:tcW w:w="3020" w:type="dxa"/>
            <w:vAlign w:val="bottom"/>
            <w:shd w:val="clear" w:color="auto" w:fill="EAF3E3"/>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IT</w:t>
            </w:r>
          </w:p>
        </w:tc>
        <w:tc>
          <w:tcPr>
            <w:tcW w:w="3020" w:type="dxa"/>
            <w:vAlign w:val="bottom"/>
            <w:shd w:val="clear" w:color="auto" w:fill="EAF3E3"/>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Finance</w:t>
            </w:r>
          </w:p>
        </w:tc>
        <w:tc>
          <w:tcPr>
            <w:tcW w:w="3020" w:type="dxa"/>
            <w:vAlign w:val="bottom"/>
            <w:vMerge w:val="restart"/>
            <w:shd w:val="clear" w:color="auto" w:fill="EAF3E3"/>
          </w:tcPr>
          <w:p>
            <w:pPr>
              <w:ind w:left="680"/>
              <w:spacing w:after="0"/>
              <w:rPr>
                <w:sz w:val="20"/>
                <w:szCs w:val="20"/>
                <w:color w:val="auto"/>
              </w:rPr>
            </w:pPr>
            <w:r>
              <w:rPr>
                <w:rFonts w:ascii="Arial" w:cs="Arial" w:eastAsia="Arial" w:hAnsi="Arial"/>
                <w:sz w:val="21"/>
                <w:szCs w:val="21"/>
                <w:b w:val="1"/>
                <w:bCs w:val="1"/>
                <w:color w:val="0A9E50"/>
              </w:rPr>
              <w:t xml:space="preserve">   EMEA and Mexico</w:t>
            </w:r>
          </w:p>
        </w:tc>
        <w:tc>
          <w:tcPr>
            <w:tcW w:w="0" w:type="dxa"/>
            <w:vAlign w:val="bottom"/>
          </w:tcPr>
          <w:p>
            <w:pPr>
              <w:spacing w:after="0"/>
              <w:rPr>
                <w:sz w:val="1"/>
                <w:szCs w:val="1"/>
                <w:color w:val="auto"/>
              </w:rPr>
            </w:pPr>
          </w:p>
        </w:tc>
      </w:tr>
      <w:tr>
        <w:trPr>
          <w:trHeight w:val="129"/>
        </w:trPr>
        <w:tc>
          <w:tcPr>
            <w:tcW w:w="2060" w:type="dxa"/>
            <w:vAlign w:val="bottom"/>
            <w:vMerge w:val="restart"/>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Other Local</w:t>
            </w:r>
          </w:p>
        </w:tc>
        <w:tc>
          <w:tcPr>
            <w:tcW w:w="3020" w:type="dxa"/>
            <w:vAlign w:val="bottom"/>
            <w:vMerge w:val="continue"/>
            <w:shd w:val="clear" w:color="auto" w:fill="EAF3E3"/>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60" w:type="dxa"/>
            <w:vAlign w:val="bottom"/>
            <w:vMerge w:val="continue"/>
          </w:tcPr>
          <w:p>
            <w:pPr>
              <w:spacing w:after="0"/>
              <w:rPr>
                <w:sz w:val="4"/>
                <w:szCs w:val="4"/>
                <w:color w:val="auto"/>
              </w:rPr>
            </w:pPr>
          </w:p>
        </w:tc>
        <w:tc>
          <w:tcPr>
            <w:tcW w:w="3020" w:type="dxa"/>
            <w:vAlign w:val="bottom"/>
            <w:shd w:val="clear" w:color="auto" w:fill="EAF3E3"/>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60" w:type="dxa"/>
            <w:vAlign w:val="bottom"/>
          </w:tcPr>
          <w:p>
            <w:pPr>
              <w:ind w:left="160"/>
              <w:spacing w:after="0" w:line="135" w:lineRule="exact"/>
              <w:rPr>
                <w:sz w:val="20"/>
                <w:szCs w:val="20"/>
                <w:color w:val="auto"/>
              </w:rPr>
            </w:pPr>
            <w:r>
              <w:rPr>
                <w:rFonts w:ascii="Arial" w:cs="Arial" w:eastAsia="Arial" w:hAnsi="Arial"/>
                <w:sz w:val="14"/>
                <w:szCs w:val="14"/>
                <w:color w:val="auto"/>
              </w:rPr>
              <w:t>Professional Niches</w:t>
            </w:r>
          </w:p>
        </w:tc>
        <w:tc>
          <w:tcPr>
            <w:tcW w:w="3020" w:type="dxa"/>
            <w:vAlign w:val="bottom"/>
            <w:shd w:val="clear" w:color="auto" w:fill="EAF3E3"/>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231140</wp:posOffset>
            </wp:positionV>
            <wp:extent cx="3238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0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184" w:hanging="184"/>
        <w:spacing w:after="0"/>
        <w:tabs>
          <w:tab w:leader="none" w:pos="184" w:val="left"/>
        </w:tabs>
        <w:numPr>
          <w:ilvl w:val="0"/>
          <w:numId w:val="7"/>
        </w:numPr>
        <w:rPr>
          <w:rFonts w:ascii="Arial" w:cs="Arial" w:eastAsia="Arial" w:hAnsi="Arial"/>
          <w:sz w:val="12"/>
          <w:szCs w:val="12"/>
          <w:color w:val="auto"/>
        </w:rPr>
      </w:pPr>
      <w:r>
        <w:rPr>
          <w:rFonts w:ascii="Arial" w:cs="Arial" w:eastAsia="Arial" w:hAnsi="Arial"/>
          <w:sz w:val="12"/>
          <w:szCs w:val="12"/>
          <w:color w:val="auto"/>
        </w:rPr>
        <w:t>Kelly size and margin profiles are based on 2023 full year results</w:t>
      </w:r>
    </w:p>
    <w:p>
      <w:pPr>
        <w:spacing w:after="0" w:line="57" w:lineRule="exact"/>
        <w:rPr>
          <w:rFonts w:ascii="Arial" w:cs="Arial" w:eastAsia="Arial" w:hAnsi="Arial"/>
          <w:sz w:val="12"/>
          <w:szCs w:val="12"/>
          <w:color w:val="auto"/>
        </w:rPr>
      </w:pPr>
    </w:p>
    <w:p>
      <w:pPr>
        <w:ind w:left="4" w:right="260" w:hanging="4"/>
        <w:spacing w:after="0" w:line="264" w:lineRule="auto"/>
        <w:tabs>
          <w:tab w:leader="none" w:pos="186" w:val="left"/>
        </w:tabs>
        <w:numPr>
          <w:ilvl w:val="0"/>
          <w:numId w:val="7"/>
        </w:numPr>
        <w:rPr>
          <w:rFonts w:ascii="Arial" w:cs="Arial" w:eastAsia="Arial" w:hAnsi="Arial"/>
          <w:sz w:val="12"/>
          <w:szCs w:val="12"/>
          <w:color w:val="auto"/>
        </w:rPr>
      </w:pPr>
      <w:r>
        <w:rPr>
          <w:rFonts w:ascii="Arial" w:cs="Arial" w:eastAsia="Arial" w:hAnsi="Arial"/>
          <w:sz w:val="12"/>
          <w:szCs w:val="12"/>
          <w:color w:val="auto"/>
        </w:rPr>
        <w:t>Managed Service Provider (“MSP”); Recruitment Process Outsourcing (“RPO”); Payroll Process Outsourcing (“PPO”)</w:t>
      </w:r>
    </w:p>
    <w:p>
      <w:pPr>
        <w:spacing w:after="0" w:line="21" w:lineRule="exact"/>
        <w:rPr>
          <w:rFonts w:ascii="Arial" w:cs="Arial" w:eastAsia="Arial" w:hAnsi="Arial"/>
          <w:sz w:val="12"/>
          <w:szCs w:val="12"/>
          <w:color w:val="auto"/>
        </w:rPr>
      </w:pPr>
    </w:p>
    <w:p>
      <w:pPr>
        <w:ind w:left="4" w:right="40" w:hanging="4"/>
        <w:spacing w:after="0" w:line="239" w:lineRule="auto"/>
        <w:tabs>
          <w:tab w:leader="none" w:pos="186" w:val="left"/>
        </w:tabs>
        <w:numPr>
          <w:ilvl w:val="0"/>
          <w:numId w:val="7"/>
        </w:numPr>
        <w:rPr>
          <w:rFonts w:ascii="Arial" w:cs="Arial" w:eastAsia="Arial" w:hAnsi="Arial"/>
          <w:sz w:val="12"/>
          <w:szCs w:val="12"/>
          <w:color w:val="auto"/>
        </w:rPr>
      </w:pPr>
      <w:r>
        <w:rPr>
          <w:rFonts w:ascii="Arial" w:cs="Arial" w:eastAsia="Arial" w:hAnsi="Arial"/>
          <w:sz w:val="12"/>
          <w:szCs w:val="12"/>
          <w:color w:val="auto"/>
        </w:rPr>
        <w:t>On January 2, 2024, Kelly announced that it completed the sale of its European staffing business within its International operating segment. Following the sale, the remaining business in the International segment was absorbed by the P&amp;I, SET, and OCG segments, and the International segment no longer exists as a reportable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220"/>
        <w:spacing w:after="0"/>
        <w:rPr>
          <w:sz w:val="20"/>
          <w:szCs w:val="20"/>
          <w:color w:val="auto"/>
        </w:rPr>
      </w:pPr>
      <w:r>
        <w:rPr>
          <w:rFonts w:ascii="Arial" w:cs="Arial" w:eastAsia="Arial" w:hAnsi="Arial"/>
          <w:sz w:val="19"/>
          <w:szCs w:val="19"/>
          <w:b w:val="1"/>
          <w:bCs w:val="1"/>
          <w:color w:val="FFFFFF"/>
        </w:rPr>
        <w:t>Accelerate Organic and Inorganic Growth</w:t>
      </w: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1680" w:type="dxa"/>
            <w:vAlign w:val="bottom"/>
          </w:tcPr>
          <w:p>
            <w:pPr>
              <w:spacing w:after="0"/>
              <w:rPr>
                <w:sz w:val="20"/>
                <w:szCs w:val="20"/>
                <w:color w:val="auto"/>
              </w:rPr>
            </w:pPr>
            <w:r>
              <w:rPr>
                <w:rFonts w:ascii="Arial" w:cs="Arial" w:eastAsia="Arial" w:hAnsi="Arial"/>
                <w:sz w:val="23"/>
                <w:szCs w:val="23"/>
                <w:b w:val="1"/>
                <w:bCs w:val="1"/>
                <w:color w:val="0A9E50"/>
              </w:rPr>
              <w:t xml:space="preserve">Kelly </w:t>
            </w:r>
            <w:r>
              <w:rPr>
                <w:rFonts w:ascii="Arial" w:cs="Arial" w:eastAsia="Arial" w:hAnsi="Arial"/>
                <w:sz w:val="23"/>
                <w:szCs w:val="23"/>
                <w:b w:val="1"/>
                <w:bCs w:val="1"/>
                <w:color w:val="000000"/>
              </w:rPr>
              <w:t>Science,</w:t>
            </w:r>
          </w:p>
        </w:tc>
        <w:tc>
          <w:tcPr>
            <w:tcW w:w="1100" w:type="dxa"/>
            <w:vAlign w:val="bottom"/>
          </w:tcPr>
          <w:p>
            <w:pPr>
              <w:ind w:left="160"/>
              <w:spacing w:after="0"/>
              <w:rPr>
                <w:sz w:val="20"/>
                <w:szCs w:val="20"/>
                <w:color w:val="auto"/>
              </w:rPr>
            </w:pPr>
            <w:r>
              <w:rPr>
                <w:rFonts w:ascii="Arial" w:cs="Arial" w:eastAsia="Arial" w:hAnsi="Arial"/>
                <w:sz w:val="21"/>
                <w:szCs w:val="21"/>
                <w:color w:val="auto"/>
              </w:rPr>
              <w:t> </w:t>
            </w:r>
          </w:p>
        </w:tc>
        <w:tc>
          <w:tcPr>
            <w:tcW w:w="880" w:type="dxa"/>
            <w:vAlign w:val="bottom"/>
          </w:tcPr>
          <w:p>
            <w:pPr>
              <w:ind w:left="880"/>
              <w:spacing w:after="0"/>
              <w:rPr>
                <w:sz w:val="20"/>
                <w:szCs w:val="20"/>
                <w:color w:val="auto"/>
              </w:rPr>
            </w:pPr>
            <w:r>
              <w:rPr>
                <w:rFonts w:ascii="Arial" w:cs="Arial" w:eastAsia="Arial" w:hAnsi="Arial"/>
                <w:sz w:val="1"/>
                <w:szCs w:val="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-42545</wp:posOffset>
            </wp:positionV>
            <wp:extent cx="1957705" cy="619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57705" cy="6197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08"/>
        </w:trPr>
        <w:tc>
          <w:tcPr>
            <w:tcW w:w="1780" w:type="dxa"/>
            <w:vAlign w:val="bottom"/>
            <w:vMerge w:val="restart"/>
          </w:tcPr>
          <w:p>
            <w:pPr>
              <w:ind w:left="20"/>
              <w:spacing w:after="0"/>
              <w:rPr>
                <w:sz w:val="20"/>
                <w:szCs w:val="20"/>
                <w:color w:val="auto"/>
              </w:rPr>
            </w:pPr>
            <w:r>
              <w:rPr>
                <w:rFonts w:ascii="Arial" w:cs="Arial" w:eastAsia="Arial" w:hAnsi="Arial"/>
                <w:sz w:val="23"/>
                <w:szCs w:val="23"/>
                <w:b w:val="1"/>
                <w:bCs w:val="1"/>
                <w:color w:val="auto"/>
              </w:rPr>
              <w:t>Engineering,</w:t>
            </w:r>
          </w:p>
        </w:tc>
        <w:tc>
          <w:tcPr>
            <w:tcW w:w="340" w:type="dxa"/>
            <w:vAlign w:val="bottom"/>
          </w:tcPr>
          <w:p>
            <w:pPr>
              <w:spacing w:after="0"/>
              <w:rPr>
                <w:sz w:val="24"/>
                <w:szCs w:val="24"/>
                <w:color w:val="auto"/>
              </w:rPr>
            </w:pPr>
          </w:p>
        </w:tc>
        <w:tc>
          <w:tcPr>
            <w:tcW w:w="1320" w:type="dxa"/>
            <w:vAlign w:val="bottom"/>
          </w:tcPr>
          <w:p>
            <w:pPr>
              <w:jc w:val="center"/>
              <w:ind w:left="162"/>
              <w:spacing w:after="0"/>
              <w:rPr>
                <w:sz w:val="20"/>
                <w:szCs w:val="20"/>
                <w:color w:val="auto"/>
              </w:rPr>
            </w:pPr>
            <w:r>
              <w:rPr>
                <w:rFonts w:ascii="Arial" w:cs="Arial" w:eastAsia="Arial" w:hAnsi="Arial"/>
                <w:sz w:val="26"/>
                <w:szCs w:val="26"/>
                <w:b w:val="1"/>
                <w:bCs w:val="1"/>
                <w:color w:val="0A9E50"/>
              </w:rPr>
              <w:t>$1.2B</w:t>
            </w:r>
          </w:p>
        </w:tc>
        <w:tc>
          <w:tcPr>
            <w:tcW w:w="1780" w:type="dxa"/>
            <w:vAlign w:val="bottom"/>
            <w:gridSpan w:val="3"/>
          </w:tcPr>
          <w:p>
            <w:pPr>
              <w:ind w:left="680"/>
              <w:spacing w:after="0"/>
              <w:rPr>
                <w:sz w:val="20"/>
                <w:szCs w:val="20"/>
                <w:color w:val="auto"/>
              </w:rPr>
            </w:pPr>
            <w:r>
              <w:rPr>
                <w:rFonts w:ascii="Arial" w:cs="Arial" w:eastAsia="Arial" w:hAnsi="Arial"/>
                <w:sz w:val="26"/>
                <w:szCs w:val="26"/>
                <w:b w:val="1"/>
                <w:bCs w:val="1"/>
                <w:color w:val="0A9E50"/>
              </w:rPr>
              <w:t>22.8%</w:t>
            </w:r>
          </w:p>
        </w:tc>
        <w:tc>
          <w:tcPr>
            <w:tcW w:w="0" w:type="dxa"/>
            <w:vAlign w:val="bottom"/>
          </w:tcPr>
          <w:p>
            <w:pPr>
              <w:spacing w:after="0"/>
              <w:rPr>
                <w:sz w:val="1"/>
                <w:szCs w:val="1"/>
                <w:color w:val="auto"/>
              </w:rPr>
            </w:pPr>
          </w:p>
        </w:tc>
      </w:tr>
      <w:tr>
        <w:trPr>
          <w:trHeight w:val="157"/>
        </w:trPr>
        <w:tc>
          <w:tcPr>
            <w:tcW w:w="17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jc w:val="center"/>
              <w:ind w:left="162"/>
              <w:spacing w:after="0" w:line="157" w:lineRule="exact"/>
              <w:rPr>
                <w:sz w:val="20"/>
                <w:szCs w:val="20"/>
                <w:color w:val="auto"/>
              </w:rPr>
            </w:pPr>
            <w:r>
              <w:rPr>
                <w:rFonts w:ascii="Arial" w:cs="Arial" w:eastAsia="Arial" w:hAnsi="Arial"/>
                <w:sz w:val="13"/>
                <w:szCs w:val="13"/>
                <w:b w:val="1"/>
                <w:bCs w:val="1"/>
                <w:color w:val="auto"/>
              </w:rPr>
              <w:t>Revenue</w:t>
            </w:r>
            <w:r>
              <w:rPr>
                <w:rFonts w:ascii="Arial" w:cs="Arial" w:eastAsia="Arial" w:hAnsi="Arial"/>
                <w:sz w:val="18"/>
                <w:szCs w:val="18"/>
                <w:b w:val="1"/>
                <w:bCs w:val="1"/>
                <w:color w:val="auto"/>
                <w:vertAlign w:val="superscript"/>
              </w:rPr>
              <w:t>(1)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ind w:left="380"/>
              <w:spacing w:after="0" w:line="157" w:lineRule="exact"/>
              <w:rPr>
                <w:sz w:val="20"/>
                <w:szCs w:val="20"/>
                <w:color w:val="auto"/>
              </w:rPr>
            </w:pPr>
            <w:r>
              <w:rPr>
                <w:rFonts w:ascii="Arial" w:cs="Arial" w:eastAsia="Arial" w:hAnsi="Arial"/>
                <w:sz w:val="13"/>
                <w:szCs w:val="13"/>
                <w:b w:val="1"/>
                <w:bCs w:val="1"/>
                <w:color w:val="auto"/>
              </w:rPr>
              <w:t>GP Rate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68"/>
        </w:trPr>
        <w:tc>
          <w:tcPr>
            <w:tcW w:w="1780" w:type="dxa"/>
            <w:vAlign w:val="bottom"/>
          </w:tcPr>
          <w:p>
            <w:pPr>
              <w:ind w:left="20"/>
              <w:spacing w:after="0"/>
              <w:rPr>
                <w:sz w:val="20"/>
                <w:szCs w:val="20"/>
                <w:color w:val="auto"/>
              </w:rPr>
            </w:pPr>
            <w:r>
              <w:rPr>
                <w:rFonts w:ascii="Arial" w:cs="Arial" w:eastAsia="Arial" w:hAnsi="Arial"/>
                <w:sz w:val="23"/>
                <w:szCs w:val="23"/>
                <w:b w:val="1"/>
                <w:bCs w:val="1"/>
                <w:color w:val="auto"/>
              </w:rPr>
              <w:t>Technology &amp;</w:t>
            </w: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780" w:type="dxa"/>
            <w:vAlign w:val="bottom"/>
          </w:tcPr>
          <w:p>
            <w:pPr>
              <w:ind w:left="20"/>
              <w:spacing w:after="0"/>
              <w:rPr>
                <w:sz w:val="20"/>
                <w:szCs w:val="20"/>
                <w:color w:val="auto"/>
              </w:rPr>
            </w:pPr>
            <w:r>
              <w:rPr>
                <w:rFonts w:ascii="Arial" w:cs="Arial" w:eastAsia="Arial" w:hAnsi="Arial"/>
                <w:sz w:val="23"/>
                <w:szCs w:val="23"/>
                <w:b w:val="1"/>
                <w:bCs w:val="1"/>
                <w:color w:val="auto"/>
              </w:rPr>
              <w:t>Telecom</w:t>
            </w: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780" w:type="dxa"/>
            <w:vAlign w:val="bottom"/>
          </w:tcPr>
          <w:p>
            <w:pPr>
              <w:ind w:left="20"/>
              <w:spacing w:after="0"/>
              <w:rPr>
                <w:sz w:val="20"/>
                <w:szCs w:val="20"/>
                <w:color w:val="auto"/>
              </w:rPr>
            </w:pPr>
            <w:r>
              <w:rPr>
                <w:rFonts w:ascii="Arial" w:cs="Arial" w:eastAsia="Arial" w:hAnsi="Arial"/>
                <w:sz w:val="16"/>
                <w:szCs w:val="16"/>
                <w:b w:val="1"/>
                <w:bCs w:val="1"/>
                <w:color w:val="auto"/>
              </w:rPr>
              <w:t>Specialties</w:t>
            </w:r>
          </w:p>
        </w:tc>
        <w:tc>
          <w:tcPr>
            <w:tcW w:w="340" w:type="dxa"/>
            <w:vAlign w:val="bottom"/>
          </w:tcPr>
          <w:p>
            <w:pPr>
              <w:spacing w:after="0"/>
              <w:rPr>
                <w:sz w:val="23"/>
                <w:szCs w:val="23"/>
                <w:color w:val="auto"/>
              </w:rPr>
            </w:pPr>
          </w:p>
        </w:tc>
        <w:tc>
          <w:tcPr>
            <w:tcW w:w="1320" w:type="dxa"/>
            <w:vAlign w:val="bottom"/>
            <w:shd w:val="clear" w:color="auto" w:fill="EDEDED"/>
          </w:tcPr>
          <w:p>
            <w:pPr>
              <w:spacing w:after="0"/>
              <w:rPr>
                <w:sz w:val="23"/>
                <w:szCs w:val="23"/>
                <w:color w:val="auto"/>
              </w:rPr>
            </w:pPr>
          </w:p>
        </w:tc>
        <w:tc>
          <w:tcPr>
            <w:tcW w:w="200" w:type="dxa"/>
            <w:vAlign w:val="bottom"/>
            <w:shd w:val="clear" w:color="auto" w:fill="EDEDED"/>
          </w:tcPr>
          <w:p>
            <w:pPr>
              <w:spacing w:after="0"/>
              <w:rPr>
                <w:sz w:val="23"/>
                <w:szCs w:val="23"/>
                <w:color w:val="auto"/>
              </w:rPr>
            </w:pPr>
          </w:p>
        </w:tc>
        <w:tc>
          <w:tcPr>
            <w:tcW w:w="80" w:type="dxa"/>
            <w:vAlign w:val="bottom"/>
            <w:shd w:val="clear" w:color="auto" w:fill="EDEDED"/>
          </w:tcPr>
          <w:p>
            <w:pPr>
              <w:spacing w:after="0"/>
              <w:rPr>
                <w:sz w:val="23"/>
                <w:szCs w:val="23"/>
                <w:color w:val="auto"/>
              </w:rPr>
            </w:pPr>
          </w:p>
        </w:tc>
        <w:tc>
          <w:tcPr>
            <w:tcW w:w="1500" w:type="dxa"/>
            <w:vAlign w:val="bottom"/>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Engineering</w:t>
            </w:r>
          </w:p>
        </w:tc>
        <w:tc>
          <w:tcPr>
            <w:tcW w:w="340" w:type="dxa"/>
            <w:vAlign w:val="bottom"/>
          </w:tcPr>
          <w:p>
            <w:pPr>
              <w:spacing w:after="0"/>
              <w:rPr>
                <w:sz w:val="15"/>
                <w:szCs w:val="15"/>
                <w:color w:val="auto"/>
              </w:rPr>
            </w:pPr>
          </w:p>
        </w:tc>
        <w:tc>
          <w:tcPr>
            <w:tcW w:w="3100" w:type="dxa"/>
            <w:vAlign w:val="bottom"/>
            <w:gridSpan w:val="4"/>
            <w:vMerge w:val="restart"/>
            <w:shd w:val="clear" w:color="auto" w:fill="EDEDED"/>
          </w:tcPr>
          <w:p>
            <w:pPr>
              <w:jc w:val="center"/>
              <w:ind w:left="202"/>
              <w:spacing w:after="0"/>
              <w:rPr>
                <w:sz w:val="20"/>
                <w:szCs w:val="20"/>
                <w:color w:val="auto"/>
              </w:rPr>
            </w:pPr>
            <w:r>
              <w:rPr>
                <w:rFonts w:ascii="Arial" w:cs="Arial" w:eastAsia="Arial" w:hAnsi="Arial"/>
                <w:sz w:val="21"/>
                <w:szCs w:val="21"/>
                <w:b w:val="1"/>
                <w:bCs w:val="1"/>
                <w:color w:val="0A9E50"/>
                <w:w w:val="95"/>
              </w:rPr>
              <w:t xml:space="preserve">   North America</w:t>
            </w:r>
          </w:p>
        </w:tc>
        <w:tc>
          <w:tcPr>
            <w:tcW w:w="0" w:type="dxa"/>
            <w:vAlign w:val="bottom"/>
          </w:tcPr>
          <w:p>
            <w:pPr>
              <w:spacing w:after="0"/>
              <w:rPr>
                <w:sz w:val="1"/>
                <w:szCs w:val="1"/>
                <w:color w:val="auto"/>
              </w:rPr>
            </w:pPr>
          </w:p>
        </w:tc>
      </w:tr>
      <w:tr>
        <w:trPr>
          <w:trHeight w:val="129"/>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Science &amp; Clinical</w:t>
            </w:r>
          </w:p>
        </w:tc>
        <w:tc>
          <w:tcPr>
            <w:tcW w:w="340" w:type="dxa"/>
            <w:vAlign w:val="bottom"/>
          </w:tcPr>
          <w:p>
            <w:pPr>
              <w:spacing w:after="0"/>
              <w:rPr>
                <w:sz w:val="11"/>
                <w:szCs w:val="11"/>
                <w:color w:val="auto"/>
              </w:rPr>
            </w:pPr>
          </w:p>
        </w:tc>
        <w:tc>
          <w:tcPr>
            <w:tcW w:w="3100" w:type="dxa"/>
            <w:vAlign w:val="bottom"/>
            <w:gridSpan w:val="4"/>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7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320" w:type="dxa"/>
            <w:vAlign w:val="bottom"/>
            <w:shd w:val="clear" w:color="auto" w:fill="EDEDED"/>
          </w:tcPr>
          <w:p>
            <w:pPr>
              <w:spacing w:after="0"/>
              <w:rPr>
                <w:sz w:val="4"/>
                <w:szCs w:val="4"/>
                <w:color w:val="auto"/>
              </w:rPr>
            </w:pPr>
          </w:p>
        </w:tc>
        <w:tc>
          <w:tcPr>
            <w:tcW w:w="200" w:type="dxa"/>
            <w:vAlign w:val="bottom"/>
            <w:shd w:val="clear" w:color="auto" w:fill="EDEDED"/>
          </w:tcPr>
          <w:p>
            <w:pPr>
              <w:spacing w:after="0"/>
              <w:rPr>
                <w:sz w:val="4"/>
                <w:szCs w:val="4"/>
                <w:color w:val="auto"/>
              </w:rPr>
            </w:pPr>
          </w:p>
        </w:tc>
        <w:tc>
          <w:tcPr>
            <w:tcW w:w="80" w:type="dxa"/>
            <w:vAlign w:val="bottom"/>
            <w:shd w:val="clear" w:color="auto" w:fill="EDEDED"/>
          </w:tcPr>
          <w:p>
            <w:pPr>
              <w:spacing w:after="0"/>
              <w:rPr>
                <w:sz w:val="4"/>
                <w:szCs w:val="4"/>
                <w:color w:val="auto"/>
              </w:rPr>
            </w:pPr>
          </w:p>
        </w:tc>
        <w:tc>
          <w:tcPr>
            <w:tcW w:w="1500" w:type="dxa"/>
            <w:vAlign w:val="bottom"/>
            <w:shd w:val="clear" w:color="auto" w:fill="EDEDED"/>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Technology</w:t>
            </w:r>
          </w:p>
        </w:tc>
        <w:tc>
          <w:tcPr>
            <w:tcW w:w="340" w:type="dxa"/>
            <w:vAlign w:val="bottom"/>
          </w:tcPr>
          <w:p>
            <w:pPr>
              <w:spacing w:after="0"/>
              <w:rPr>
                <w:sz w:val="15"/>
                <w:szCs w:val="15"/>
                <w:color w:val="auto"/>
              </w:rPr>
            </w:pPr>
          </w:p>
        </w:tc>
        <w:tc>
          <w:tcPr>
            <w:tcW w:w="132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80" w:type="dxa"/>
            <w:vAlign w:val="bottom"/>
            <w:shd w:val="clear" w:color="auto" w:fill="EDEDED"/>
          </w:tcPr>
          <w:p>
            <w:pPr>
              <w:spacing w:after="0"/>
              <w:rPr>
                <w:sz w:val="15"/>
                <w:szCs w:val="15"/>
                <w:color w:val="auto"/>
              </w:rPr>
            </w:pPr>
          </w:p>
        </w:tc>
        <w:tc>
          <w:tcPr>
            <w:tcW w:w="150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Telecom</w:t>
            </w:r>
          </w:p>
        </w:tc>
        <w:tc>
          <w:tcPr>
            <w:tcW w:w="340" w:type="dxa"/>
            <w:vAlign w:val="bottom"/>
          </w:tcPr>
          <w:p>
            <w:pPr>
              <w:spacing w:after="0"/>
              <w:rPr>
                <w:sz w:val="13"/>
                <w:szCs w:val="13"/>
                <w:color w:val="auto"/>
              </w:rPr>
            </w:pPr>
          </w:p>
        </w:tc>
        <w:tc>
          <w:tcPr>
            <w:tcW w:w="1320" w:type="dxa"/>
            <w:vAlign w:val="bottom"/>
            <w:shd w:val="clear" w:color="auto" w:fill="EDEDED"/>
          </w:tcPr>
          <w:p>
            <w:pPr>
              <w:spacing w:after="0"/>
              <w:rPr>
                <w:sz w:val="13"/>
                <w:szCs w:val="13"/>
                <w:color w:val="auto"/>
              </w:rPr>
            </w:pPr>
          </w:p>
        </w:tc>
        <w:tc>
          <w:tcPr>
            <w:tcW w:w="200" w:type="dxa"/>
            <w:vAlign w:val="bottom"/>
            <w:shd w:val="clear" w:color="auto" w:fill="EDEDED"/>
          </w:tcPr>
          <w:p>
            <w:pPr>
              <w:spacing w:after="0"/>
              <w:rPr>
                <w:sz w:val="13"/>
                <w:szCs w:val="13"/>
                <w:color w:val="auto"/>
              </w:rPr>
            </w:pPr>
          </w:p>
        </w:tc>
        <w:tc>
          <w:tcPr>
            <w:tcW w:w="80" w:type="dxa"/>
            <w:vAlign w:val="bottom"/>
            <w:shd w:val="clear" w:color="auto" w:fill="EDEDED"/>
          </w:tcPr>
          <w:p>
            <w:pPr>
              <w:spacing w:after="0"/>
              <w:rPr>
                <w:sz w:val="13"/>
                <w:szCs w:val="13"/>
                <w:color w:val="auto"/>
              </w:rPr>
            </w:pPr>
          </w:p>
        </w:tc>
        <w:tc>
          <w:tcPr>
            <w:tcW w:w="150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1780" w:type="dxa"/>
            <w:vAlign w:val="bottom"/>
            <w:tcBorders>
              <w:bottom w:val="single" w:sz="8" w:color="7F7F7F"/>
            </w:tcBorders>
          </w:tcPr>
          <w:p>
            <w:pPr>
              <w:spacing w:after="0"/>
              <w:rPr>
                <w:sz w:val="24"/>
                <w:szCs w:val="24"/>
                <w:color w:val="auto"/>
              </w:rPr>
            </w:pPr>
          </w:p>
        </w:tc>
        <w:tc>
          <w:tcPr>
            <w:tcW w:w="340" w:type="dxa"/>
            <w:vAlign w:val="bottom"/>
            <w:tcBorders>
              <w:bottom w:val="single" w:sz="8" w:color="7F7F7F"/>
            </w:tcBorders>
          </w:tcPr>
          <w:p>
            <w:pPr>
              <w:spacing w:after="0"/>
              <w:rPr>
                <w:sz w:val="24"/>
                <w:szCs w:val="24"/>
                <w:color w:val="auto"/>
              </w:rPr>
            </w:pPr>
          </w:p>
        </w:tc>
        <w:tc>
          <w:tcPr>
            <w:tcW w:w="1320" w:type="dxa"/>
            <w:vAlign w:val="bottom"/>
            <w:tcBorders>
              <w:bottom w:val="single" w:sz="8" w:color="7F7F7F"/>
            </w:tcBorders>
          </w:tcPr>
          <w:p>
            <w:pPr>
              <w:spacing w:after="0"/>
              <w:rPr>
                <w:sz w:val="24"/>
                <w:szCs w:val="24"/>
                <w:color w:val="auto"/>
              </w:rPr>
            </w:pPr>
          </w:p>
        </w:tc>
        <w:tc>
          <w:tcPr>
            <w:tcW w:w="200" w:type="dxa"/>
            <w:vAlign w:val="bottom"/>
            <w:tcBorders>
              <w:bottom w:val="single" w:sz="8" w:color="7F7F7F"/>
            </w:tcBorders>
          </w:tcPr>
          <w:p>
            <w:pPr>
              <w:spacing w:after="0"/>
              <w:rPr>
                <w:sz w:val="24"/>
                <w:szCs w:val="24"/>
                <w:color w:val="auto"/>
              </w:rPr>
            </w:pPr>
          </w:p>
        </w:tc>
        <w:tc>
          <w:tcPr>
            <w:tcW w:w="80" w:type="dxa"/>
            <w:vAlign w:val="bottom"/>
            <w:tcBorders>
              <w:bottom w:val="single" w:sz="8" w:color="7F7F7F"/>
            </w:tcBorders>
          </w:tcPr>
          <w:p>
            <w:pPr>
              <w:spacing w:after="0"/>
              <w:rPr>
                <w:sz w:val="24"/>
                <w:szCs w:val="24"/>
                <w:color w:val="auto"/>
              </w:rPr>
            </w:pPr>
          </w:p>
        </w:tc>
        <w:tc>
          <w:tcPr>
            <w:tcW w:w="150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780" w:type="dxa"/>
            <w:vAlign w:val="bottom"/>
            <w:vMerge w:val="restart"/>
          </w:tcPr>
          <w:p>
            <w:pPr>
              <w:ind w:left="20"/>
              <w:spacing w:after="0"/>
              <w:rPr>
                <w:sz w:val="20"/>
                <w:szCs w:val="20"/>
                <w:color w:val="auto"/>
              </w:rPr>
            </w:pPr>
            <w:r>
              <w:rPr>
                <w:rFonts w:ascii="Arial" w:cs="Arial" w:eastAsia="Arial" w:hAnsi="Arial"/>
                <w:sz w:val="23"/>
                <w:szCs w:val="23"/>
                <w:b w:val="1"/>
                <w:bCs w:val="1"/>
                <w:color w:val="0A9E50"/>
              </w:rPr>
              <w:t xml:space="preserve">Kelly </w:t>
            </w:r>
            <w:r>
              <w:rPr>
                <w:rFonts w:ascii="Arial" w:cs="Arial" w:eastAsia="Arial" w:hAnsi="Arial"/>
                <w:sz w:val="23"/>
                <w:szCs w:val="23"/>
                <w:b w:val="1"/>
                <w:bCs w:val="1"/>
                <w:color w:val="000000"/>
              </w:rPr>
              <w:t>Education</w:t>
            </w:r>
          </w:p>
        </w:tc>
        <w:tc>
          <w:tcPr>
            <w:tcW w:w="340" w:type="dxa"/>
            <w:vAlign w:val="bottom"/>
            <w:vMerge w:val="restart"/>
          </w:tcPr>
          <w:p>
            <w:pPr>
              <w:ind w:left="80"/>
              <w:spacing w:after="0"/>
              <w:rPr>
                <w:sz w:val="20"/>
                <w:szCs w:val="20"/>
                <w:color w:val="auto"/>
              </w:rPr>
            </w:pPr>
            <w:r>
              <w:rPr>
                <w:rFonts w:ascii="Arial" w:cs="Arial" w:eastAsia="Arial" w:hAnsi="Arial"/>
                <w:sz w:val="21"/>
                <w:szCs w:val="21"/>
                <w:color w:val="auto"/>
              </w:rPr>
              <w:t> </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vMerge w:val="restart"/>
          </w:tcPr>
          <w:p>
            <w:pPr>
              <w:ind w:left="40"/>
              <w:spacing w:after="0"/>
              <w:rPr>
                <w:sz w:val="20"/>
                <w:szCs w:val="20"/>
                <w:color w:val="auto"/>
              </w:rPr>
            </w:pPr>
            <w:r>
              <w:rPr>
                <w:rFonts w:ascii="Arial" w:cs="Arial" w:eastAsia="Arial" w:hAnsi="Arial"/>
                <w:sz w:val="1"/>
                <w:szCs w:val="1"/>
                <w:color w:val="auto"/>
              </w:rPr>
              <w:t> </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78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320" w:type="dxa"/>
            <w:vAlign w:val="bottom"/>
            <w:vMerge w:val="restart"/>
            <w:shd w:val="clear" w:color="auto" w:fill="EDEDED"/>
          </w:tcPr>
          <w:p>
            <w:pPr>
              <w:jc w:val="center"/>
              <w:ind w:left="162"/>
              <w:spacing w:after="0"/>
              <w:rPr>
                <w:sz w:val="20"/>
                <w:szCs w:val="20"/>
                <w:color w:val="auto"/>
              </w:rPr>
            </w:pPr>
            <w:r>
              <w:rPr>
                <w:rFonts w:ascii="Arial" w:cs="Arial" w:eastAsia="Arial" w:hAnsi="Arial"/>
                <w:sz w:val="26"/>
                <w:szCs w:val="26"/>
                <w:b w:val="1"/>
                <w:bCs w:val="1"/>
                <w:color w:val="0A9E50"/>
              </w:rPr>
              <w:t>$0.8B</w:t>
            </w:r>
          </w:p>
        </w:tc>
        <w:tc>
          <w:tcPr>
            <w:tcW w:w="200" w:type="dxa"/>
            <w:vAlign w:val="bottom"/>
            <w:shd w:val="clear" w:color="auto" w:fill="EDEDED"/>
          </w:tcPr>
          <w:p>
            <w:pPr>
              <w:spacing w:after="0"/>
              <w:rPr>
                <w:sz w:val="5"/>
                <w:szCs w:val="5"/>
                <w:color w:val="auto"/>
              </w:rPr>
            </w:pPr>
          </w:p>
        </w:tc>
        <w:tc>
          <w:tcPr>
            <w:tcW w:w="80" w:type="dxa"/>
            <w:vAlign w:val="bottom"/>
            <w:vMerge w:val="continue"/>
          </w:tcPr>
          <w:p>
            <w:pPr>
              <w:spacing w:after="0"/>
              <w:rPr>
                <w:sz w:val="5"/>
                <w:szCs w:val="5"/>
                <w:color w:val="auto"/>
              </w:rPr>
            </w:pPr>
          </w:p>
        </w:tc>
        <w:tc>
          <w:tcPr>
            <w:tcW w:w="1500" w:type="dxa"/>
            <w:vAlign w:val="bottom"/>
            <w:vMerge w:val="restart"/>
            <w:shd w:val="clear" w:color="auto" w:fill="EDEDED"/>
          </w:tcPr>
          <w:p>
            <w:pPr>
              <w:ind w:left="400"/>
              <w:spacing w:after="0"/>
              <w:rPr>
                <w:sz w:val="20"/>
                <w:szCs w:val="20"/>
                <w:color w:val="auto"/>
              </w:rPr>
            </w:pPr>
            <w:r>
              <w:rPr>
                <w:rFonts w:ascii="Arial" w:cs="Arial" w:eastAsia="Arial" w:hAnsi="Arial"/>
                <w:sz w:val="26"/>
                <w:szCs w:val="26"/>
                <w:b w:val="1"/>
                <w:bCs w:val="1"/>
                <w:color w:val="0A9E50"/>
              </w:rPr>
              <w:t>15.3%</w:t>
            </w:r>
          </w:p>
        </w:tc>
        <w:tc>
          <w:tcPr>
            <w:tcW w:w="0" w:type="dxa"/>
            <w:vAlign w:val="bottom"/>
          </w:tcPr>
          <w:p>
            <w:pPr>
              <w:spacing w:after="0"/>
              <w:rPr>
                <w:sz w:val="1"/>
                <w:szCs w:val="1"/>
                <w:color w:val="auto"/>
              </w:rPr>
            </w:pPr>
          </w:p>
        </w:tc>
      </w:tr>
      <w:tr>
        <w:trPr>
          <w:trHeight w:val="224"/>
        </w:trPr>
        <w:tc>
          <w:tcPr>
            <w:tcW w:w="178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320" w:type="dxa"/>
            <w:vAlign w:val="bottom"/>
            <w:vMerge w:val="continue"/>
            <w:shd w:val="clear" w:color="auto" w:fill="EDEDED"/>
          </w:tcPr>
          <w:p>
            <w:pPr>
              <w:spacing w:after="0"/>
              <w:rPr>
                <w:sz w:val="19"/>
                <w:szCs w:val="19"/>
                <w:color w:val="auto"/>
              </w:rPr>
            </w:pPr>
          </w:p>
        </w:tc>
        <w:tc>
          <w:tcPr>
            <w:tcW w:w="200" w:type="dxa"/>
            <w:vAlign w:val="bottom"/>
            <w:shd w:val="clear" w:color="auto" w:fill="EDEDED"/>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vMerge w:val="continue"/>
            <w:shd w:val="clear" w:color="auto" w:fill="EDEDED"/>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1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Specialties</w:t>
            </w:r>
          </w:p>
        </w:tc>
        <w:tc>
          <w:tcPr>
            <w:tcW w:w="340" w:type="dxa"/>
            <w:vAlign w:val="bottom"/>
          </w:tcPr>
          <w:p>
            <w:pPr>
              <w:spacing w:after="0"/>
              <w:rPr>
                <w:sz w:val="7"/>
                <w:szCs w:val="7"/>
                <w:color w:val="auto"/>
              </w:rPr>
            </w:pPr>
          </w:p>
        </w:tc>
        <w:tc>
          <w:tcPr>
            <w:tcW w:w="1320" w:type="dxa"/>
            <w:vAlign w:val="bottom"/>
            <w:vMerge w:val="continue"/>
            <w:shd w:val="clear" w:color="auto" w:fill="EDEDED"/>
          </w:tcPr>
          <w:p>
            <w:pPr>
              <w:spacing w:after="0"/>
              <w:rPr>
                <w:sz w:val="7"/>
                <w:szCs w:val="7"/>
                <w:color w:val="auto"/>
              </w:rPr>
            </w:pPr>
          </w:p>
        </w:tc>
        <w:tc>
          <w:tcPr>
            <w:tcW w:w="200" w:type="dxa"/>
            <w:vAlign w:val="bottom"/>
            <w:shd w:val="clear" w:color="auto" w:fill="EDEDED"/>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vMerge w:val="continue"/>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7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shd w:val="clear" w:color="auto" w:fill="EDEDED"/>
          </w:tcPr>
          <w:p>
            <w:pPr>
              <w:jc w:val="center"/>
              <w:ind w:left="162"/>
              <w:spacing w:after="0" w:line="157" w:lineRule="exact"/>
              <w:rPr>
                <w:sz w:val="20"/>
                <w:szCs w:val="20"/>
                <w:color w:val="auto"/>
              </w:rPr>
            </w:pPr>
            <w:r>
              <w:rPr>
                <w:rFonts w:ascii="Arial" w:cs="Arial" w:eastAsia="Arial" w:hAnsi="Arial"/>
                <w:sz w:val="13"/>
                <w:szCs w:val="13"/>
                <w:b w:val="1"/>
                <w:bCs w:val="1"/>
                <w:color w:val="auto"/>
              </w:rPr>
              <w:t>Revenue</w:t>
            </w:r>
            <w:r>
              <w:rPr>
                <w:rFonts w:ascii="Arial" w:cs="Arial" w:eastAsia="Arial" w:hAnsi="Arial"/>
                <w:sz w:val="18"/>
                <w:szCs w:val="18"/>
                <w:b w:val="1"/>
                <w:bCs w:val="1"/>
                <w:color w:val="auto"/>
                <w:vertAlign w:val="superscript"/>
              </w:rPr>
              <w:t>(1)</w:t>
            </w:r>
          </w:p>
        </w:tc>
        <w:tc>
          <w:tcPr>
            <w:tcW w:w="200" w:type="dxa"/>
            <w:vAlign w:val="bottom"/>
            <w:shd w:val="clear" w:color="auto" w:fill="EDEDED"/>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shd w:val="clear" w:color="auto" w:fill="EDEDED"/>
          </w:tcPr>
          <w:p>
            <w:pPr>
              <w:ind w:left="380"/>
              <w:spacing w:after="0" w:line="157" w:lineRule="exact"/>
              <w:rPr>
                <w:sz w:val="20"/>
                <w:szCs w:val="20"/>
                <w:color w:val="auto"/>
              </w:rPr>
            </w:pPr>
            <w:r>
              <w:rPr>
                <w:rFonts w:ascii="Arial" w:cs="Arial" w:eastAsia="Arial" w:hAnsi="Arial"/>
                <w:sz w:val="13"/>
                <w:szCs w:val="13"/>
                <w:b w:val="1"/>
                <w:bCs w:val="1"/>
                <w:color w:val="auto"/>
              </w:rPr>
              <w:t>GP Rate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70"/>
        </w:trPr>
        <w:tc>
          <w:tcPr>
            <w:tcW w:w="1780" w:type="dxa"/>
            <w:vAlign w:val="bottom"/>
          </w:tcPr>
          <w:p>
            <w:pPr>
              <w:ind w:left="20"/>
              <w:spacing w:after="0" w:line="170" w:lineRule="exact"/>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K-12</w:t>
            </w:r>
          </w:p>
        </w:tc>
        <w:tc>
          <w:tcPr>
            <w:tcW w:w="340" w:type="dxa"/>
            <w:vAlign w:val="bottom"/>
          </w:tcPr>
          <w:p>
            <w:pPr>
              <w:spacing w:after="0"/>
              <w:rPr>
                <w:sz w:val="14"/>
                <w:szCs w:val="14"/>
                <w:color w:val="auto"/>
              </w:rPr>
            </w:pPr>
          </w:p>
        </w:tc>
        <w:tc>
          <w:tcPr>
            <w:tcW w:w="1320" w:type="dxa"/>
            <w:vAlign w:val="bottom"/>
            <w:shd w:val="clear" w:color="auto" w:fill="EDEDED"/>
          </w:tcPr>
          <w:p>
            <w:pPr>
              <w:spacing w:after="0"/>
              <w:rPr>
                <w:sz w:val="14"/>
                <w:szCs w:val="14"/>
                <w:color w:val="auto"/>
              </w:rPr>
            </w:pPr>
          </w:p>
        </w:tc>
        <w:tc>
          <w:tcPr>
            <w:tcW w:w="200" w:type="dxa"/>
            <w:vAlign w:val="bottom"/>
            <w:shd w:val="clear" w:color="auto" w:fill="EDEDED"/>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780" w:type="dxa"/>
            <w:vAlign w:val="bottom"/>
            <w:vMerge w:val="restart"/>
          </w:tcPr>
          <w:p>
            <w:pPr>
              <w:ind w:left="20"/>
              <w:spacing w:after="0" w:line="162" w:lineRule="exact"/>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Special Ed/Needs</w:t>
            </w:r>
          </w:p>
        </w:tc>
        <w:tc>
          <w:tcPr>
            <w:tcW w:w="340" w:type="dxa"/>
            <w:vAlign w:val="bottom"/>
          </w:tcPr>
          <w:p>
            <w:pPr>
              <w:spacing w:after="0"/>
              <w:rPr>
                <w:sz w:val="5"/>
                <w:szCs w:val="5"/>
                <w:color w:val="auto"/>
              </w:rPr>
            </w:pPr>
          </w:p>
        </w:tc>
        <w:tc>
          <w:tcPr>
            <w:tcW w:w="1320" w:type="dxa"/>
            <w:vAlign w:val="bottom"/>
            <w:shd w:val="clear" w:color="auto" w:fill="EDEDED"/>
          </w:tcPr>
          <w:p>
            <w:pPr>
              <w:spacing w:after="0"/>
              <w:rPr>
                <w:sz w:val="5"/>
                <w:szCs w:val="5"/>
                <w:color w:val="auto"/>
              </w:rPr>
            </w:pPr>
          </w:p>
        </w:tc>
        <w:tc>
          <w:tcPr>
            <w:tcW w:w="200" w:type="dxa"/>
            <w:vAlign w:val="bottom"/>
            <w:shd w:val="clear" w:color="auto" w:fill="EDEDED"/>
          </w:tcPr>
          <w:p>
            <w:pPr>
              <w:spacing w:after="0"/>
              <w:rPr>
                <w:sz w:val="5"/>
                <w:szCs w:val="5"/>
                <w:color w:val="auto"/>
              </w:rPr>
            </w:pPr>
          </w:p>
        </w:tc>
        <w:tc>
          <w:tcPr>
            <w:tcW w:w="80" w:type="dxa"/>
            <w:vAlign w:val="bottom"/>
          </w:tcPr>
          <w:p>
            <w:pPr>
              <w:spacing w:after="0"/>
              <w:rPr>
                <w:sz w:val="5"/>
                <w:szCs w:val="5"/>
                <w:color w:val="auto"/>
              </w:rPr>
            </w:pPr>
          </w:p>
        </w:tc>
        <w:tc>
          <w:tcPr>
            <w:tcW w:w="150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7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320" w:type="dxa"/>
            <w:vAlign w:val="bottom"/>
            <w:tcBorders>
              <w:bottom w:val="single" w:sz="8" w:color="EDEDED"/>
            </w:tcBorders>
          </w:tcPr>
          <w:p>
            <w:pPr>
              <w:spacing w:after="0"/>
              <w:rPr>
                <w:sz w:val="8"/>
                <w:szCs w:val="8"/>
                <w:color w:val="auto"/>
              </w:rPr>
            </w:pPr>
          </w:p>
        </w:tc>
        <w:tc>
          <w:tcPr>
            <w:tcW w:w="200" w:type="dxa"/>
            <w:vAlign w:val="bottom"/>
            <w:tcBorders>
              <w:bottom w:val="single" w:sz="8" w:color="EDEDED"/>
            </w:tcBorders>
          </w:tcPr>
          <w:p>
            <w:pPr>
              <w:spacing w:after="0"/>
              <w:rPr>
                <w:sz w:val="8"/>
                <w:szCs w:val="8"/>
                <w:color w:val="auto"/>
              </w:rPr>
            </w:pPr>
          </w:p>
        </w:tc>
        <w:tc>
          <w:tcPr>
            <w:tcW w:w="80" w:type="dxa"/>
            <w:vAlign w:val="bottom"/>
            <w:tcBorders>
              <w:bottom w:val="single" w:sz="8" w:color="EDEDED"/>
            </w:tcBorders>
          </w:tcPr>
          <w:p>
            <w:pPr>
              <w:spacing w:after="0"/>
              <w:rPr>
                <w:sz w:val="8"/>
                <w:szCs w:val="8"/>
                <w:color w:val="auto"/>
              </w:rPr>
            </w:pPr>
          </w:p>
        </w:tc>
        <w:tc>
          <w:tcPr>
            <w:tcW w:w="1500" w:type="dxa"/>
            <w:vAlign w:val="bottom"/>
            <w:tcBorders>
              <w:bottom w:val="single" w:sz="8" w:color="EDEDED"/>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Tutoring</w:t>
            </w:r>
          </w:p>
        </w:tc>
        <w:tc>
          <w:tcPr>
            <w:tcW w:w="340" w:type="dxa"/>
            <w:vAlign w:val="bottom"/>
          </w:tcPr>
          <w:p>
            <w:pPr>
              <w:spacing w:after="0"/>
              <w:rPr>
                <w:sz w:val="15"/>
                <w:szCs w:val="15"/>
                <w:color w:val="auto"/>
              </w:rPr>
            </w:pPr>
          </w:p>
        </w:tc>
        <w:tc>
          <w:tcPr>
            <w:tcW w:w="132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80" w:type="dxa"/>
            <w:vAlign w:val="bottom"/>
            <w:shd w:val="clear" w:color="auto" w:fill="EDEDED"/>
          </w:tcPr>
          <w:p>
            <w:pPr>
              <w:spacing w:after="0"/>
              <w:rPr>
                <w:sz w:val="15"/>
                <w:szCs w:val="15"/>
                <w:color w:val="auto"/>
              </w:rPr>
            </w:pPr>
          </w:p>
        </w:tc>
        <w:tc>
          <w:tcPr>
            <w:tcW w:w="150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Therapy Services</w:t>
            </w:r>
          </w:p>
        </w:tc>
        <w:tc>
          <w:tcPr>
            <w:tcW w:w="340" w:type="dxa"/>
            <w:vAlign w:val="bottom"/>
          </w:tcPr>
          <w:p>
            <w:pPr>
              <w:spacing w:after="0"/>
              <w:rPr>
                <w:sz w:val="15"/>
                <w:szCs w:val="15"/>
                <w:color w:val="auto"/>
              </w:rPr>
            </w:pPr>
          </w:p>
        </w:tc>
        <w:tc>
          <w:tcPr>
            <w:tcW w:w="1320" w:type="dxa"/>
            <w:vAlign w:val="bottom"/>
            <w:shd w:val="clear" w:color="auto" w:fill="EDEDED"/>
          </w:tcPr>
          <w:p>
            <w:pPr>
              <w:spacing w:after="0"/>
              <w:rPr>
                <w:sz w:val="15"/>
                <w:szCs w:val="15"/>
                <w:color w:val="auto"/>
              </w:rPr>
            </w:pPr>
          </w:p>
        </w:tc>
        <w:tc>
          <w:tcPr>
            <w:tcW w:w="1780" w:type="dxa"/>
            <w:vAlign w:val="bottom"/>
            <w:gridSpan w:val="3"/>
            <w:vMerge w:val="restart"/>
            <w:shd w:val="clear" w:color="auto" w:fill="EDEDED"/>
          </w:tcPr>
          <w:p>
            <w:pPr>
              <w:jc w:val="center"/>
              <w:ind w:right="960"/>
              <w:spacing w:after="0"/>
              <w:rPr>
                <w:sz w:val="20"/>
                <w:szCs w:val="20"/>
                <w:color w:val="auto"/>
              </w:rPr>
            </w:pPr>
            <w:r>
              <w:rPr>
                <w:rFonts w:ascii="Arial" w:cs="Arial" w:eastAsia="Arial" w:hAnsi="Arial"/>
                <w:sz w:val="21"/>
                <w:szCs w:val="21"/>
                <w:b w:val="1"/>
                <w:bCs w:val="1"/>
                <w:color w:val="0A9E50"/>
                <w:w w:val="87"/>
              </w:rPr>
              <w:t xml:space="preserve">   U.S</w:t>
            </w:r>
          </w:p>
        </w:tc>
        <w:tc>
          <w:tcPr>
            <w:tcW w:w="0" w:type="dxa"/>
            <w:vAlign w:val="bottom"/>
          </w:tcPr>
          <w:p>
            <w:pPr>
              <w:spacing w:after="0"/>
              <w:rPr>
                <w:sz w:val="1"/>
                <w:szCs w:val="1"/>
                <w:color w:val="auto"/>
              </w:rPr>
            </w:pPr>
          </w:p>
        </w:tc>
      </w:tr>
      <w:tr>
        <w:trPr>
          <w:trHeight w:val="182"/>
        </w:trPr>
        <w:tc>
          <w:tcPr>
            <w:tcW w:w="1780" w:type="dxa"/>
            <w:vAlign w:val="bottom"/>
          </w:tcPr>
          <w:p>
            <w:pPr>
              <w:ind w:left="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Higher Education</w:t>
            </w:r>
          </w:p>
        </w:tc>
        <w:tc>
          <w:tcPr>
            <w:tcW w:w="340" w:type="dxa"/>
            <w:vAlign w:val="bottom"/>
          </w:tcPr>
          <w:p>
            <w:pPr>
              <w:spacing w:after="0"/>
              <w:rPr>
                <w:sz w:val="15"/>
                <w:szCs w:val="15"/>
                <w:color w:val="auto"/>
              </w:rPr>
            </w:pPr>
          </w:p>
        </w:tc>
        <w:tc>
          <w:tcPr>
            <w:tcW w:w="1320" w:type="dxa"/>
            <w:vAlign w:val="bottom"/>
            <w:shd w:val="clear" w:color="auto" w:fill="EDEDED"/>
          </w:tcPr>
          <w:p>
            <w:pPr>
              <w:spacing w:after="0"/>
              <w:rPr>
                <w:sz w:val="15"/>
                <w:szCs w:val="15"/>
                <w:color w:val="auto"/>
              </w:rPr>
            </w:pPr>
          </w:p>
        </w:tc>
        <w:tc>
          <w:tcPr>
            <w:tcW w:w="1780" w:type="dxa"/>
            <w:vAlign w:val="bottom"/>
            <w:gridSpan w:val="3"/>
            <w:vMerge w:val="continue"/>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8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Search</w:t>
            </w:r>
          </w:p>
        </w:tc>
        <w:tc>
          <w:tcPr>
            <w:tcW w:w="340" w:type="dxa"/>
            <w:vAlign w:val="bottom"/>
          </w:tcPr>
          <w:p>
            <w:pPr>
              <w:spacing w:after="0"/>
              <w:rPr>
                <w:sz w:val="13"/>
                <w:szCs w:val="13"/>
                <w:color w:val="auto"/>
              </w:rPr>
            </w:pPr>
          </w:p>
        </w:tc>
        <w:tc>
          <w:tcPr>
            <w:tcW w:w="1320" w:type="dxa"/>
            <w:vAlign w:val="bottom"/>
            <w:shd w:val="clear" w:color="auto" w:fill="EDEDED"/>
          </w:tcPr>
          <w:p>
            <w:pPr>
              <w:spacing w:after="0"/>
              <w:rPr>
                <w:sz w:val="13"/>
                <w:szCs w:val="13"/>
                <w:color w:val="auto"/>
              </w:rPr>
            </w:pPr>
          </w:p>
        </w:tc>
        <w:tc>
          <w:tcPr>
            <w:tcW w:w="200" w:type="dxa"/>
            <w:vAlign w:val="bottom"/>
            <w:shd w:val="clear" w:color="auto" w:fill="EDEDED"/>
          </w:tcPr>
          <w:p>
            <w:pPr>
              <w:spacing w:after="0"/>
              <w:rPr>
                <w:sz w:val="13"/>
                <w:szCs w:val="13"/>
                <w:color w:val="auto"/>
              </w:rPr>
            </w:pPr>
          </w:p>
        </w:tc>
        <w:tc>
          <w:tcPr>
            <w:tcW w:w="80" w:type="dxa"/>
            <w:vAlign w:val="bottom"/>
            <w:shd w:val="clear" w:color="auto" w:fill="EDEDED"/>
          </w:tcPr>
          <w:p>
            <w:pPr>
              <w:spacing w:after="0"/>
              <w:rPr>
                <w:sz w:val="13"/>
                <w:szCs w:val="13"/>
                <w:color w:val="auto"/>
              </w:rPr>
            </w:pPr>
          </w:p>
        </w:tc>
        <w:tc>
          <w:tcPr>
            <w:tcW w:w="150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364"/>
        </w:trPr>
        <w:tc>
          <w:tcPr>
            <w:tcW w:w="1780" w:type="dxa"/>
            <w:vAlign w:val="bottom"/>
            <w:tcBorders>
              <w:bottom w:val="single" w:sz="8" w:color="7F7F7F"/>
            </w:tcBorders>
          </w:tcPr>
          <w:p>
            <w:pPr>
              <w:spacing w:after="0"/>
              <w:rPr>
                <w:sz w:val="24"/>
                <w:szCs w:val="24"/>
                <w:color w:val="auto"/>
              </w:rPr>
            </w:pPr>
          </w:p>
        </w:tc>
        <w:tc>
          <w:tcPr>
            <w:tcW w:w="340" w:type="dxa"/>
            <w:vAlign w:val="bottom"/>
            <w:tcBorders>
              <w:bottom w:val="single" w:sz="8" w:color="7F7F7F"/>
            </w:tcBorders>
          </w:tcPr>
          <w:p>
            <w:pPr>
              <w:spacing w:after="0"/>
              <w:rPr>
                <w:sz w:val="24"/>
                <w:szCs w:val="24"/>
                <w:color w:val="auto"/>
              </w:rPr>
            </w:pPr>
          </w:p>
        </w:tc>
        <w:tc>
          <w:tcPr>
            <w:tcW w:w="1320" w:type="dxa"/>
            <w:vAlign w:val="bottom"/>
            <w:tcBorders>
              <w:bottom w:val="single" w:sz="8" w:color="7F7F7F"/>
            </w:tcBorders>
          </w:tcPr>
          <w:p>
            <w:pPr>
              <w:spacing w:after="0"/>
              <w:rPr>
                <w:sz w:val="24"/>
                <w:szCs w:val="24"/>
                <w:color w:val="auto"/>
              </w:rPr>
            </w:pPr>
          </w:p>
        </w:tc>
        <w:tc>
          <w:tcPr>
            <w:tcW w:w="200" w:type="dxa"/>
            <w:vAlign w:val="bottom"/>
            <w:tcBorders>
              <w:bottom w:val="single" w:sz="8" w:color="7F7F7F"/>
            </w:tcBorders>
          </w:tcPr>
          <w:p>
            <w:pPr>
              <w:spacing w:after="0"/>
              <w:rPr>
                <w:sz w:val="24"/>
                <w:szCs w:val="24"/>
                <w:color w:val="auto"/>
              </w:rPr>
            </w:pPr>
          </w:p>
        </w:tc>
        <w:tc>
          <w:tcPr>
            <w:tcW w:w="1580" w:type="dxa"/>
            <w:vAlign w:val="bottom"/>
            <w:tcBorders>
              <w:bottom w:val="single" w:sz="8" w:color="7F7F7F"/>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780" w:type="dxa"/>
            <w:vAlign w:val="bottom"/>
            <w:vMerge w:val="restart"/>
          </w:tcPr>
          <w:p>
            <w:pPr>
              <w:ind w:left="20"/>
              <w:spacing w:after="0"/>
              <w:rPr>
                <w:sz w:val="20"/>
                <w:szCs w:val="20"/>
                <w:color w:val="auto"/>
              </w:rPr>
            </w:pPr>
            <w:r>
              <w:rPr>
                <w:rFonts w:ascii="Arial" w:cs="Arial" w:eastAsia="Arial" w:hAnsi="Arial"/>
                <w:sz w:val="23"/>
                <w:szCs w:val="23"/>
                <w:b w:val="1"/>
                <w:bCs w:val="1"/>
                <w:color w:val="0A9E50"/>
              </w:rPr>
              <w:t xml:space="preserve">Kelly </w:t>
            </w:r>
            <w:r>
              <w:rPr>
                <w:rFonts w:ascii="Arial" w:cs="Arial" w:eastAsia="Arial" w:hAnsi="Arial"/>
                <w:sz w:val="23"/>
                <w:szCs w:val="23"/>
                <w:b w:val="1"/>
                <w:bCs w:val="1"/>
                <w:color w:val="000000"/>
              </w:rPr>
              <w:t>OCG</w:t>
            </w:r>
          </w:p>
        </w:tc>
        <w:tc>
          <w:tcPr>
            <w:tcW w:w="340" w:type="dxa"/>
            <w:vAlign w:val="bottom"/>
            <w:vMerge w:val="restart"/>
          </w:tcPr>
          <w:p>
            <w:pPr>
              <w:ind w:left="80"/>
              <w:spacing w:after="0"/>
              <w:rPr>
                <w:sz w:val="20"/>
                <w:szCs w:val="20"/>
                <w:color w:val="auto"/>
              </w:rPr>
            </w:pPr>
            <w:r>
              <w:rPr>
                <w:rFonts w:ascii="Arial" w:cs="Arial" w:eastAsia="Arial" w:hAnsi="Arial"/>
                <w:sz w:val="21"/>
                <w:szCs w:val="21"/>
                <w:color w:val="auto"/>
              </w:rPr>
              <w:t> </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5"/>
                <w:szCs w:val="5"/>
                <w:color w:val="auto"/>
              </w:rPr>
              <w:t> </w:t>
            </w:r>
          </w:p>
        </w:tc>
        <w:tc>
          <w:tcPr>
            <w:tcW w:w="0" w:type="dxa"/>
            <w:vAlign w:val="bottom"/>
          </w:tcPr>
          <w:p>
            <w:pPr>
              <w:spacing w:after="0"/>
              <w:rPr>
                <w:sz w:val="1"/>
                <w:szCs w:val="1"/>
                <w:color w:val="auto"/>
              </w:rPr>
            </w:pPr>
          </w:p>
        </w:tc>
      </w:tr>
      <w:tr>
        <w:trPr>
          <w:trHeight w:val="228"/>
        </w:trPr>
        <w:tc>
          <w:tcPr>
            <w:tcW w:w="178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320" w:type="dxa"/>
            <w:vAlign w:val="bottom"/>
            <w:vMerge w:val="restart"/>
          </w:tcPr>
          <w:p>
            <w:pPr>
              <w:jc w:val="center"/>
              <w:ind w:left="162"/>
              <w:spacing w:after="0"/>
              <w:rPr>
                <w:sz w:val="20"/>
                <w:szCs w:val="20"/>
                <w:color w:val="auto"/>
              </w:rPr>
            </w:pPr>
            <w:r>
              <w:rPr>
                <w:rFonts w:ascii="Arial" w:cs="Arial" w:eastAsia="Arial" w:hAnsi="Arial"/>
                <w:sz w:val="26"/>
                <w:szCs w:val="26"/>
                <w:b w:val="1"/>
                <w:bCs w:val="1"/>
                <w:color w:val="0A9E50"/>
              </w:rPr>
              <w:t>$0.5B</w:t>
            </w:r>
          </w:p>
        </w:tc>
        <w:tc>
          <w:tcPr>
            <w:tcW w:w="1780" w:type="dxa"/>
            <w:vAlign w:val="bottom"/>
            <w:gridSpan w:val="3"/>
            <w:vMerge w:val="restart"/>
          </w:tcPr>
          <w:p>
            <w:pPr>
              <w:ind w:left="680"/>
              <w:spacing w:after="0"/>
              <w:rPr>
                <w:sz w:val="20"/>
                <w:szCs w:val="20"/>
                <w:color w:val="auto"/>
              </w:rPr>
            </w:pPr>
            <w:r>
              <w:rPr>
                <w:rFonts w:ascii="Arial" w:cs="Arial" w:eastAsia="Arial" w:hAnsi="Arial"/>
                <w:sz w:val="26"/>
                <w:szCs w:val="26"/>
                <w:b w:val="1"/>
                <w:bCs w:val="1"/>
                <w:color w:val="0A9E50"/>
              </w:rPr>
              <w:t>36.0%</w:t>
            </w:r>
          </w:p>
        </w:tc>
        <w:tc>
          <w:tcPr>
            <w:tcW w:w="0" w:type="dxa"/>
            <w:vAlign w:val="bottom"/>
          </w:tcPr>
          <w:p>
            <w:pPr>
              <w:spacing w:after="0"/>
              <w:rPr>
                <w:sz w:val="1"/>
                <w:szCs w:val="1"/>
                <w:color w:val="auto"/>
              </w:rPr>
            </w:pPr>
          </w:p>
        </w:tc>
      </w:tr>
      <w:tr>
        <w:trPr>
          <w:trHeight w:val="84"/>
        </w:trPr>
        <w:tc>
          <w:tcPr>
            <w:tcW w:w="1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Specialties</w:t>
            </w:r>
          </w:p>
        </w:tc>
        <w:tc>
          <w:tcPr>
            <w:tcW w:w="34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17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jc w:val="center"/>
              <w:ind w:left="162"/>
              <w:spacing w:after="0" w:line="156" w:lineRule="exact"/>
              <w:rPr>
                <w:sz w:val="20"/>
                <w:szCs w:val="20"/>
                <w:color w:val="auto"/>
              </w:rPr>
            </w:pPr>
            <w:r>
              <w:rPr>
                <w:rFonts w:ascii="Arial" w:cs="Arial" w:eastAsia="Arial" w:hAnsi="Arial"/>
                <w:sz w:val="13"/>
                <w:szCs w:val="13"/>
                <w:b w:val="1"/>
                <w:bCs w:val="1"/>
                <w:color w:val="auto"/>
              </w:rPr>
              <w:t>Revenue</w:t>
            </w:r>
            <w:r>
              <w:rPr>
                <w:rFonts w:ascii="Arial" w:cs="Arial" w:eastAsia="Arial" w:hAnsi="Arial"/>
                <w:sz w:val="18"/>
                <w:szCs w:val="18"/>
                <w:b w:val="1"/>
                <w:bCs w:val="1"/>
                <w:color w:val="auto"/>
                <w:vertAlign w:val="superscript"/>
              </w:rPr>
              <w:t>(1)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ind w:left="380"/>
              <w:spacing w:after="0" w:line="156" w:lineRule="exact"/>
              <w:rPr>
                <w:sz w:val="20"/>
                <w:szCs w:val="20"/>
                <w:color w:val="auto"/>
              </w:rPr>
            </w:pPr>
            <w:r>
              <w:rPr>
                <w:rFonts w:ascii="Arial" w:cs="Arial" w:eastAsia="Arial" w:hAnsi="Arial"/>
                <w:sz w:val="13"/>
                <w:szCs w:val="13"/>
                <w:b w:val="1"/>
                <w:bCs w:val="1"/>
                <w:color w:val="auto"/>
              </w:rPr>
              <w:t>GP Rate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-336550</wp:posOffset>
            </wp:positionV>
            <wp:extent cx="1957705" cy="4876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57705" cy="487680"/>
                    </a:xfrm>
                    <a:prstGeom prst="rect">
                      <a:avLst/>
                    </a:prstGeom>
                    <a:noFill/>
                  </pic:spPr>
                </pic:pic>
              </a:graphicData>
            </a:graphic>
          </wp:anchor>
        </w:drawing>
        <w:drawing>
          <wp:anchor simplePos="0" relativeHeight="251657728" behindDoc="1" locked="0" layoutInCell="0" allowOverlap="1">
            <wp:simplePos x="0" y="0"/>
            <wp:positionH relativeFrom="column">
              <wp:posOffset>1764665</wp:posOffset>
            </wp:positionH>
            <wp:positionV relativeFrom="paragraph">
              <wp:posOffset>-2806700</wp:posOffset>
            </wp:positionV>
            <wp:extent cx="148590" cy="2063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8590" cy="20637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-1179195</wp:posOffset>
            </wp:positionV>
            <wp:extent cx="148590" cy="2063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8590" cy="206375"/>
                    </a:xfrm>
                    <a:prstGeom prst="rect">
                      <a:avLst/>
                    </a:prstGeom>
                    <a:noFill/>
                  </pic:spPr>
                </pic:pic>
              </a:graphicData>
            </a:graphic>
          </wp:anchor>
        </w:drawing>
      </w:r>
    </w:p>
    <w:p>
      <w:pPr>
        <w:ind w:left="20"/>
        <w:spacing w:after="0" w:line="180" w:lineRule="auto"/>
        <w:rPr>
          <w:sz w:val="20"/>
          <w:szCs w:val="20"/>
          <w:color w:val="auto"/>
        </w:rPr>
      </w:pPr>
      <w:r>
        <w:rPr>
          <w:rFonts w:ascii="Times New Roman" w:cs="Times New Roman" w:eastAsia="Times New Roman" w:hAnsi="Times New Roman"/>
          <w:sz w:val="11"/>
          <w:szCs w:val="11"/>
          <w:color w:val="0A9E50"/>
        </w:rPr>
        <w:t>●</w:t>
      </w:r>
      <w:r>
        <w:rPr>
          <w:rFonts w:ascii="Arial" w:cs="Arial" w:eastAsia="Arial" w:hAnsi="Arial"/>
          <w:sz w:val="14"/>
          <w:szCs w:val="14"/>
          <w:color w:val="000000"/>
        </w:rPr>
        <w:t xml:space="preserve">  MSP</w:t>
      </w:r>
      <w:r>
        <w:rPr>
          <w:rFonts w:ascii="Arial" w:cs="Arial" w:eastAsia="Arial" w:hAnsi="Arial"/>
          <w:sz w:val="21"/>
          <w:szCs w:val="21"/>
          <w:color w:val="000000"/>
          <w:vertAlign w:val="superscript"/>
        </w:rPr>
        <w:t>(2)</w:t>
      </w:r>
    </w:p>
    <w:p>
      <w:pPr>
        <w:ind w:left="20"/>
        <w:spacing w:after="0" w:line="180" w:lineRule="auto"/>
        <w:rPr>
          <w:sz w:val="20"/>
          <w:szCs w:val="20"/>
          <w:color w:val="auto"/>
        </w:rPr>
      </w:pPr>
      <w:r>
        <w:rPr>
          <w:rFonts w:ascii="Times New Roman" w:cs="Times New Roman" w:eastAsia="Times New Roman" w:hAnsi="Times New Roman"/>
          <w:sz w:val="11"/>
          <w:szCs w:val="11"/>
          <w:color w:val="0A9E50"/>
        </w:rPr>
        <w:t>●</w:t>
      </w:r>
      <w:r>
        <w:rPr>
          <w:rFonts w:ascii="Arial" w:cs="Arial" w:eastAsia="Arial" w:hAnsi="Arial"/>
          <w:sz w:val="14"/>
          <w:szCs w:val="14"/>
          <w:color w:val="000000"/>
        </w:rPr>
        <w:t xml:space="preserve">  RPO</w:t>
      </w:r>
      <w:r>
        <w:rPr>
          <w:rFonts w:ascii="Arial" w:cs="Arial" w:eastAsia="Arial" w:hAnsi="Arial"/>
          <w:sz w:val="21"/>
          <w:szCs w:val="21"/>
          <w:color w:val="000000"/>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-39370</wp:posOffset>
            </wp:positionV>
            <wp:extent cx="1957705" cy="4794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57705" cy="479425"/>
                    </a:xfrm>
                    <a:prstGeom prst="rect">
                      <a:avLst/>
                    </a:prstGeom>
                    <a:noFill/>
                  </pic:spPr>
                </pic:pic>
              </a:graphicData>
            </a:graphic>
          </wp:anchor>
        </w:drawing>
      </w:r>
    </w:p>
    <w:p>
      <w:pPr>
        <w:ind w:left="20"/>
        <w:spacing w:after="0" w:line="231"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PPO</w:t>
      </w:r>
      <w:r>
        <w:rPr>
          <w:rFonts w:ascii="Arial" w:cs="Arial" w:eastAsia="Arial" w:hAnsi="Arial"/>
          <w:sz w:val="23"/>
          <w:szCs w:val="23"/>
          <w:color w:val="000000"/>
          <w:vertAlign w:val="superscript"/>
        </w:rPr>
        <w:t>(2)</w:t>
      </w:r>
    </w:p>
    <w:p>
      <w:pPr>
        <w:spacing w:after="0" w:line="1" w:lineRule="exact"/>
        <w:rPr>
          <w:sz w:val="20"/>
          <w:szCs w:val="20"/>
          <w:color w:val="auto"/>
        </w:rPr>
      </w:pPr>
    </w:p>
    <w:p>
      <w:pPr>
        <w:ind w:left="3400"/>
        <w:spacing w:after="0"/>
        <w:rPr>
          <w:sz w:val="20"/>
          <w:szCs w:val="20"/>
          <w:color w:val="auto"/>
        </w:rPr>
      </w:pPr>
      <w:r>
        <w:rPr>
          <w:rFonts w:ascii="Arial" w:cs="Arial" w:eastAsia="Arial" w:hAnsi="Arial"/>
          <w:sz w:val="21"/>
          <w:szCs w:val="21"/>
          <w:b w:val="1"/>
          <w:bCs w:val="1"/>
          <w:color w:val="0A9E50"/>
        </w:rPr>
        <w:t xml:space="preserve">   Global</w:t>
      </w:r>
    </w:p>
    <w:p>
      <w:pPr>
        <w:spacing w:after="0" w:line="200" w:lineRule="exact"/>
        <w:rPr>
          <w:sz w:val="20"/>
          <w:szCs w:val="20"/>
          <w:color w:val="auto"/>
        </w:rPr>
      </w:pPr>
    </w:p>
    <w:p>
      <w:pPr>
        <w:sectPr>
          <w:pgSz w:w="11900" w:h="16838" w:orient="portrait"/>
          <w:cols w:equalWidth="0" w:num="2">
            <w:col w:w="5104" w:space="300"/>
            <w:col w:w="5220"/>
          </w:cols>
          <w:pgMar w:left="636" w:top="296"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
        <w:spacing w:after="0"/>
        <w:tabs>
          <w:tab w:leader="none" w:pos="563" w:val="left"/>
        </w:tabs>
        <w:rPr>
          <w:sz w:val="20"/>
          <w:szCs w:val="20"/>
          <w:color w:val="auto"/>
        </w:rPr>
      </w:pPr>
      <w:r>
        <w:rPr>
          <w:rFonts w:ascii="Arial" w:cs="Arial" w:eastAsia="Arial" w:hAnsi="Arial"/>
          <w:sz w:val="19"/>
          <w:szCs w:val="19"/>
          <w:color w:val="auto"/>
          <w:vertAlign w:val="superscript"/>
        </w:rPr>
        <w:t>10 </w:t>
      </w:r>
      <w:r>
        <w:rPr>
          <w:sz w:val="20"/>
          <w:szCs w:val="20"/>
          <w:color w:val="auto"/>
        </w:rPr>
        <w:tab/>
      </w:r>
      <w:r>
        <w:rPr>
          <w:rFonts w:ascii="Arial" w:cs="Arial" w:eastAsia="Arial" w:hAnsi="Arial"/>
          <w:sz w:val="13"/>
          <w:szCs w:val="13"/>
          <w:color w:val="auto"/>
        </w:rPr>
        <w:t xml:space="preserve">    </w:t>
      </w:r>
      <w:r>
        <w:rPr>
          <w:sz w:val="1"/>
          <w:szCs w:val="1"/>
          <w:color w:val="auto"/>
        </w:rPr>
        <w:drawing>
          <wp:inline distT="0" distB="0" distL="0" distR="0">
            <wp:extent cx="396240" cy="18986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-198120</wp:posOffset>
            </wp:positionV>
            <wp:extent cx="8255"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Proxy Summary</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Select Awards and Recognitions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We’re the best company for business and talent to work with. We’ve been recognized around the world and across the spectrum for 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154940</wp:posOffset>
            </wp:positionV>
            <wp:extent cx="6674485" cy="47828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74485" cy="4782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240" w:type="dxa"/>
            <w:vAlign w:val="bottom"/>
          </w:tcPr>
          <w:p>
            <w:pPr>
              <w:jc w:val="center"/>
              <w:ind w:right="151"/>
              <w:spacing w:after="0"/>
              <w:rPr>
                <w:sz w:val="20"/>
                <w:szCs w:val="20"/>
                <w:color w:val="auto"/>
              </w:rPr>
            </w:pPr>
            <w:r>
              <w:rPr>
                <w:rFonts w:ascii="Arial" w:cs="Arial" w:eastAsia="Arial" w:hAnsi="Arial"/>
                <w:sz w:val="14"/>
                <w:szCs w:val="14"/>
                <w:b w:val="1"/>
                <w:bCs w:val="1"/>
                <w:color w:val="auto"/>
                <w:w w:val="98"/>
              </w:rPr>
              <w:t>Kelly Earns 2024 Military Friendly</w:t>
            </w:r>
            <w:r>
              <w:rPr>
                <w:rFonts w:ascii="Arial" w:cs="Arial" w:eastAsia="Arial" w:hAnsi="Arial"/>
                <w:sz w:val="20"/>
                <w:szCs w:val="20"/>
                <w:b w:val="1"/>
                <w:bCs w:val="1"/>
                <w:color w:val="auto"/>
                <w:w w:val="98"/>
                <w:vertAlign w:val="superscript"/>
              </w:rPr>
              <w:t>®</w:t>
            </w:r>
            <w:r>
              <w:rPr>
                <w:rFonts w:ascii="Arial" w:cs="Arial" w:eastAsia="Arial" w:hAnsi="Arial"/>
                <w:sz w:val="14"/>
                <w:szCs w:val="14"/>
                <w:b w:val="1"/>
                <w:bCs w:val="1"/>
                <w:color w:val="auto"/>
                <w:w w:val="98"/>
              </w:rPr>
              <w:t xml:space="preserve"> Spouse</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8"/>
              </w:rPr>
              <w:t>Kelly Receives Excellence in Supplier Diversity</w:t>
            </w:r>
          </w:p>
        </w:tc>
        <w:tc>
          <w:tcPr>
            <w:tcW w:w="3380" w:type="dxa"/>
            <w:vAlign w:val="bottom"/>
          </w:tcPr>
          <w:p>
            <w:pPr>
              <w:jc w:val="center"/>
              <w:ind w:left="91"/>
              <w:spacing w:after="0"/>
              <w:rPr>
                <w:sz w:val="20"/>
                <w:szCs w:val="20"/>
                <w:color w:val="auto"/>
              </w:rPr>
            </w:pPr>
            <w:r>
              <w:rPr>
                <w:rFonts w:ascii="Arial" w:cs="Arial" w:eastAsia="Arial" w:hAnsi="Arial"/>
                <w:sz w:val="14"/>
                <w:szCs w:val="14"/>
                <w:b w:val="1"/>
                <w:bCs w:val="1"/>
                <w:color w:val="auto"/>
                <w:w w:val="98"/>
              </w:rPr>
              <w:t>Kelly Named a Top 100 Company for Hybrid</w:t>
            </w:r>
          </w:p>
        </w:tc>
        <w:tc>
          <w:tcPr>
            <w:tcW w:w="0" w:type="dxa"/>
            <w:vAlign w:val="bottom"/>
          </w:tcPr>
          <w:p>
            <w:pPr>
              <w:spacing w:after="0"/>
              <w:rPr>
                <w:sz w:val="1"/>
                <w:szCs w:val="1"/>
                <w:color w:val="auto"/>
              </w:rPr>
            </w:pPr>
          </w:p>
        </w:tc>
      </w:tr>
      <w:tr>
        <w:trPr>
          <w:trHeight w:val="156"/>
        </w:trPr>
        <w:tc>
          <w:tcPr>
            <w:tcW w:w="3240" w:type="dxa"/>
            <w:vAlign w:val="bottom"/>
          </w:tcPr>
          <w:p>
            <w:pPr>
              <w:jc w:val="center"/>
              <w:ind w:right="151"/>
              <w:spacing w:after="0" w:line="156" w:lineRule="exact"/>
              <w:rPr>
                <w:sz w:val="20"/>
                <w:szCs w:val="20"/>
                <w:color w:val="auto"/>
              </w:rPr>
            </w:pPr>
            <w:r>
              <w:rPr>
                <w:rFonts w:ascii="Arial" w:cs="Arial" w:eastAsia="Arial" w:hAnsi="Arial"/>
                <w:sz w:val="14"/>
                <w:szCs w:val="14"/>
                <w:b w:val="1"/>
                <w:bCs w:val="1"/>
                <w:color w:val="auto"/>
                <w:w w:val="98"/>
              </w:rPr>
              <w:t>Employer Designation</w:t>
            </w:r>
          </w:p>
        </w:tc>
        <w:tc>
          <w:tcPr>
            <w:tcW w:w="35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8"/>
              </w:rPr>
              <w:t>Award from Great Lakes Women’s Business</w:t>
            </w:r>
          </w:p>
        </w:tc>
        <w:tc>
          <w:tcPr>
            <w:tcW w:w="3380" w:type="dxa"/>
            <w:vAlign w:val="bottom"/>
          </w:tcPr>
          <w:p>
            <w:pPr>
              <w:jc w:val="center"/>
              <w:ind w:left="71"/>
              <w:spacing w:after="0" w:line="156" w:lineRule="exact"/>
              <w:rPr>
                <w:sz w:val="20"/>
                <w:szCs w:val="20"/>
                <w:color w:val="auto"/>
              </w:rPr>
            </w:pPr>
            <w:r>
              <w:rPr>
                <w:rFonts w:ascii="Arial" w:cs="Arial" w:eastAsia="Arial" w:hAnsi="Arial"/>
                <w:sz w:val="14"/>
                <w:szCs w:val="14"/>
                <w:b w:val="1"/>
                <w:bCs w:val="1"/>
                <w:color w:val="auto"/>
                <w:w w:val="98"/>
              </w:rPr>
              <w:t>Jobs by FlexJobs</w:t>
            </w:r>
          </w:p>
        </w:tc>
        <w:tc>
          <w:tcPr>
            <w:tcW w:w="0" w:type="dxa"/>
            <w:vAlign w:val="bottom"/>
          </w:tcPr>
          <w:p>
            <w:pPr>
              <w:spacing w:after="0"/>
              <w:rPr>
                <w:sz w:val="1"/>
                <w:szCs w:val="1"/>
                <w:color w:val="auto"/>
              </w:rPr>
            </w:pPr>
          </w:p>
        </w:tc>
      </w:tr>
      <w:tr>
        <w:trPr>
          <w:trHeight w:val="192"/>
        </w:trPr>
        <w:tc>
          <w:tcPr>
            <w:tcW w:w="3240" w:type="dxa"/>
            <w:vAlign w:val="bottom"/>
            <w:vMerge w:val="restart"/>
          </w:tcPr>
          <w:p>
            <w:pPr>
              <w:jc w:val="center"/>
              <w:ind w:right="131"/>
              <w:spacing w:after="0"/>
              <w:rPr>
                <w:sz w:val="20"/>
                <w:szCs w:val="20"/>
                <w:color w:val="auto"/>
              </w:rPr>
            </w:pPr>
            <w:r>
              <w:rPr>
                <w:rFonts w:ascii="Arial" w:cs="Arial" w:eastAsia="Arial" w:hAnsi="Arial"/>
                <w:sz w:val="14"/>
                <w:szCs w:val="14"/>
                <w:color w:val="auto"/>
                <w:w w:val="98"/>
              </w:rPr>
              <w:t>This marks the eighth year of recognition of the</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7"/>
              </w:rPr>
              <w:t>Council</w:t>
            </w:r>
          </w:p>
        </w:tc>
        <w:tc>
          <w:tcPr>
            <w:tcW w:w="3380" w:type="dxa"/>
            <w:vAlign w:val="bottom"/>
            <w:vMerge w:val="restart"/>
          </w:tcPr>
          <w:p>
            <w:pPr>
              <w:jc w:val="center"/>
              <w:ind w:left="71"/>
              <w:spacing w:after="0"/>
              <w:rPr>
                <w:sz w:val="20"/>
                <w:szCs w:val="20"/>
                <w:color w:val="auto"/>
              </w:rPr>
            </w:pPr>
            <w:r>
              <w:rPr>
                <w:rFonts w:ascii="Arial" w:cs="Arial" w:eastAsia="Arial" w:hAnsi="Arial"/>
                <w:sz w:val="14"/>
                <w:szCs w:val="14"/>
                <w:color w:val="auto"/>
                <w:w w:val="99"/>
              </w:rPr>
              <w:t>Based on an analysis of approximately 58,000</w:t>
            </w:r>
          </w:p>
        </w:tc>
        <w:tc>
          <w:tcPr>
            <w:tcW w:w="0" w:type="dxa"/>
            <w:vAlign w:val="bottom"/>
          </w:tcPr>
          <w:p>
            <w:pPr>
              <w:spacing w:after="0"/>
              <w:rPr>
                <w:sz w:val="1"/>
                <w:szCs w:val="1"/>
                <w:color w:val="auto"/>
              </w:rPr>
            </w:pPr>
          </w:p>
        </w:tc>
      </w:tr>
      <w:tr>
        <w:trPr>
          <w:trHeight w:val="82"/>
        </w:trPr>
        <w:tc>
          <w:tcPr>
            <w:tcW w:w="324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3240" w:type="dxa"/>
            <w:vAlign w:val="bottom"/>
          </w:tcPr>
          <w:p>
            <w:pPr>
              <w:jc w:val="center"/>
              <w:ind w:right="131"/>
              <w:spacing w:after="0" w:line="156" w:lineRule="exact"/>
              <w:rPr>
                <w:sz w:val="20"/>
                <w:szCs w:val="20"/>
                <w:color w:val="auto"/>
              </w:rPr>
            </w:pPr>
            <w:r>
              <w:rPr>
                <w:rFonts w:ascii="Arial" w:cs="Arial" w:eastAsia="Arial" w:hAnsi="Arial"/>
                <w:sz w:val="14"/>
                <w:szCs w:val="14"/>
                <w:color w:val="auto"/>
                <w:w w:val="98"/>
              </w:rPr>
              <w:t>workforce solutions provider for its commitment to</w:t>
            </w:r>
          </w:p>
        </w:tc>
        <w:tc>
          <w:tcPr>
            <w:tcW w:w="3500" w:type="dxa"/>
            <w:vAlign w:val="bottom"/>
          </w:tcPr>
          <w:p>
            <w:pPr>
              <w:jc w:val="center"/>
              <w:spacing w:after="0" w:line="156" w:lineRule="exact"/>
              <w:rPr>
                <w:sz w:val="20"/>
                <w:szCs w:val="20"/>
                <w:color w:val="auto"/>
              </w:rPr>
            </w:pPr>
            <w:r>
              <w:rPr>
                <w:rFonts w:ascii="Arial" w:cs="Arial" w:eastAsia="Arial" w:hAnsi="Arial"/>
                <w:sz w:val="14"/>
                <w:szCs w:val="14"/>
                <w:color w:val="auto"/>
                <w:w w:val="99"/>
              </w:rPr>
              <w:t>The award honors corporate members that have</w:t>
            </w:r>
          </w:p>
        </w:tc>
        <w:tc>
          <w:tcPr>
            <w:tcW w:w="3380" w:type="dxa"/>
            <w:vAlign w:val="bottom"/>
          </w:tcPr>
          <w:p>
            <w:pPr>
              <w:jc w:val="center"/>
              <w:ind w:left="71"/>
              <w:spacing w:after="0" w:line="156" w:lineRule="exact"/>
              <w:rPr>
                <w:sz w:val="20"/>
                <w:szCs w:val="20"/>
                <w:color w:val="auto"/>
              </w:rPr>
            </w:pPr>
            <w:r>
              <w:rPr>
                <w:rFonts w:ascii="Arial" w:cs="Arial" w:eastAsia="Arial" w:hAnsi="Arial"/>
                <w:sz w:val="14"/>
                <w:szCs w:val="14"/>
                <w:color w:val="auto"/>
                <w:w w:val="99"/>
              </w:rPr>
              <w:t>companies and their hybrid job posting histories in</w:t>
            </w:r>
          </w:p>
        </w:tc>
        <w:tc>
          <w:tcPr>
            <w:tcW w:w="0" w:type="dxa"/>
            <w:vAlign w:val="bottom"/>
          </w:tcPr>
          <w:p>
            <w:pPr>
              <w:spacing w:after="0"/>
              <w:rPr>
                <w:sz w:val="1"/>
                <w:szCs w:val="1"/>
                <w:color w:val="auto"/>
              </w:rPr>
            </w:pPr>
          </w:p>
        </w:tc>
      </w:tr>
      <w:tr>
        <w:trPr>
          <w:trHeight w:val="156"/>
        </w:trPr>
        <w:tc>
          <w:tcPr>
            <w:tcW w:w="3240" w:type="dxa"/>
            <w:vAlign w:val="bottom"/>
          </w:tcPr>
          <w:p>
            <w:pPr>
              <w:jc w:val="center"/>
              <w:ind w:right="131"/>
              <w:spacing w:after="0" w:line="156" w:lineRule="exact"/>
              <w:rPr>
                <w:sz w:val="20"/>
                <w:szCs w:val="20"/>
                <w:color w:val="auto"/>
              </w:rPr>
            </w:pPr>
            <w:r>
              <w:rPr>
                <w:rFonts w:ascii="Arial" w:cs="Arial" w:eastAsia="Arial" w:hAnsi="Arial"/>
                <w:sz w:val="14"/>
                <w:szCs w:val="14"/>
                <w:color w:val="auto"/>
                <w:w w:val="98"/>
              </w:rPr>
              <w:t>connecting veterans and their spouses to work in</w:t>
            </w:r>
          </w:p>
        </w:tc>
        <w:tc>
          <w:tcPr>
            <w:tcW w:w="3500" w:type="dxa"/>
            <w:vAlign w:val="bottom"/>
          </w:tcPr>
          <w:p>
            <w:pPr>
              <w:jc w:val="center"/>
              <w:spacing w:after="0" w:line="156" w:lineRule="exact"/>
              <w:rPr>
                <w:sz w:val="20"/>
                <w:szCs w:val="20"/>
                <w:color w:val="auto"/>
              </w:rPr>
            </w:pPr>
            <w:r>
              <w:rPr>
                <w:rFonts w:ascii="Arial" w:cs="Arial" w:eastAsia="Arial" w:hAnsi="Arial"/>
                <w:sz w:val="14"/>
                <w:szCs w:val="14"/>
                <w:color w:val="auto"/>
                <w:w w:val="99"/>
              </w:rPr>
              <w:t>successfully integrated supplier diversity and have</w:t>
            </w:r>
          </w:p>
        </w:tc>
        <w:tc>
          <w:tcPr>
            <w:tcW w:w="3380" w:type="dxa"/>
            <w:vAlign w:val="bottom"/>
          </w:tcPr>
          <w:p>
            <w:pPr>
              <w:jc w:val="center"/>
              <w:ind w:left="91"/>
              <w:spacing w:after="0" w:line="156" w:lineRule="exact"/>
              <w:rPr>
                <w:sz w:val="20"/>
                <w:szCs w:val="20"/>
                <w:color w:val="auto"/>
              </w:rPr>
            </w:pPr>
            <w:r>
              <w:rPr>
                <w:rFonts w:ascii="Arial" w:cs="Arial" w:eastAsia="Arial" w:hAnsi="Arial"/>
                <w:sz w:val="14"/>
                <w:szCs w:val="14"/>
                <w:color w:val="auto"/>
                <w:w w:val="99"/>
              </w:rPr>
              <w:t>the FlexJobs database between September 1, 2022,</w:t>
            </w:r>
          </w:p>
        </w:tc>
        <w:tc>
          <w:tcPr>
            <w:tcW w:w="0" w:type="dxa"/>
            <w:vAlign w:val="bottom"/>
          </w:tcPr>
          <w:p>
            <w:pPr>
              <w:spacing w:after="0"/>
              <w:rPr>
                <w:sz w:val="1"/>
                <w:szCs w:val="1"/>
                <w:color w:val="auto"/>
              </w:rPr>
            </w:pPr>
          </w:p>
        </w:tc>
      </w:tr>
      <w:tr>
        <w:trPr>
          <w:trHeight w:val="156"/>
        </w:trPr>
        <w:tc>
          <w:tcPr>
            <w:tcW w:w="3240" w:type="dxa"/>
            <w:vAlign w:val="bottom"/>
          </w:tcPr>
          <w:p>
            <w:pPr>
              <w:jc w:val="center"/>
              <w:ind w:right="151"/>
              <w:spacing w:after="0" w:line="156" w:lineRule="exact"/>
              <w:rPr>
                <w:sz w:val="20"/>
                <w:szCs w:val="20"/>
                <w:color w:val="auto"/>
              </w:rPr>
            </w:pPr>
            <w:r>
              <w:rPr>
                <w:rFonts w:ascii="Arial" w:cs="Arial" w:eastAsia="Arial" w:hAnsi="Arial"/>
                <w:sz w:val="14"/>
                <w:szCs w:val="14"/>
                <w:color w:val="auto"/>
                <w:w w:val="98"/>
              </w:rPr>
              <w:t>ways that enrich their lives.</w:t>
            </w:r>
          </w:p>
        </w:tc>
        <w:tc>
          <w:tcPr>
            <w:tcW w:w="3500" w:type="dxa"/>
            <w:vAlign w:val="bottom"/>
          </w:tcPr>
          <w:p>
            <w:pPr>
              <w:jc w:val="center"/>
              <w:spacing w:after="0" w:line="156" w:lineRule="exact"/>
              <w:rPr>
                <w:sz w:val="20"/>
                <w:szCs w:val="20"/>
                <w:color w:val="auto"/>
              </w:rPr>
            </w:pPr>
            <w:r>
              <w:rPr>
                <w:rFonts w:ascii="Arial" w:cs="Arial" w:eastAsia="Arial" w:hAnsi="Arial"/>
                <w:sz w:val="14"/>
                <w:szCs w:val="14"/>
                <w:color w:val="auto"/>
                <w:w w:val="98"/>
              </w:rPr>
              <w:t>meaningful results in certified Women Business</w:t>
            </w:r>
          </w:p>
        </w:tc>
        <w:tc>
          <w:tcPr>
            <w:tcW w:w="3380" w:type="dxa"/>
            <w:vAlign w:val="bottom"/>
          </w:tcPr>
          <w:p>
            <w:pPr>
              <w:jc w:val="center"/>
              <w:ind w:left="71"/>
              <w:spacing w:after="0" w:line="156" w:lineRule="exact"/>
              <w:rPr>
                <w:sz w:val="20"/>
                <w:szCs w:val="20"/>
                <w:color w:val="auto"/>
              </w:rPr>
            </w:pPr>
            <w:r>
              <w:rPr>
                <w:rFonts w:ascii="Arial" w:cs="Arial" w:eastAsia="Arial" w:hAnsi="Arial"/>
                <w:sz w:val="14"/>
                <w:szCs w:val="14"/>
                <w:color w:val="auto"/>
                <w:w w:val="99"/>
              </w:rPr>
              <w:t>and August 31, 2023.</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5"/>
                <w:szCs w:val="15"/>
                <w:color w:val="auto"/>
              </w:rPr>
            </w:pPr>
          </w:p>
        </w:tc>
        <w:tc>
          <w:tcPr>
            <w:tcW w:w="3500" w:type="dxa"/>
            <w:vAlign w:val="bottom"/>
          </w:tcPr>
          <w:p>
            <w:pPr>
              <w:jc w:val="center"/>
              <w:spacing w:after="0"/>
              <w:rPr>
                <w:sz w:val="20"/>
                <w:szCs w:val="20"/>
                <w:color w:val="auto"/>
              </w:rPr>
            </w:pPr>
            <w:r>
              <w:rPr>
                <w:rFonts w:ascii="Arial" w:cs="Arial" w:eastAsia="Arial" w:hAnsi="Arial"/>
                <w:sz w:val="14"/>
                <w:szCs w:val="14"/>
                <w:color w:val="auto"/>
                <w:w w:val="99"/>
              </w:rPr>
              <w:t>Enterprise (WBE) spend.</w:t>
            </w: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260" w:type="dxa"/>
            <w:vAlign w:val="bottom"/>
          </w:tcPr>
          <w:p>
            <w:pPr>
              <w:jc w:val="center"/>
              <w:ind w:right="71"/>
              <w:spacing w:after="0"/>
              <w:rPr>
                <w:sz w:val="20"/>
                <w:szCs w:val="20"/>
                <w:color w:val="auto"/>
              </w:rPr>
            </w:pPr>
            <w:r>
              <w:rPr>
                <w:rFonts w:ascii="Arial" w:cs="Arial" w:eastAsia="Arial" w:hAnsi="Arial"/>
                <w:sz w:val="14"/>
                <w:szCs w:val="14"/>
                <w:b w:val="1"/>
                <w:bCs w:val="1"/>
                <w:color w:val="auto"/>
                <w:w w:val="98"/>
              </w:rPr>
              <w:t>Kelly Named One of the World’s Best</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8"/>
              </w:rPr>
              <w:t>Kelly Named a 2023 MMSDC ACE Award Recipient</w:t>
            </w:r>
          </w:p>
        </w:tc>
        <w:tc>
          <w:tcPr>
            <w:tcW w:w="3260" w:type="dxa"/>
            <w:vAlign w:val="bottom"/>
          </w:tcPr>
          <w:p>
            <w:pPr>
              <w:jc w:val="center"/>
              <w:ind w:left="91"/>
              <w:spacing w:after="0"/>
              <w:rPr>
                <w:sz w:val="20"/>
                <w:szCs w:val="20"/>
                <w:color w:val="auto"/>
              </w:rPr>
            </w:pPr>
            <w:r>
              <w:rPr>
                <w:rFonts w:ascii="Arial" w:cs="Arial" w:eastAsia="Arial" w:hAnsi="Arial"/>
                <w:sz w:val="14"/>
                <w:szCs w:val="14"/>
                <w:b w:val="1"/>
                <w:bCs w:val="1"/>
                <w:color w:val="auto"/>
                <w:w w:val="98"/>
              </w:rPr>
              <w:t>KellyOCG Named to HRO Today’s EMEA RPO</w:t>
            </w:r>
          </w:p>
        </w:tc>
      </w:tr>
      <w:tr>
        <w:trPr>
          <w:trHeight w:val="192"/>
        </w:trPr>
        <w:tc>
          <w:tcPr>
            <w:tcW w:w="3260" w:type="dxa"/>
            <w:vAlign w:val="bottom"/>
          </w:tcPr>
          <w:p>
            <w:pPr>
              <w:jc w:val="center"/>
              <w:ind w:right="91"/>
              <w:spacing w:after="0"/>
              <w:rPr>
                <w:sz w:val="20"/>
                <w:szCs w:val="20"/>
                <w:color w:val="auto"/>
              </w:rPr>
            </w:pPr>
            <w:r>
              <w:rPr>
                <w:rFonts w:ascii="Arial" w:cs="Arial" w:eastAsia="Arial" w:hAnsi="Arial"/>
                <w:sz w:val="14"/>
                <w:szCs w:val="14"/>
                <w:b w:val="1"/>
                <w:bCs w:val="1"/>
                <w:color w:val="auto"/>
                <w:w w:val="99"/>
              </w:rPr>
              <w:t>Companies by TIME Magazine</w:t>
            </w: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8"/>
              </w:rPr>
              <w:t>for Professional Services &amp; Staffing</w:t>
            </w:r>
          </w:p>
        </w:tc>
        <w:tc>
          <w:tcPr>
            <w:tcW w:w="3260" w:type="dxa"/>
            <w:vAlign w:val="bottom"/>
          </w:tcPr>
          <w:p>
            <w:pPr>
              <w:jc w:val="center"/>
              <w:ind w:left="91"/>
              <w:spacing w:after="0"/>
              <w:rPr>
                <w:sz w:val="20"/>
                <w:szCs w:val="20"/>
                <w:color w:val="auto"/>
              </w:rPr>
            </w:pPr>
            <w:r>
              <w:rPr>
                <w:rFonts w:ascii="Arial" w:cs="Arial" w:eastAsia="Arial" w:hAnsi="Arial"/>
                <w:sz w:val="14"/>
                <w:szCs w:val="14"/>
                <w:b w:val="1"/>
                <w:bCs w:val="1"/>
                <w:color w:val="auto"/>
                <w:w w:val="98"/>
              </w:rPr>
              <w:t>Baker’s Dozen List 2023</w:t>
            </w:r>
          </w:p>
        </w:tc>
      </w:tr>
      <w:tr>
        <w:trPr>
          <w:trHeight w:val="238"/>
        </w:trPr>
        <w:tc>
          <w:tcPr>
            <w:tcW w:w="3260" w:type="dxa"/>
            <w:vAlign w:val="bottom"/>
          </w:tcPr>
          <w:p>
            <w:pPr>
              <w:jc w:val="center"/>
              <w:ind w:right="91"/>
              <w:spacing w:after="0"/>
              <w:rPr>
                <w:sz w:val="20"/>
                <w:szCs w:val="20"/>
                <w:color w:val="auto"/>
              </w:rPr>
            </w:pPr>
            <w:r>
              <w:rPr>
                <w:rFonts w:ascii="Arial" w:cs="Arial" w:eastAsia="Arial" w:hAnsi="Arial"/>
                <w:sz w:val="14"/>
                <w:szCs w:val="14"/>
                <w:color w:val="auto"/>
                <w:w w:val="99"/>
              </w:rPr>
              <w:t>TIME and Statista named the 750 companies</w:t>
            </w:r>
          </w:p>
        </w:tc>
        <w:tc>
          <w:tcPr>
            <w:tcW w:w="3580" w:type="dxa"/>
            <w:vAlign w:val="bottom"/>
          </w:tcPr>
          <w:p>
            <w:pPr>
              <w:jc w:val="center"/>
              <w:spacing w:after="0"/>
              <w:rPr>
                <w:sz w:val="20"/>
                <w:szCs w:val="20"/>
                <w:color w:val="auto"/>
              </w:rPr>
            </w:pPr>
            <w:r>
              <w:rPr>
                <w:rFonts w:ascii="Arial" w:cs="Arial" w:eastAsia="Arial" w:hAnsi="Arial"/>
                <w:sz w:val="14"/>
                <w:szCs w:val="14"/>
                <w:color w:val="auto"/>
                <w:w w:val="98"/>
              </w:rPr>
              <w:t>The Michigan Minority Supplier Diversity Council’s</w:t>
            </w:r>
          </w:p>
        </w:tc>
        <w:tc>
          <w:tcPr>
            <w:tcW w:w="3260" w:type="dxa"/>
            <w:vAlign w:val="bottom"/>
          </w:tcPr>
          <w:p>
            <w:pPr>
              <w:jc w:val="center"/>
              <w:ind w:left="91"/>
              <w:spacing w:after="0"/>
              <w:rPr>
                <w:sz w:val="20"/>
                <w:szCs w:val="20"/>
                <w:color w:val="auto"/>
              </w:rPr>
            </w:pPr>
            <w:r>
              <w:rPr>
                <w:rFonts w:ascii="Arial" w:cs="Arial" w:eastAsia="Arial" w:hAnsi="Arial"/>
                <w:sz w:val="14"/>
                <w:szCs w:val="14"/>
                <w:color w:val="auto"/>
                <w:w w:val="98"/>
              </w:rPr>
              <w:t>KellyOCG named to HRO Today’s EMEA RPO</w:t>
            </w:r>
          </w:p>
        </w:tc>
      </w:tr>
      <w:tr>
        <w:trPr>
          <w:trHeight w:val="156"/>
        </w:trPr>
        <w:tc>
          <w:tcPr>
            <w:tcW w:w="3260" w:type="dxa"/>
            <w:vAlign w:val="bottom"/>
          </w:tcPr>
          <w:p>
            <w:pPr>
              <w:jc w:val="center"/>
              <w:ind w:right="71"/>
              <w:spacing w:after="0" w:line="156" w:lineRule="exact"/>
              <w:rPr>
                <w:sz w:val="20"/>
                <w:szCs w:val="20"/>
                <w:color w:val="auto"/>
              </w:rPr>
            </w:pPr>
            <w:r>
              <w:rPr>
                <w:rFonts w:ascii="Arial" w:cs="Arial" w:eastAsia="Arial" w:hAnsi="Arial"/>
                <w:sz w:val="14"/>
                <w:szCs w:val="14"/>
                <w:color w:val="auto"/>
                <w:w w:val="98"/>
              </w:rPr>
              <w:t>changing the world, based on a formula of revenue</w:t>
            </w:r>
          </w:p>
        </w:tc>
        <w:tc>
          <w:tcPr>
            <w:tcW w:w="3580" w:type="dxa"/>
            <w:vAlign w:val="bottom"/>
          </w:tcPr>
          <w:p>
            <w:pPr>
              <w:jc w:val="center"/>
              <w:spacing w:after="0" w:line="156" w:lineRule="exact"/>
              <w:rPr>
                <w:sz w:val="20"/>
                <w:szCs w:val="20"/>
                <w:color w:val="auto"/>
              </w:rPr>
            </w:pPr>
            <w:r>
              <w:rPr>
                <w:rFonts w:ascii="Arial" w:cs="Arial" w:eastAsia="Arial" w:hAnsi="Arial"/>
                <w:sz w:val="14"/>
                <w:szCs w:val="14"/>
                <w:color w:val="auto"/>
                <w:w w:val="99"/>
              </w:rPr>
              <w:t>ACE awards recognize the best of the minority</w:t>
            </w:r>
          </w:p>
        </w:tc>
        <w:tc>
          <w:tcPr>
            <w:tcW w:w="3260" w:type="dxa"/>
            <w:vAlign w:val="bottom"/>
          </w:tcPr>
          <w:p>
            <w:pPr>
              <w:jc w:val="center"/>
              <w:ind w:left="71"/>
              <w:spacing w:after="0" w:line="156" w:lineRule="exact"/>
              <w:rPr>
                <w:sz w:val="20"/>
                <w:szCs w:val="20"/>
                <w:color w:val="auto"/>
              </w:rPr>
            </w:pPr>
            <w:r>
              <w:rPr>
                <w:rFonts w:ascii="Arial" w:cs="Arial" w:eastAsia="Arial" w:hAnsi="Arial"/>
                <w:sz w:val="14"/>
                <w:szCs w:val="14"/>
                <w:color w:val="auto"/>
                <w:w w:val="99"/>
              </w:rPr>
              <w:t>Baker’s Dozen list for the third year in a row. The</w:t>
            </w:r>
          </w:p>
        </w:tc>
      </w:tr>
      <w:tr>
        <w:trPr>
          <w:trHeight w:val="156"/>
        </w:trPr>
        <w:tc>
          <w:tcPr>
            <w:tcW w:w="3260" w:type="dxa"/>
            <w:vAlign w:val="bottom"/>
          </w:tcPr>
          <w:p>
            <w:pPr>
              <w:jc w:val="center"/>
              <w:ind w:right="71"/>
              <w:spacing w:after="0" w:line="156" w:lineRule="exact"/>
              <w:rPr>
                <w:sz w:val="20"/>
                <w:szCs w:val="20"/>
                <w:color w:val="auto"/>
              </w:rPr>
            </w:pPr>
            <w:r>
              <w:rPr>
                <w:rFonts w:ascii="Arial" w:cs="Arial" w:eastAsia="Arial" w:hAnsi="Arial"/>
                <w:sz w:val="14"/>
                <w:szCs w:val="14"/>
                <w:color w:val="auto"/>
                <w:w w:val="99"/>
              </w:rPr>
              <w:t>growth, employee-satisfaction surveys, and ESG</w:t>
            </w:r>
          </w:p>
        </w:tc>
        <w:tc>
          <w:tcPr>
            <w:tcW w:w="3580" w:type="dxa"/>
            <w:vAlign w:val="bottom"/>
          </w:tcPr>
          <w:p>
            <w:pPr>
              <w:jc w:val="center"/>
              <w:spacing w:after="0" w:line="156" w:lineRule="exact"/>
              <w:rPr>
                <w:sz w:val="20"/>
                <w:szCs w:val="20"/>
                <w:color w:val="auto"/>
              </w:rPr>
            </w:pPr>
            <w:r>
              <w:rPr>
                <w:rFonts w:ascii="Arial" w:cs="Arial" w:eastAsia="Arial" w:hAnsi="Arial"/>
                <w:sz w:val="14"/>
                <w:szCs w:val="14"/>
                <w:color w:val="auto"/>
                <w:w w:val="99"/>
              </w:rPr>
              <w:t>business community as well as the corporations that</w:t>
            </w:r>
          </w:p>
        </w:tc>
        <w:tc>
          <w:tcPr>
            <w:tcW w:w="3260" w:type="dxa"/>
            <w:vAlign w:val="bottom"/>
          </w:tcPr>
          <w:p>
            <w:pPr>
              <w:jc w:val="center"/>
              <w:ind w:left="91"/>
              <w:spacing w:after="0" w:line="156" w:lineRule="exact"/>
              <w:rPr>
                <w:sz w:val="20"/>
                <w:szCs w:val="20"/>
                <w:color w:val="auto"/>
              </w:rPr>
            </w:pPr>
            <w:r>
              <w:rPr>
                <w:rFonts w:ascii="Arial" w:cs="Arial" w:eastAsia="Arial" w:hAnsi="Arial"/>
                <w:sz w:val="14"/>
                <w:szCs w:val="14"/>
                <w:color w:val="auto"/>
                <w:w w:val="98"/>
              </w:rPr>
              <w:t>Customer Satisfaction Ratings are based solely on</w:t>
            </w:r>
          </w:p>
        </w:tc>
      </w:tr>
      <w:tr>
        <w:trPr>
          <w:trHeight w:val="184"/>
        </w:trPr>
        <w:tc>
          <w:tcPr>
            <w:tcW w:w="3260" w:type="dxa"/>
            <w:vAlign w:val="bottom"/>
          </w:tcPr>
          <w:p>
            <w:pPr>
              <w:jc w:val="center"/>
              <w:ind w:right="71"/>
              <w:spacing w:after="0"/>
              <w:rPr>
                <w:sz w:val="20"/>
                <w:szCs w:val="20"/>
                <w:color w:val="auto"/>
              </w:rPr>
            </w:pPr>
            <w:r>
              <w:rPr>
                <w:rFonts w:ascii="Arial" w:cs="Arial" w:eastAsia="Arial" w:hAnsi="Arial"/>
                <w:sz w:val="14"/>
                <w:szCs w:val="14"/>
                <w:color w:val="auto"/>
                <w:w w:val="98"/>
              </w:rPr>
              <w:t>data, and Kelly is on the list.</w:t>
            </w:r>
          </w:p>
        </w:tc>
        <w:tc>
          <w:tcPr>
            <w:tcW w:w="3580" w:type="dxa"/>
            <w:vAlign w:val="bottom"/>
          </w:tcPr>
          <w:p>
            <w:pPr>
              <w:jc w:val="center"/>
              <w:spacing w:after="0"/>
              <w:rPr>
                <w:sz w:val="20"/>
                <w:szCs w:val="20"/>
                <w:color w:val="auto"/>
              </w:rPr>
            </w:pPr>
            <w:r>
              <w:rPr>
                <w:rFonts w:ascii="Arial" w:cs="Arial" w:eastAsia="Arial" w:hAnsi="Arial"/>
                <w:sz w:val="14"/>
                <w:szCs w:val="14"/>
                <w:color w:val="auto"/>
                <w:w w:val="98"/>
              </w:rPr>
              <w:t>advocate and contract with them.</w:t>
            </w:r>
          </w:p>
        </w:tc>
        <w:tc>
          <w:tcPr>
            <w:tcW w:w="3260" w:type="dxa"/>
            <w:vAlign w:val="bottom"/>
          </w:tcPr>
          <w:p>
            <w:pPr>
              <w:jc w:val="center"/>
              <w:ind w:left="91"/>
              <w:spacing w:after="0"/>
              <w:rPr>
                <w:sz w:val="20"/>
                <w:szCs w:val="20"/>
                <w:color w:val="auto"/>
              </w:rPr>
            </w:pPr>
            <w:r>
              <w:rPr>
                <w:rFonts w:ascii="Arial" w:cs="Arial" w:eastAsia="Arial" w:hAnsi="Arial"/>
                <w:sz w:val="14"/>
                <w:szCs w:val="14"/>
                <w:color w:val="auto"/>
                <w:w w:val="99"/>
              </w:rPr>
              <w:t>feedback from buyers of the rated services.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97"/>
              </w:rPr>
              <w:t>KellyOCG Named to HRO Today’s APAC RPO</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9"/>
              </w:rPr>
              <w:t>KellyOCG Named to HRO Today Enterprise RPO</w:t>
            </w:r>
          </w:p>
        </w:tc>
        <w:tc>
          <w:tcPr>
            <w:tcW w:w="3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8"/>
              </w:rPr>
              <w:t>Kelly Named a Global Champion for Supplier</w:t>
            </w:r>
          </w:p>
        </w:tc>
        <w:tc>
          <w:tcPr>
            <w:tcW w:w="0" w:type="dxa"/>
            <w:vAlign w:val="bottom"/>
          </w:tcPr>
          <w:p>
            <w:pPr>
              <w:spacing w:after="0"/>
              <w:rPr>
                <w:sz w:val="1"/>
                <w:szCs w:val="1"/>
                <w:color w:val="auto"/>
              </w:rPr>
            </w:pPr>
          </w:p>
        </w:tc>
      </w:tr>
      <w:tr>
        <w:trPr>
          <w:trHeight w:val="192"/>
        </w:trPr>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98"/>
              </w:rPr>
              <w:t>Baker’s Dozen List 2023</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8"/>
              </w:rPr>
              <w:t>Baker’s Dozen List 2023</w:t>
            </w:r>
          </w:p>
        </w:tc>
        <w:tc>
          <w:tcPr>
            <w:tcW w:w="2500" w:type="dxa"/>
            <w:vAlign w:val="bottom"/>
          </w:tcPr>
          <w:p>
            <w:pPr>
              <w:jc w:val="center"/>
              <w:ind w:left="895"/>
              <w:spacing w:after="0"/>
              <w:rPr>
                <w:sz w:val="20"/>
                <w:szCs w:val="20"/>
                <w:color w:val="auto"/>
              </w:rPr>
            </w:pPr>
            <w:r>
              <w:rPr>
                <w:rFonts w:ascii="Arial" w:cs="Arial" w:eastAsia="Arial" w:hAnsi="Arial"/>
                <w:sz w:val="14"/>
                <w:szCs w:val="14"/>
                <w:b w:val="1"/>
                <w:bCs w:val="1"/>
                <w:color w:val="auto"/>
                <w:w w:val="99"/>
              </w:rPr>
              <w:t>Diversity &amp; Inclusion</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80" w:type="dxa"/>
            <w:vAlign w:val="bottom"/>
          </w:tcPr>
          <w:p>
            <w:pPr>
              <w:jc w:val="center"/>
              <w:spacing w:after="0"/>
              <w:rPr>
                <w:sz w:val="20"/>
                <w:szCs w:val="20"/>
                <w:color w:val="auto"/>
              </w:rPr>
            </w:pPr>
            <w:r>
              <w:rPr>
                <w:rFonts w:ascii="Arial" w:cs="Arial" w:eastAsia="Arial" w:hAnsi="Arial"/>
                <w:sz w:val="14"/>
                <w:szCs w:val="14"/>
                <w:color w:val="auto"/>
                <w:w w:val="98"/>
              </w:rPr>
              <w:t>KellyOCG named to HRO Today’s EMEA RPO</w:t>
            </w:r>
          </w:p>
        </w:tc>
        <w:tc>
          <w:tcPr>
            <w:tcW w:w="3540" w:type="dxa"/>
            <w:vAlign w:val="bottom"/>
          </w:tcPr>
          <w:p>
            <w:pPr>
              <w:jc w:val="center"/>
              <w:spacing w:after="0"/>
              <w:rPr>
                <w:sz w:val="20"/>
                <w:szCs w:val="20"/>
                <w:color w:val="auto"/>
              </w:rPr>
            </w:pPr>
            <w:r>
              <w:rPr>
                <w:rFonts w:ascii="Arial" w:cs="Arial" w:eastAsia="Arial" w:hAnsi="Arial"/>
                <w:sz w:val="14"/>
                <w:szCs w:val="14"/>
                <w:color w:val="auto"/>
                <w:w w:val="98"/>
              </w:rPr>
              <w:t>HRO Today is the premier global HR network and</w:t>
            </w:r>
          </w:p>
        </w:tc>
        <w:tc>
          <w:tcPr>
            <w:tcW w:w="3500" w:type="dxa"/>
            <w:vAlign w:val="bottom"/>
            <w:gridSpan w:val="4"/>
          </w:tcPr>
          <w:p>
            <w:pPr>
              <w:jc w:val="center"/>
              <w:spacing w:after="0"/>
              <w:rPr>
                <w:sz w:val="20"/>
                <w:szCs w:val="20"/>
                <w:color w:val="auto"/>
              </w:rPr>
            </w:pPr>
            <w:r>
              <w:rPr>
                <w:rFonts w:ascii="Arial" w:cs="Arial" w:eastAsia="Arial" w:hAnsi="Arial"/>
                <w:sz w:val="14"/>
                <w:szCs w:val="14"/>
                <w:color w:val="auto"/>
                <w:w w:val="99"/>
              </w:rPr>
              <w:t>Kelly received the highest level of recognition –</w:t>
            </w:r>
          </w:p>
        </w:tc>
        <w:tc>
          <w:tcPr>
            <w:tcW w:w="0" w:type="dxa"/>
            <w:vAlign w:val="bottom"/>
          </w:tcPr>
          <w:p>
            <w:pPr>
              <w:spacing w:after="0"/>
              <w:rPr>
                <w:sz w:val="1"/>
                <w:szCs w:val="1"/>
                <w:color w:val="auto"/>
              </w:rPr>
            </w:pPr>
          </w:p>
        </w:tc>
      </w:tr>
      <w:tr>
        <w:trPr>
          <w:trHeight w:val="156"/>
        </w:trPr>
        <w:tc>
          <w:tcPr>
            <w:tcW w:w="3480" w:type="dxa"/>
            <w:vAlign w:val="bottom"/>
          </w:tcPr>
          <w:p>
            <w:pPr>
              <w:jc w:val="center"/>
              <w:spacing w:after="0" w:line="156" w:lineRule="exact"/>
              <w:rPr>
                <w:sz w:val="20"/>
                <w:szCs w:val="20"/>
                <w:color w:val="auto"/>
              </w:rPr>
            </w:pPr>
            <w:r>
              <w:rPr>
                <w:rFonts w:ascii="Arial" w:cs="Arial" w:eastAsia="Arial" w:hAnsi="Arial"/>
                <w:sz w:val="14"/>
                <w:szCs w:val="14"/>
                <w:color w:val="auto"/>
                <w:w w:val="99"/>
              </w:rPr>
              <w:t>Baker’s Dozen list for the third year in a row. The</w:t>
            </w:r>
          </w:p>
        </w:tc>
        <w:tc>
          <w:tcPr>
            <w:tcW w:w="3540" w:type="dxa"/>
            <w:vAlign w:val="bottom"/>
          </w:tcPr>
          <w:p>
            <w:pPr>
              <w:jc w:val="center"/>
              <w:spacing w:after="0" w:line="156" w:lineRule="exact"/>
              <w:rPr>
                <w:sz w:val="20"/>
                <w:szCs w:val="20"/>
                <w:color w:val="auto"/>
              </w:rPr>
            </w:pPr>
            <w:r>
              <w:rPr>
                <w:rFonts w:ascii="Arial" w:cs="Arial" w:eastAsia="Arial" w:hAnsi="Arial"/>
                <w:sz w:val="14"/>
                <w:szCs w:val="14"/>
                <w:color w:val="auto"/>
                <w:w w:val="99"/>
              </w:rPr>
              <w:t>content community. The Baker’s Dozen Customer</w:t>
            </w:r>
          </w:p>
        </w:tc>
        <w:tc>
          <w:tcPr>
            <w:tcW w:w="3500" w:type="dxa"/>
            <w:vAlign w:val="bottom"/>
            <w:gridSpan w:val="4"/>
          </w:tcPr>
          <w:p>
            <w:pPr>
              <w:jc w:val="center"/>
              <w:spacing w:after="0" w:line="156" w:lineRule="exact"/>
              <w:rPr>
                <w:sz w:val="20"/>
                <w:szCs w:val="20"/>
                <w:color w:val="auto"/>
              </w:rPr>
            </w:pPr>
            <w:r>
              <w:rPr>
                <w:rFonts w:ascii="Arial" w:cs="Arial" w:eastAsia="Arial" w:hAnsi="Arial"/>
                <w:sz w:val="14"/>
                <w:szCs w:val="14"/>
                <w:color w:val="auto"/>
                <w:w w:val="99"/>
              </w:rPr>
              <w:t>platinum – for its commitment to inclusive supplier</w:t>
            </w:r>
          </w:p>
        </w:tc>
        <w:tc>
          <w:tcPr>
            <w:tcW w:w="0" w:type="dxa"/>
            <w:vAlign w:val="bottom"/>
          </w:tcPr>
          <w:p>
            <w:pPr>
              <w:spacing w:after="0"/>
              <w:rPr>
                <w:sz w:val="1"/>
                <w:szCs w:val="1"/>
                <w:color w:val="auto"/>
              </w:rPr>
            </w:pPr>
          </w:p>
        </w:tc>
      </w:tr>
      <w:tr>
        <w:trPr>
          <w:trHeight w:val="156"/>
        </w:trPr>
        <w:tc>
          <w:tcPr>
            <w:tcW w:w="3480" w:type="dxa"/>
            <w:vAlign w:val="bottom"/>
          </w:tcPr>
          <w:p>
            <w:pPr>
              <w:jc w:val="center"/>
              <w:spacing w:after="0" w:line="156" w:lineRule="exact"/>
              <w:rPr>
                <w:sz w:val="20"/>
                <w:szCs w:val="20"/>
                <w:color w:val="auto"/>
              </w:rPr>
            </w:pPr>
            <w:r>
              <w:rPr>
                <w:rFonts w:ascii="Arial" w:cs="Arial" w:eastAsia="Arial" w:hAnsi="Arial"/>
                <w:sz w:val="14"/>
                <w:szCs w:val="14"/>
                <w:color w:val="auto"/>
                <w:w w:val="98"/>
              </w:rPr>
              <w:t>Customer Satisfaction Ratings are based solely on</w:t>
            </w:r>
          </w:p>
        </w:tc>
        <w:tc>
          <w:tcPr>
            <w:tcW w:w="3540" w:type="dxa"/>
            <w:vAlign w:val="bottom"/>
          </w:tcPr>
          <w:p>
            <w:pPr>
              <w:jc w:val="center"/>
              <w:spacing w:after="0" w:line="156" w:lineRule="exact"/>
              <w:rPr>
                <w:sz w:val="20"/>
                <w:szCs w:val="20"/>
                <w:color w:val="auto"/>
              </w:rPr>
            </w:pPr>
            <w:r>
              <w:rPr>
                <w:rFonts w:ascii="Arial" w:cs="Arial" w:eastAsia="Arial" w:hAnsi="Arial"/>
                <w:sz w:val="14"/>
                <w:szCs w:val="14"/>
                <w:color w:val="auto"/>
                <w:w w:val="98"/>
              </w:rPr>
              <w:t>Satisfaction Ratings are based solely on feedback</w:t>
            </w:r>
          </w:p>
        </w:tc>
        <w:tc>
          <w:tcPr>
            <w:tcW w:w="3500" w:type="dxa"/>
            <w:vAlign w:val="bottom"/>
            <w:gridSpan w:val="4"/>
          </w:tcPr>
          <w:p>
            <w:pPr>
              <w:jc w:val="center"/>
              <w:spacing w:after="0" w:line="156" w:lineRule="exact"/>
              <w:rPr>
                <w:sz w:val="20"/>
                <w:szCs w:val="20"/>
                <w:color w:val="auto"/>
              </w:rPr>
            </w:pPr>
            <w:r>
              <w:rPr>
                <w:rFonts w:ascii="Arial" w:cs="Arial" w:eastAsia="Arial" w:hAnsi="Arial"/>
                <w:sz w:val="14"/>
                <w:szCs w:val="14"/>
                <w:color w:val="auto"/>
                <w:w w:val="99"/>
              </w:rPr>
              <w:t>spending, policies, and procedures for the fifth</w:t>
            </w:r>
          </w:p>
        </w:tc>
        <w:tc>
          <w:tcPr>
            <w:tcW w:w="0" w:type="dxa"/>
            <w:vAlign w:val="bottom"/>
          </w:tcPr>
          <w:p>
            <w:pPr>
              <w:spacing w:after="0"/>
              <w:rPr>
                <w:sz w:val="1"/>
                <w:szCs w:val="1"/>
                <w:color w:val="auto"/>
              </w:rPr>
            </w:pPr>
          </w:p>
        </w:tc>
      </w:tr>
      <w:tr>
        <w:trPr>
          <w:trHeight w:val="184"/>
        </w:trPr>
        <w:tc>
          <w:tcPr>
            <w:tcW w:w="3480" w:type="dxa"/>
            <w:vAlign w:val="bottom"/>
          </w:tcPr>
          <w:p>
            <w:pPr>
              <w:jc w:val="center"/>
              <w:spacing w:after="0"/>
              <w:rPr>
                <w:sz w:val="20"/>
                <w:szCs w:val="20"/>
                <w:color w:val="auto"/>
              </w:rPr>
            </w:pPr>
            <w:r>
              <w:rPr>
                <w:rFonts w:ascii="Arial" w:cs="Arial" w:eastAsia="Arial" w:hAnsi="Arial"/>
                <w:sz w:val="14"/>
                <w:szCs w:val="14"/>
                <w:color w:val="auto"/>
                <w:w w:val="99"/>
              </w:rPr>
              <w:t>feedback from buyers of the rated services.</w:t>
            </w:r>
          </w:p>
        </w:tc>
        <w:tc>
          <w:tcPr>
            <w:tcW w:w="3540" w:type="dxa"/>
            <w:vAlign w:val="bottom"/>
          </w:tcPr>
          <w:p>
            <w:pPr>
              <w:jc w:val="center"/>
              <w:spacing w:after="0"/>
              <w:rPr>
                <w:sz w:val="20"/>
                <w:szCs w:val="20"/>
                <w:color w:val="auto"/>
              </w:rPr>
            </w:pPr>
            <w:r>
              <w:rPr>
                <w:rFonts w:ascii="Arial" w:cs="Arial" w:eastAsia="Arial" w:hAnsi="Arial"/>
                <w:sz w:val="14"/>
                <w:szCs w:val="14"/>
                <w:color w:val="auto"/>
                <w:w w:val="99"/>
              </w:rPr>
              <w:t>from buyers of the rated services.</w:t>
            </w:r>
          </w:p>
        </w:tc>
        <w:tc>
          <w:tcPr>
            <w:tcW w:w="2500" w:type="dxa"/>
            <w:vAlign w:val="bottom"/>
          </w:tcPr>
          <w:p>
            <w:pPr>
              <w:jc w:val="center"/>
              <w:ind w:left="895"/>
              <w:spacing w:after="0"/>
              <w:rPr>
                <w:sz w:val="20"/>
                <w:szCs w:val="20"/>
                <w:color w:val="auto"/>
              </w:rPr>
            </w:pPr>
            <w:r>
              <w:rPr>
                <w:rFonts w:ascii="Arial" w:cs="Arial" w:eastAsia="Arial" w:hAnsi="Arial"/>
                <w:sz w:val="14"/>
                <w:szCs w:val="14"/>
                <w:color w:val="auto"/>
                <w:w w:val="97"/>
              </w:rPr>
              <w:t>consecutive year.</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3480" w:type="dxa"/>
            <w:vAlign w:val="bottom"/>
            <w:tcBorders>
              <w:bottom w:val="single" w:sz="8" w:color="0A9E50"/>
            </w:tcBorders>
          </w:tcPr>
          <w:p>
            <w:pPr>
              <w:spacing w:after="0"/>
              <w:rPr>
                <w:sz w:val="9"/>
                <w:szCs w:val="9"/>
                <w:color w:val="auto"/>
              </w:rPr>
            </w:pPr>
          </w:p>
        </w:tc>
        <w:tc>
          <w:tcPr>
            <w:tcW w:w="3540" w:type="dxa"/>
            <w:vAlign w:val="bottom"/>
            <w:tcBorders>
              <w:bottom w:val="single" w:sz="8" w:color="0A9E50"/>
            </w:tcBorders>
          </w:tcPr>
          <w:p>
            <w:pPr>
              <w:spacing w:after="0"/>
              <w:rPr>
                <w:sz w:val="9"/>
                <w:szCs w:val="9"/>
                <w:color w:val="auto"/>
              </w:rPr>
            </w:pPr>
          </w:p>
        </w:tc>
        <w:tc>
          <w:tcPr>
            <w:tcW w:w="2500" w:type="dxa"/>
            <w:vAlign w:val="bottom"/>
            <w:tcBorders>
              <w:bottom w:val="single" w:sz="8" w:color="0A9E50"/>
            </w:tcBorders>
          </w:tcPr>
          <w:p>
            <w:pPr>
              <w:spacing w:after="0"/>
              <w:rPr>
                <w:sz w:val="9"/>
                <w:szCs w:val="9"/>
                <w:color w:val="auto"/>
              </w:rPr>
            </w:pPr>
          </w:p>
        </w:tc>
        <w:tc>
          <w:tcPr>
            <w:tcW w:w="360" w:type="dxa"/>
            <w:vAlign w:val="bottom"/>
            <w:tcBorders>
              <w:bottom w:val="single" w:sz="8" w:color="0A9E50"/>
            </w:tcBorders>
          </w:tcPr>
          <w:p>
            <w:pPr>
              <w:spacing w:after="0"/>
              <w:rPr>
                <w:sz w:val="9"/>
                <w:szCs w:val="9"/>
                <w:color w:val="auto"/>
              </w:rPr>
            </w:pPr>
          </w:p>
        </w:tc>
        <w:tc>
          <w:tcPr>
            <w:tcW w:w="20" w:type="dxa"/>
            <w:vAlign w:val="bottom"/>
            <w:tcBorders>
              <w:bottom w:val="single" w:sz="8" w:color="0A9E50"/>
            </w:tcBorders>
          </w:tcPr>
          <w:p>
            <w:pPr>
              <w:spacing w:after="0"/>
              <w:rPr>
                <w:sz w:val="9"/>
                <w:szCs w:val="9"/>
                <w:color w:val="auto"/>
              </w:rPr>
            </w:pPr>
          </w:p>
        </w:tc>
        <w:tc>
          <w:tcPr>
            <w:tcW w:w="620" w:type="dxa"/>
            <w:vAlign w:val="bottom"/>
            <w:tcBorders>
              <w:bottom w:val="single" w:sz="8" w:color="0A9E50"/>
            </w:tcBorders>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4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500" w:type="dxa"/>
            <w:vAlign w:val="bottom"/>
            <w:vMerge w:val="restart"/>
          </w:tcPr>
          <w:p>
            <w:pPr>
              <w:jc w:val="center"/>
              <w:ind w:left="935"/>
              <w:spacing w:after="0"/>
              <w:rPr>
                <w:sz w:val="20"/>
                <w:szCs w:val="20"/>
                <w:color w:val="auto"/>
              </w:rPr>
            </w:pPr>
            <w:r>
              <w:rPr>
                <w:rFonts w:ascii="Arial" w:cs="Arial" w:eastAsia="Arial" w:hAnsi="Arial"/>
                <w:sz w:val="8"/>
                <w:szCs w:val="8"/>
                <w:color w:val="auto"/>
                <w:w w:val="74"/>
              </w:rPr>
              <w:t> </w:t>
            </w:r>
          </w:p>
        </w:tc>
        <w:tc>
          <w:tcPr>
            <w:tcW w:w="360" w:type="dxa"/>
            <w:vAlign w:val="bottom"/>
            <w:vMerge w:val="restart"/>
          </w:tcPr>
          <w:p>
            <w:pPr>
              <w:ind w:left="100"/>
              <w:spacing w:after="0"/>
              <w:rPr>
                <w:sz w:val="20"/>
                <w:szCs w:val="20"/>
                <w:color w:val="auto"/>
              </w:rPr>
            </w:pPr>
            <w:r>
              <w:rPr>
                <w:rFonts w:ascii="Arial" w:cs="Arial" w:eastAsia="Arial" w:hAnsi="Arial"/>
                <w:sz w:val="21"/>
                <w:szCs w:val="21"/>
                <w:color w:val="auto"/>
                <w:w w:val="89"/>
              </w:rPr>
              <w:t xml:space="preserve">  </w:t>
            </w:r>
          </w:p>
        </w:tc>
        <w:tc>
          <w:tcPr>
            <w:tcW w:w="20" w:type="dxa"/>
            <w:vAlign w:val="bottom"/>
          </w:tcPr>
          <w:p>
            <w:pPr>
              <w:spacing w:after="0"/>
              <w:rPr>
                <w:sz w:val="11"/>
                <w:szCs w:val="11"/>
                <w:color w:val="auto"/>
              </w:rPr>
            </w:pPr>
          </w:p>
        </w:tc>
        <w:tc>
          <w:tcPr>
            <w:tcW w:w="620" w:type="dxa"/>
            <w:vAlign w:val="bottom"/>
            <w:vMerge w:val="restart"/>
          </w:tcPr>
          <w:p>
            <w:pPr>
              <w:ind w:left="100"/>
              <w:spacing w:after="0"/>
              <w:rPr>
                <w:sz w:val="20"/>
                <w:szCs w:val="20"/>
                <w:color w:val="auto"/>
              </w:rPr>
            </w:pPr>
            <w:r>
              <w:rPr>
                <w:rFonts w:ascii="Arial" w:cs="Arial" w:eastAsia="Arial" w:hAnsi="Arial"/>
                <w:sz w:val="21"/>
                <w:szCs w:val="21"/>
                <w:color w:val="auto"/>
                <w:w w:val="80"/>
              </w:rPr>
              <w:t>    11</w:t>
            </w:r>
          </w:p>
        </w:tc>
        <w:tc>
          <w:tcPr>
            <w:tcW w:w="0" w:type="dxa"/>
            <w:vAlign w:val="bottom"/>
          </w:tcPr>
          <w:p>
            <w:pPr>
              <w:spacing w:after="0"/>
              <w:rPr>
                <w:sz w:val="1"/>
                <w:szCs w:val="1"/>
                <w:color w:val="auto"/>
              </w:rPr>
            </w:pPr>
          </w:p>
        </w:tc>
      </w:tr>
      <w:tr>
        <w:trPr>
          <w:trHeight w:val="248"/>
        </w:trPr>
        <w:tc>
          <w:tcPr>
            <w:tcW w:w="34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500" w:type="dxa"/>
            <w:vAlign w:val="bottom"/>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3480" w:type="dxa"/>
            <w:vAlign w:val="bottom"/>
          </w:tcPr>
          <w:p>
            <w:pPr>
              <w:spacing w:after="0"/>
              <w:rPr>
                <w:sz w:val="8"/>
                <w:szCs w:val="8"/>
                <w:color w:val="auto"/>
              </w:rPr>
            </w:pPr>
          </w:p>
        </w:tc>
        <w:tc>
          <w:tcPr>
            <w:tcW w:w="3540" w:type="dxa"/>
            <w:vAlign w:val="bottom"/>
          </w:tcPr>
          <w:p>
            <w:pPr>
              <w:spacing w:after="0"/>
              <w:rPr>
                <w:sz w:val="8"/>
                <w:szCs w:val="8"/>
                <w:color w:val="auto"/>
              </w:rPr>
            </w:pPr>
          </w:p>
        </w:tc>
        <w:tc>
          <w:tcPr>
            <w:tcW w:w="250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5755640</wp:posOffset>
            </wp:positionH>
            <wp:positionV relativeFrom="paragraph">
              <wp:posOffset>-222250</wp:posOffset>
            </wp:positionV>
            <wp:extent cx="396240" cy="189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6240" cy="18986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Proxy Summary</w:t>
      </w:r>
    </w:p>
    <w:p>
      <w:pPr>
        <w:spacing w:after="0" w:line="129" w:lineRule="exact"/>
        <w:rPr>
          <w:sz w:val="20"/>
          <w:szCs w:val="20"/>
          <w:color w:val="auto"/>
        </w:rPr>
      </w:pPr>
    </w:p>
    <w:tbl>
      <w:tblPr>
        <w:tblLayout w:type="fixed"/>
        <w:tblInd w:w="70" w:type="dxa"/>
        <w:tblCellMar>
          <w:top w:w="0" w:type="dxa"/>
          <w:left w:w="0" w:type="dxa"/>
          <w:bottom w:w="0" w:type="dxa"/>
          <w:right w:w="0" w:type="dxa"/>
        </w:tblCellMar>
      </w:tblPr>
      <w:tr>
        <w:trPr>
          <w:trHeight w:val="1122"/>
        </w:trPr>
        <w:tc>
          <w:tcPr>
            <w:tcW w:w="3500" w:type="dxa"/>
            <w:vAlign w:val="bottom"/>
            <w:tcBorders>
              <w:top w:val="single" w:sz="8" w:color="0A9E50"/>
              <w:left w:val="single" w:sz="8" w:color="0A9E50"/>
              <w:right w:val="single" w:sz="8" w:color="0A9E50"/>
            </w:tcBorders>
          </w:tcPr>
          <w:p>
            <w:pPr>
              <w:jc w:val="center"/>
              <w:spacing w:after="0"/>
              <w:rPr>
                <w:sz w:val="20"/>
                <w:szCs w:val="20"/>
                <w:color w:val="auto"/>
              </w:rPr>
            </w:pPr>
            <w:r>
              <w:rPr>
                <w:rFonts w:ascii="Arial" w:cs="Arial" w:eastAsia="Arial" w:hAnsi="Arial"/>
                <w:sz w:val="14"/>
                <w:szCs w:val="14"/>
                <w:b w:val="1"/>
                <w:bCs w:val="1"/>
                <w:color w:val="auto"/>
                <w:w w:val="99"/>
              </w:rPr>
              <w:t>Kelly Professional &amp; Industrial Named a</w:t>
            </w:r>
          </w:p>
        </w:tc>
        <w:tc>
          <w:tcPr>
            <w:tcW w:w="3560" w:type="dxa"/>
            <w:vAlign w:val="bottom"/>
            <w:tcBorders>
              <w:top w:val="single" w:sz="8" w:color="0A9E50"/>
              <w:right w:val="single" w:sz="8" w:color="0A9E50"/>
            </w:tcBorders>
          </w:tcPr>
          <w:p>
            <w:pPr>
              <w:jc w:val="center"/>
              <w:spacing w:after="0"/>
              <w:rPr>
                <w:sz w:val="20"/>
                <w:szCs w:val="20"/>
                <w:color w:val="auto"/>
              </w:rPr>
            </w:pPr>
            <w:r>
              <w:rPr>
                <w:rFonts w:ascii="Arial" w:cs="Arial" w:eastAsia="Arial" w:hAnsi="Arial"/>
                <w:sz w:val="14"/>
                <w:szCs w:val="14"/>
                <w:b w:val="1"/>
                <w:bCs w:val="1"/>
                <w:color w:val="auto"/>
                <w:w w:val="98"/>
              </w:rPr>
              <w:t>Kelly Engineering Named a Contingent Staffing</w:t>
            </w:r>
          </w:p>
        </w:tc>
        <w:tc>
          <w:tcPr>
            <w:tcW w:w="3460" w:type="dxa"/>
            <w:vAlign w:val="bottom"/>
            <w:tcBorders>
              <w:top w:val="single" w:sz="8" w:color="0A9E50"/>
              <w:right w:val="single" w:sz="8" w:color="0A9E50"/>
            </w:tcBorders>
          </w:tcPr>
          <w:p>
            <w:pPr>
              <w:jc w:val="center"/>
              <w:ind w:right="31"/>
              <w:spacing w:after="0"/>
              <w:rPr>
                <w:sz w:val="20"/>
                <w:szCs w:val="20"/>
                <w:color w:val="auto"/>
              </w:rPr>
            </w:pPr>
            <w:r>
              <w:rPr>
                <w:rFonts w:ascii="Arial" w:cs="Arial" w:eastAsia="Arial" w:hAnsi="Arial"/>
                <w:sz w:val="14"/>
                <w:szCs w:val="14"/>
                <w:b w:val="1"/>
                <w:bCs w:val="1"/>
                <w:color w:val="auto"/>
                <w:w w:val="98"/>
              </w:rPr>
              <w:t>Kelly Technology Named US IT Contingent</w:t>
            </w:r>
          </w:p>
        </w:tc>
        <w:tc>
          <w:tcPr>
            <w:tcW w:w="0" w:type="dxa"/>
            <w:vAlign w:val="bottom"/>
          </w:tcPr>
          <w:p>
            <w:pPr>
              <w:spacing w:after="0"/>
              <w:rPr>
                <w:sz w:val="1"/>
                <w:szCs w:val="1"/>
                <w:color w:val="auto"/>
              </w:rPr>
            </w:pPr>
          </w:p>
        </w:tc>
      </w:tr>
      <w:tr>
        <w:trPr>
          <w:trHeight w:val="156"/>
        </w:trPr>
        <w:tc>
          <w:tcPr>
            <w:tcW w:w="3500" w:type="dxa"/>
            <w:vAlign w:val="bottom"/>
            <w:tcBorders>
              <w:left w:val="single" w:sz="8" w:color="0A9E50"/>
              <w:right w:val="single" w:sz="8" w:color="0A9E50"/>
            </w:tcBorders>
          </w:tcPr>
          <w:p>
            <w:pPr>
              <w:jc w:val="center"/>
              <w:spacing w:after="0" w:line="156" w:lineRule="exact"/>
              <w:rPr>
                <w:sz w:val="20"/>
                <w:szCs w:val="20"/>
                <w:color w:val="auto"/>
              </w:rPr>
            </w:pPr>
            <w:r>
              <w:rPr>
                <w:rFonts w:ascii="Arial" w:cs="Arial" w:eastAsia="Arial" w:hAnsi="Arial"/>
                <w:sz w:val="14"/>
                <w:szCs w:val="14"/>
                <w:b w:val="1"/>
                <w:bCs w:val="1"/>
                <w:color w:val="auto"/>
                <w:w w:val="99"/>
              </w:rPr>
              <w:t>Contingent Staffing Leader by Everest Group</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b w:val="1"/>
                <w:bCs w:val="1"/>
                <w:color w:val="auto"/>
                <w:w w:val="99"/>
              </w:rPr>
              <w:t>Leader by Everest Group</w:t>
            </w:r>
          </w:p>
        </w:tc>
        <w:tc>
          <w:tcPr>
            <w:tcW w:w="3460" w:type="dxa"/>
            <w:vAlign w:val="bottom"/>
            <w:tcBorders>
              <w:right w:val="single" w:sz="8" w:color="0A9E50"/>
            </w:tcBorders>
          </w:tcPr>
          <w:p>
            <w:pPr>
              <w:jc w:val="center"/>
              <w:ind w:right="31"/>
              <w:spacing w:after="0" w:line="156" w:lineRule="exact"/>
              <w:rPr>
                <w:sz w:val="20"/>
                <w:szCs w:val="20"/>
                <w:color w:val="auto"/>
              </w:rPr>
            </w:pPr>
            <w:r>
              <w:rPr>
                <w:rFonts w:ascii="Arial" w:cs="Arial" w:eastAsia="Arial" w:hAnsi="Arial"/>
                <w:sz w:val="14"/>
                <w:szCs w:val="14"/>
                <w:b w:val="1"/>
                <w:bCs w:val="1"/>
                <w:color w:val="auto"/>
                <w:w w:val="98"/>
              </w:rPr>
              <w:t>Staffing Services Major Contender by Everest</w:t>
            </w:r>
          </w:p>
        </w:tc>
        <w:tc>
          <w:tcPr>
            <w:tcW w:w="0" w:type="dxa"/>
            <w:vAlign w:val="bottom"/>
          </w:tcPr>
          <w:p>
            <w:pPr>
              <w:spacing w:after="0"/>
              <w:rPr>
                <w:sz w:val="1"/>
                <w:szCs w:val="1"/>
                <w:color w:val="auto"/>
              </w:rPr>
            </w:pPr>
          </w:p>
        </w:tc>
      </w:tr>
      <w:tr>
        <w:trPr>
          <w:trHeight w:val="192"/>
        </w:trPr>
        <w:tc>
          <w:tcPr>
            <w:tcW w:w="3500" w:type="dxa"/>
            <w:vAlign w:val="bottom"/>
            <w:tcBorders>
              <w:left w:val="single" w:sz="8" w:color="0A9E50"/>
              <w:right w:val="single" w:sz="8" w:color="0A9E50"/>
            </w:tcBorders>
            <w:vMerge w:val="restart"/>
          </w:tcPr>
          <w:p>
            <w:pPr>
              <w:jc w:val="center"/>
              <w:spacing w:after="0"/>
              <w:rPr>
                <w:sz w:val="20"/>
                <w:szCs w:val="20"/>
                <w:color w:val="auto"/>
              </w:rPr>
            </w:pPr>
            <w:r>
              <w:rPr>
                <w:rFonts w:ascii="Arial" w:cs="Arial" w:eastAsia="Arial" w:hAnsi="Arial"/>
                <w:sz w:val="14"/>
                <w:szCs w:val="14"/>
                <w:color w:val="auto"/>
                <w:w w:val="99"/>
              </w:rPr>
              <w:t>Among the business &amp; professional staffing</w:t>
            </w:r>
          </w:p>
        </w:tc>
        <w:tc>
          <w:tcPr>
            <w:tcW w:w="3560" w:type="dxa"/>
            <w:vAlign w:val="bottom"/>
            <w:tcBorders>
              <w:right w:val="single" w:sz="8" w:color="0A9E50"/>
            </w:tcBorders>
            <w:vMerge w:val="restart"/>
          </w:tcPr>
          <w:p>
            <w:pPr>
              <w:jc w:val="center"/>
              <w:spacing w:after="0"/>
              <w:rPr>
                <w:sz w:val="20"/>
                <w:szCs w:val="20"/>
                <w:color w:val="auto"/>
              </w:rPr>
            </w:pPr>
            <w:r>
              <w:rPr>
                <w:rFonts w:ascii="Arial" w:cs="Arial" w:eastAsia="Arial" w:hAnsi="Arial"/>
                <w:sz w:val="14"/>
                <w:szCs w:val="14"/>
                <w:color w:val="auto"/>
                <w:w w:val="98"/>
              </w:rPr>
              <w:t>Among the engineering staffing providers assessed,</w:t>
            </w:r>
          </w:p>
        </w:tc>
        <w:tc>
          <w:tcPr>
            <w:tcW w:w="3460" w:type="dxa"/>
            <w:vAlign w:val="bottom"/>
            <w:tcBorders>
              <w:right w:val="single" w:sz="8" w:color="0A9E50"/>
            </w:tcBorders>
          </w:tcPr>
          <w:p>
            <w:pPr>
              <w:jc w:val="center"/>
              <w:ind w:right="11"/>
              <w:spacing w:after="0"/>
              <w:rPr>
                <w:sz w:val="20"/>
                <w:szCs w:val="20"/>
                <w:color w:val="auto"/>
              </w:rPr>
            </w:pPr>
            <w:r>
              <w:rPr>
                <w:rFonts w:ascii="Arial" w:cs="Arial" w:eastAsia="Arial" w:hAnsi="Arial"/>
                <w:sz w:val="14"/>
                <w:szCs w:val="14"/>
                <w:b w:val="1"/>
                <w:bCs w:val="1"/>
                <w:color w:val="auto"/>
                <w:w w:val="99"/>
              </w:rPr>
              <w:t>Group</w:t>
            </w:r>
          </w:p>
        </w:tc>
        <w:tc>
          <w:tcPr>
            <w:tcW w:w="0" w:type="dxa"/>
            <w:vAlign w:val="bottom"/>
          </w:tcPr>
          <w:p>
            <w:pPr>
              <w:spacing w:after="0"/>
              <w:rPr>
                <w:sz w:val="1"/>
                <w:szCs w:val="1"/>
                <w:color w:val="auto"/>
              </w:rPr>
            </w:pPr>
          </w:p>
        </w:tc>
      </w:tr>
      <w:tr>
        <w:trPr>
          <w:trHeight w:val="82"/>
        </w:trPr>
        <w:tc>
          <w:tcPr>
            <w:tcW w:w="3500" w:type="dxa"/>
            <w:vAlign w:val="bottom"/>
            <w:tcBorders>
              <w:left w:val="single" w:sz="8" w:color="0A9E50"/>
              <w:right w:val="single" w:sz="8" w:color="0A9E50"/>
            </w:tcBorders>
            <w:vMerge w:val="continue"/>
          </w:tcPr>
          <w:p>
            <w:pPr>
              <w:spacing w:after="0"/>
              <w:rPr>
                <w:sz w:val="7"/>
                <w:szCs w:val="7"/>
                <w:color w:val="auto"/>
              </w:rPr>
            </w:pPr>
          </w:p>
        </w:tc>
        <w:tc>
          <w:tcPr>
            <w:tcW w:w="3560" w:type="dxa"/>
            <w:vAlign w:val="bottom"/>
            <w:tcBorders>
              <w:right w:val="single" w:sz="8" w:color="0A9E50"/>
            </w:tcBorders>
            <w:vMerge w:val="continue"/>
          </w:tcPr>
          <w:p>
            <w:pPr>
              <w:spacing w:after="0"/>
              <w:rPr>
                <w:sz w:val="7"/>
                <w:szCs w:val="7"/>
                <w:color w:val="auto"/>
              </w:rPr>
            </w:pPr>
          </w:p>
        </w:tc>
        <w:tc>
          <w:tcPr>
            <w:tcW w:w="3460" w:type="dxa"/>
            <w:vAlign w:val="bottom"/>
            <w:tcBorders>
              <w:right w:val="single" w:sz="8" w:color="0A9E50"/>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3500" w:type="dxa"/>
            <w:vAlign w:val="bottom"/>
            <w:tcBorders>
              <w:left w:val="single" w:sz="8" w:color="0A9E50"/>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8"/>
              </w:rPr>
              <w:t>providers, Kelly earned the highest marks for vision</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9"/>
              </w:rPr>
              <w:t>Kelly earned the highest marks for vision and</w:t>
            </w:r>
          </w:p>
        </w:tc>
        <w:tc>
          <w:tcPr>
            <w:tcW w:w="3460" w:type="dxa"/>
            <w:vAlign w:val="bottom"/>
            <w:tcBorders>
              <w:right w:val="single" w:sz="8" w:color="0A9E50"/>
            </w:tcBorders>
          </w:tcPr>
          <w:p>
            <w:pPr>
              <w:jc w:val="center"/>
              <w:ind w:right="31"/>
              <w:spacing w:after="0" w:line="156" w:lineRule="exact"/>
              <w:rPr>
                <w:sz w:val="20"/>
                <w:szCs w:val="20"/>
                <w:color w:val="auto"/>
              </w:rPr>
            </w:pPr>
            <w:r>
              <w:rPr>
                <w:rFonts w:ascii="Arial" w:cs="Arial" w:eastAsia="Arial" w:hAnsi="Arial"/>
                <w:sz w:val="14"/>
                <w:szCs w:val="14"/>
                <w:color w:val="auto"/>
                <w:w w:val="98"/>
              </w:rPr>
              <w:t>Kelly Technology’s strong capabilities in sourcing IT</w:t>
            </w:r>
          </w:p>
        </w:tc>
        <w:tc>
          <w:tcPr>
            <w:tcW w:w="0" w:type="dxa"/>
            <w:vAlign w:val="bottom"/>
          </w:tcPr>
          <w:p>
            <w:pPr>
              <w:spacing w:after="0"/>
              <w:rPr>
                <w:sz w:val="1"/>
                <w:szCs w:val="1"/>
                <w:color w:val="auto"/>
              </w:rPr>
            </w:pPr>
          </w:p>
        </w:tc>
      </w:tr>
      <w:tr>
        <w:trPr>
          <w:trHeight w:val="156"/>
        </w:trPr>
        <w:tc>
          <w:tcPr>
            <w:tcW w:w="3500" w:type="dxa"/>
            <w:vAlign w:val="bottom"/>
            <w:tcBorders>
              <w:left w:val="single" w:sz="8" w:color="0A9E50"/>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8"/>
              </w:rPr>
              <w:t>and capability, which measure its ability to deliver</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8"/>
              </w:rPr>
              <w:t>capability, which measure its ability to deliver services</w:t>
            </w:r>
          </w:p>
        </w:tc>
        <w:tc>
          <w:tcPr>
            <w:tcW w:w="3460" w:type="dxa"/>
            <w:vAlign w:val="bottom"/>
            <w:tcBorders>
              <w:right w:val="single" w:sz="8" w:color="0A9E50"/>
            </w:tcBorders>
          </w:tcPr>
          <w:p>
            <w:pPr>
              <w:jc w:val="center"/>
              <w:ind w:right="31"/>
              <w:spacing w:after="0" w:line="156" w:lineRule="exact"/>
              <w:rPr>
                <w:sz w:val="20"/>
                <w:szCs w:val="20"/>
                <w:color w:val="auto"/>
              </w:rPr>
            </w:pPr>
            <w:r>
              <w:rPr>
                <w:rFonts w:ascii="Arial" w:cs="Arial" w:eastAsia="Arial" w:hAnsi="Arial"/>
                <w:sz w:val="14"/>
                <w:szCs w:val="14"/>
                <w:color w:val="auto"/>
                <w:w w:val="99"/>
              </w:rPr>
              <w:t>skills, combined with a diverse industry portfolio,</w:t>
            </w:r>
          </w:p>
        </w:tc>
        <w:tc>
          <w:tcPr>
            <w:tcW w:w="0" w:type="dxa"/>
            <w:vAlign w:val="bottom"/>
          </w:tcPr>
          <w:p>
            <w:pPr>
              <w:spacing w:after="0"/>
              <w:rPr>
                <w:sz w:val="1"/>
                <w:szCs w:val="1"/>
                <w:color w:val="auto"/>
              </w:rPr>
            </w:pPr>
          </w:p>
        </w:tc>
      </w:tr>
      <w:tr>
        <w:trPr>
          <w:trHeight w:val="184"/>
        </w:trPr>
        <w:tc>
          <w:tcPr>
            <w:tcW w:w="3500" w:type="dxa"/>
            <w:vAlign w:val="bottom"/>
            <w:tcBorders>
              <w:left w:val="single" w:sz="8" w:color="0A9E50"/>
              <w:right w:val="single" w:sz="8" w:color="0A9E50"/>
            </w:tcBorders>
          </w:tcPr>
          <w:p>
            <w:pPr>
              <w:jc w:val="center"/>
              <w:spacing w:after="0"/>
              <w:rPr>
                <w:sz w:val="20"/>
                <w:szCs w:val="20"/>
                <w:color w:val="auto"/>
              </w:rPr>
            </w:pPr>
            <w:r>
              <w:rPr>
                <w:rFonts w:ascii="Arial" w:cs="Arial" w:eastAsia="Arial" w:hAnsi="Arial"/>
                <w:sz w:val="14"/>
                <w:szCs w:val="14"/>
                <w:color w:val="auto"/>
                <w:w w:val="98"/>
              </w:rPr>
              <w:t>services to clients successfully.</w:t>
            </w:r>
          </w:p>
        </w:tc>
        <w:tc>
          <w:tcPr>
            <w:tcW w:w="3560" w:type="dxa"/>
            <w:vAlign w:val="bottom"/>
            <w:tcBorders>
              <w:right w:val="single" w:sz="8" w:color="0A9E50"/>
            </w:tcBorders>
          </w:tcPr>
          <w:p>
            <w:pPr>
              <w:jc w:val="center"/>
              <w:spacing w:after="0"/>
              <w:rPr>
                <w:sz w:val="20"/>
                <w:szCs w:val="20"/>
                <w:color w:val="auto"/>
              </w:rPr>
            </w:pPr>
            <w:r>
              <w:rPr>
                <w:rFonts w:ascii="Arial" w:cs="Arial" w:eastAsia="Arial" w:hAnsi="Arial"/>
                <w:sz w:val="14"/>
                <w:szCs w:val="14"/>
                <w:color w:val="auto"/>
                <w:w w:val="97"/>
              </w:rPr>
              <w:t>to clients.</w:t>
            </w:r>
          </w:p>
        </w:tc>
        <w:tc>
          <w:tcPr>
            <w:tcW w:w="3460" w:type="dxa"/>
            <w:vAlign w:val="bottom"/>
            <w:tcBorders>
              <w:right w:val="single" w:sz="8" w:color="0A9E50"/>
            </w:tcBorders>
          </w:tcPr>
          <w:p>
            <w:pPr>
              <w:jc w:val="center"/>
              <w:ind w:right="11"/>
              <w:spacing w:after="0"/>
              <w:rPr>
                <w:sz w:val="20"/>
                <w:szCs w:val="20"/>
                <w:color w:val="auto"/>
              </w:rPr>
            </w:pPr>
            <w:r>
              <w:rPr>
                <w:rFonts w:ascii="Arial" w:cs="Arial" w:eastAsia="Arial" w:hAnsi="Arial"/>
                <w:sz w:val="14"/>
                <w:szCs w:val="14"/>
                <w:color w:val="auto"/>
                <w:w w:val="99"/>
              </w:rPr>
              <w:t>helped to solidify its position as a Major Contender.</w:t>
            </w:r>
          </w:p>
        </w:tc>
        <w:tc>
          <w:tcPr>
            <w:tcW w:w="0" w:type="dxa"/>
            <w:vAlign w:val="bottom"/>
          </w:tcPr>
          <w:p>
            <w:pPr>
              <w:spacing w:after="0"/>
              <w:rPr>
                <w:sz w:val="1"/>
                <w:szCs w:val="1"/>
                <w:color w:val="auto"/>
              </w:rPr>
            </w:pPr>
          </w:p>
        </w:tc>
      </w:tr>
      <w:tr>
        <w:trPr>
          <w:trHeight w:val="112"/>
        </w:trPr>
        <w:tc>
          <w:tcPr>
            <w:tcW w:w="3500" w:type="dxa"/>
            <w:vAlign w:val="bottom"/>
            <w:tcBorders>
              <w:left w:val="single" w:sz="8" w:color="0A9E50"/>
              <w:bottom w:val="single" w:sz="8" w:color="0A9E50"/>
              <w:right w:val="single" w:sz="8" w:color="0A9E50"/>
            </w:tcBorders>
          </w:tcPr>
          <w:p>
            <w:pPr>
              <w:spacing w:after="0"/>
              <w:rPr>
                <w:sz w:val="9"/>
                <w:szCs w:val="9"/>
                <w:color w:val="auto"/>
              </w:rPr>
            </w:pPr>
          </w:p>
        </w:tc>
        <w:tc>
          <w:tcPr>
            <w:tcW w:w="3560" w:type="dxa"/>
            <w:vAlign w:val="bottom"/>
            <w:tcBorders>
              <w:bottom w:val="single" w:sz="8" w:color="0A9E50"/>
              <w:right w:val="single" w:sz="8" w:color="0A9E50"/>
            </w:tcBorders>
          </w:tcPr>
          <w:p>
            <w:pPr>
              <w:spacing w:after="0"/>
              <w:rPr>
                <w:sz w:val="9"/>
                <w:szCs w:val="9"/>
                <w:color w:val="auto"/>
              </w:rPr>
            </w:pPr>
          </w:p>
        </w:tc>
        <w:tc>
          <w:tcPr>
            <w:tcW w:w="3460" w:type="dxa"/>
            <w:vAlign w:val="bottom"/>
            <w:tcBorders>
              <w:bottom w:val="single" w:sz="8" w:color="0A9E50"/>
              <w:right w:val="single" w:sz="8" w:color="0A9E50"/>
            </w:tcBorders>
          </w:tcPr>
          <w:p>
            <w:pPr>
              <w:spacing w:after="0"/>
              <w:rPr>
                <w:sz w:val="9"/>
                <w:szCs w:val="9"/>
                <w:color w:val="auto"/>
              </w:rPr>
            </w:pPr>
          </w:p>
        </w:tc>
        <w:tc>
          <w:tcPr>
            <w:tcW w:w="0" w:type="dxa"/>
            <w:vAlign w:val="bottom"/>
          </w:tcPr>
          <w:p>
            <w:pPr>
              <w:spacing w:after="0"/>
              <w:rPr>
                <w:sz w:val="1"/>
                <w:szCs w:val="1"/>
                <w:color w:val="auto"/>
              </w:rPr>
            </w:pPr>
          </w:p>
        </w:tc>
      </w:tr>
      <w:tr>
        <w:trPr>
          <w:trHeight w:val="1206"/>
        </w:trPr>
        <w:tc>
          <w:tcPr>
            <w:tcW w:w="3500" w:type="dxa"/>
            <w:vAlign w:val="bottom"/>
            <w:tcBorders>
              <w:left w:val="single" w:sz="8" w:color="0A9E50"/>
              <w:right w:val="single" w:sz="8" w:color="0A9E50"/>
            </w:tcBorders>
          </w:tcPr>
          <w:p>
            <w:pPr>
              <w:jc w:val="center"/>
              <w:spacing w:after="0"/>
              <w:rPr>
                <w:sz w:val="20"/>
                <w:szCs w:val="20"/>
                <w:color w:val="auto"/>
              </w:rPr>
            </w:pPr>
            <w:r>
              <w:rPr>
                <w:rFonts w:ascii="Arial" w:cs="Arial" w:eastAsia="Arial" w:hAnsi="Arial"/>
                <w:sz w:val="14"/>
                <w:szCs w:val="14"/>
                <w:b w:val="1"/>
                <w:bCs w:val="1"/>
                <w:color w:val="auto"/>
                <w:w w:val="99"/>
              </w:rPr>
              <w:t>KellyOCG Named a Star Performer, Major</w:t>
            </w:r>
          </w:p>
        </w:tc>
        <w:tc>
          <w:tcPr>
            <w:tcW w:w="3560" w:type="dxa"/>
            <w:vAlign w:val="bottom"/>
            <w:tcBorders>
              <w:right w:val="single" w:sz="8" w:color="0A9E50"/>
            </w:tcBorders>
          </w:tcPr>
          <w:p>
            <w:pPr>
              <w:jc w:val="center"/>
              <w:spacing w:after="0"/>
              <w:rPr>
                <w:sz w:val="20"/>
                <w:szCs w:val="20"/>
                <w:color w:val="auto"/>
              </w:rPr>
            </w:pPr>
            <w:r>
              <w:rPr>
                <w:rFonts w:ascii="Arial" w:cs="Arial" w:eastAsia="Arial" w:hAnsi="Arial"/>
                <w:sz w:val="14"/>
                <w:szCs w:val="14"/>
                <w:b w:val="1"/>
                <w:bCs w:val="1"/>
                <w:color w:val="auto"/>
                <w:w w:val="98"/>
              </w:rPr>
              <w:t>KellyOCG Named Services Procurement Leader,</w:t>
            </w:r>
          </w:p>
        </w:tc>
        <w:tc>
          <w:tcPr>
            <w:tcW w:w="3460" w:type="dxa"/>
            <w:vAlign w:val="bottom"/>
            <w:tcBorders>
              <w:right w:val="single" w:sz="8" w:color="0A9E50"/>
            </w:tcBorders>
          </w:tcPr>
          <w:p>
            <w:pPr>
              <w:jc w:val="center"/>
              <w:ind w:right="31"/>
              <w:spacing w:after="0"/>
              <w:rPr>
                <w:sz w:val="20"/>
                <w:szCs w:val="20"/>
                <w:color w:val="auto"/>
              </w:rPr>
            </w:pPr>
            <w:r>
              <w:rPr>
                <w:rFonts w:ascii="Arial" w:cs="Arial" w:eastAsia="Arial" w:hAnsi="Arial"/>
                <w:sz w:val="14"/>
                <w:szCs w:val="14"/>
                <w:b w:val="1"/>
                <w:bCs w:val="1"/>
                <w:color w:val="auto"/>
                <w:w w:val="98"/>
              </w:rPr>
              <w:t>KellyOCG Named Contingent Workforce</w:t>
            </w:r>
          </w:p>
        </w:tc>
        <w:tc>
          <w:tcPr>
            <w:tcW w:w="0" w:type="dxa"/>
            <w:vAlign w:val="bottom"/>
          </w:tcPr>
          <w:p>
            <w:pPr>
              <w:spacing w:after="0"/>
              <w:rPr>
                <w:sz w:val="1"/>
                <w:szCs w:val="1"/>
                <w:color w:val="auto"/>
              </w:rPr>
            </w:pPr>
          </w:p>
        </w:tc>
      </w:tr>
      <w:tr>
        <w:trPr>
          <w:trHeight w:val="152"/>
        </w:trPr>
        <w:tc>
          <w:tcPr>
            <w:tcW w:w="3500" w:type="dxa"/>
            <w:vAlign w:val="bottom"/>
            <w:tcBorders>
              <w:left w:val="single" w:sz="8" w:color="0A9E50"/>
              <w:right w:val="single" w:sz="8" w:color="0A9E50"/>
            </w:tcBorders>
          </w:tcPr>
          <w:p>
            <w:pPr>
              <w:jc w:val="center"/>
              <w:spacing w:after="0" w:line="153" w:lineRule="exact"/>
              <w:rPr>
                <w:sz w:val="20"/>
                <w:szCs w:val="20"/>
                <w:color w:val="auto"/>
              </w:rPr>
            </w:pPr>
            <w:r>
              <w:rPr>
                <w:rFonts w:ascii="Arial" w:cs="Arial" w:eastAsia="Arial" w:hAnsi="Arial"/>
                <w:sz w:val="14"/>
                <w:szCs w:val="14"/>
                <w:b w:val="1"/>
                <w:bCs w:val="1"/>
                <w:color w:val="auto"/>
                <w:w w:val="99"/>
              </w:rPr>
              <w:t>Contender on Everest Group’s 2023 RPO PEAK</w:t>
            </w:r>
          </w:p>
        </w:tc>
        <w:tc>
          <w:tcPr>
            <w:tcW w:w="3560" w:type="dxa"/>
            <w:vAlign w:val="bottom"/>
            <w:tcBorders>
              <w:right w:val="single" w:sz="8" w:color="0A9E50"/>
            </w:tcBorders>
          </w:tcPr>
          <w:p>
            <w:pPr>
              <w:jc w:val="center"/>
              <w:spacing w:after="0" w:line="153" w:lineRule="exact"/>
              <w:rPr>
                <w:sz w:val="20"/>
                <w:szCs w:val="20"/>
                <w:color w:val="auto"/>
              </w:rPr>
            </w:pPr>
            <w:r>
              <w:rPr>
                <w:rFonts w:ascii="Arial" w:cs="Arial" w:eastAsia="Arial" w:hAnsi="Arial"/>
                <w:sz w:val="14"/>
                <w:szCs w:val="14"/>
                <w:b w:val="1"/>
                <w:bCs w:val="1"/>
                <w:color w:val="auto"/>
                <w:w w:val="99"/>
              </w:rPr>
              <w:t>Star Performer on Everest Group’s 2023 PEAK</w:t>
            </w:r>
          </w:p>
        </w:tc>
        <w:tc>
          <w:tcPr>
            <w:tcW w:w="3460" w:type="dxa"/>
            <w:vAlign w:val="bottom"/>
            <w:tcBorders>
              <w:right w:val="single" w:sz="8" w:color="0A9E50"/>
            </w:tcBorders>
          </w:tcPr>
          <w:p>
            <w:pPr>
              <w:jc w:val="center"/>
              <w:ind w:right="31"/>
              <w:spacing w:after="0" w:line="153" w:lineRule="exact"/>
              <w:rPr>
                <w:sz w:val="20"/>
                <w:szCs w:val="20"/>
                <w:color w:val="auto"/>
              </w:rPr>
            </w:pPr>
            <w:r>
              <w:rPr>
                <w:rFonts w:ascii="Arial" w:cs="Arial" w:eastAsia="Arial" w:hAnsi="Arial"/>
                <w:sz w:val="14"/>
                <w:szCs w:val="14"/>
                <w:b w:val="1"/>
                <w:bCs w:val="1"/>
                <w:color w:val="auto"/>
                <w:w w:val="98"/>
              </w:rPr>
              <w:t>Management Leader on Everest Group’s 2023</w:t>
            </w:r>
          </w:p>
        </w:tc>
        <w:tc>
          <w:tcPr>
            <w:tcW w:w="0" w:type="dxa"/>
            <w:vAlign w:val="bottom"/>
          </w:tcPr>
          <w:p>
            <w:pPr>
              <w:spacing w:after="0"/>
              <w:rPr>
                <w:sz w:val="1"/>
                <w:szCs w:val="1"/>
                <w:color w:val="auto"/>
              </w:rPr>
            </w:pPr>
          </w:p>
        </w:tc>
      </w:tr>
      <w:tr>
        <w:trPr>
          <w:trHeight w:val="277"/>
        </w:trPr>
        <w:tc>
          <w:tcPr>
            <w:tcW w:w="3500" w:type="dxa"/>
            <w:vAlign w:val="bottom"/>
            <w:tcBorders>
              <w:left w:val="single" w:sz="8" w:color="0A9E50"/>
              <w:right w:val="single" w:sz="8" w:color="0A9E50"/>
            </w:tcBorders>
          </w:tcPr>
          <w:p>
            <w:pPr>
              <w:jc w:val="center"/>
              <w:spacing w:after="0"/>
              <w:rPr>
                <w:sz w:val="20"/>
                <w:szCs w:val="20"/>
                <w:color w:val="auto"/>
              </w:rPr>
            </w:pPr>
            <w:r>
              <w:rPr>
                <w:rFonts w:ascii="Arial" w:cs="Arial" w:eastAsia="Arial" w:hAnsi="Arial"/>
                <w:sz w:val="14"/>
                <w:szCs w:val="14"/>
                <w:b w:val="1"/>
                <w:bCs w:val="1"/>
                <w:color w:val="auto"/>
                <w:w w:val="93"/>
              </w:rPr>
              <w:t>Matrix</w:t>
            </w:r>
            <w:r>
              <w:rPr>
                <w:rFonts w:ascii="Arial" w:cs="Arial" w:eastAsia="Arial" w:hAnsi="Arial"/>
                <w:sz w:val="20"/>
                <w:szCs w:val="20"/>
                <w:b w:val="1"/>
                <w:bCs w:val="1"/>
                <w:color w:val="auto"/>
                <w:w w:val="93"/>
                <w:vertAlign w:val="superscript"/>
              </w:rPr>
              <w:t>®</w:t>
            </w:r>
          </w:p>
        </w:tc>
        <w:tc>
          <w:tcPr>
            <w:tcW w:w="3560" w:type="dxa"/>
            <w:vAlign w:val="bottom"/>
            <w:tcBorders>
              <w:right w:val="single" w:sz="8" w:color="0A9E50"/>
            </w:tcBorders>
          </w:tcPr>
          <w:p>
            <w:pPr>
              <w:jc w:val="center"/>
              <w:spacing w:after="0"/>
              <w:rPr>
                <w:sz w:val="20"/>
                <w:szCs w:val="20"/>
                <w:color w:val="auto"/>
              </w:rPr>
            </w:pPr>
            <w:r>
              <w:rPr>
                <w:rFonts w:ascii="Arial" w:cs="Arial" w:eastAsia="Arial" w:hAnsi="Arial"/>
                <w:sz w:val="14"/>
                <w:szCs w:val="14"/>
                <w:b w:val="1"/>
                <w:bCs w:val="1"/>
                <w:color w:val="auto"/>
                <w:w w:val="97"/>
              </w:rPr>
              <w:t>Matrix</w:t>
            </w:r>
            <w:r>
              <w:rPr>
                <w:rFonts w:ascii="Arial" w:cs="Arial" w:eastAsia="Arial" w:hAnsi="Arial"/>
                <w:sz w:val="20"/>
                <w:szCs w:val="20"/>
                <w:b w:val="1"/>
                <w:bCs w:val="1"/>
                <w:color w:val="auto"/>
                <w:w w:val="97"/>
                <w:vertAlign w:val="superscript"/>
              </w:rPr>
              <w:t>®</w:t>
            </w:r>
          </w:p>
        </w:tc>
        <w:tc>
          <w:tcPr>
            <w:tcW w:w="3460" w:type="dxa"/>
            <w:vAlign w:val="bottom"/>
            <w:tcBorders>
              <w:right w:val="single" w:sz="8" w:color="0A9E50"/>
            </w:tcBorders>
          </w:tcPr>
          <w:p>
            <w:pPr>
              <w:jc w:val="center"/>
              <w:ind w:right="11"/>
              <w:spacing w:after="0"/>
              <w:rPr>
                <w:sz w:val="20"/>
                <w:szCs w:val="20"/>
                <w:color w:val="auto"/>
              </w:rPr>
            </w:pPr>
            <w:r>
              <w:rPr>
                <w:rFonts w:ascii="Arial" w:cs="Arial" w:eastAsia="Arial" w:hAnsi="Arial"/>
                <w:sz w:val="14"/>
                <w:szCs w:val="14"/>
                <w:b w:val="1"/>
                <w:bCs w:val="1"/>
                <w:color w:val="auto"/>
                <w:w w:val="95"/>
              </w:rPr>
              <w:t>PEAK Matrix</w:t>
            </w:r>
            <w:r>
              <w:rPr>
                <w:rFonts w:ascii="Arial" w:cs="Arial" w:eastAsia="Arial" w:hAnsi="Arial"/>
                <w:sz w:val="20"/>
                <w:szCs w:val="20"/>
                <w:b w:val="1"/>
                <w:bCs w:val="1"/>
                <w:color w:val="auto"/>
                <w:w w:val="95"/>
                <w:vertAlign w:val="superscript"/>
              </w:rPr>
              <w:t>®</w:t>
            </w:r>
          </w:p>
        </w:tc>
        <w:tc>
          <w:tcPr>
            <w:tcW w:w="0" w:type="dxa"/>
            <w:vAlign w:val="bottom"/>
          </w:tcPr>
          <w:p>
            <w:pPr>
              <w:spacing w:after="0"/>
              <w:rPr>
                <w:sz w:val="1"/>
                <w:szCs w:val="1"/>
                <w:color w:val="auto"/>
              </w:rPr>
            </w:pPr>
          </w:p>
        </w:tc>
      </w:tr>
      <w:tr>
        <w:trPr>
          <w:trHeight w:val="156"/>
        </w:trPr>
        <w:tc>
          <w:tcPr>
            <w:tcW w:w="3500" w:type="dxa"/>
            <w:vAlign w:val="bottom"/>
            <w:tcBorders>
              <w:left w:val="single" w:sz="8" w:color="0A9E50"/>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9"/>
              </w:rPr>
              <w:t>KellyOCG’s timely investments in improving its</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9"/>
              </w:rPr>
              <w:t>KellyOCG’s services procurement portfolio sustained</w:t>
            </w:r>
          </w:p>
        </w:tc>
        <w:tc>
          <w:tcPr>
            <w:tcW w:w="3460" w:type="dxa"/>
            <w:vAlign w:val="bottom"/>
            <w:tcBorders>
              <w:right w:val="single" w:sz="8" w:color="0A9E50"/>
            </w:tcBorders>
          </w:tcPr>
          <w:p>
            <w:pPr>
              <w:jc w:val="center"/>
              <w:ind w:right="31"/>
              <w:spacing w:after="0" w:line="156" w:lineRule="exact"/>
              <w:rPr>
                <w:sz w:val="20"/>
                <w:szCs w:val="20"/>
                <w:color w:val="auto"/>
              </w:rPr>
            </w:pPr>
            <w:r>
              <w:rPr>
                <w:rFonts w:ascii="Arial" w:cs="Arial" w:eastAsia="Arial" w:hAnsi="Arial"/>
                <w:sz w:val="14"/>
                <w:szCs w:val="14"/>
                <w:color w:val="auto"/>
                <w:w w:val="99"/>
              </w:rPr>
              <w:t>KellyOCG continues to drive value for its clients</w:t>
            </w:r>
          </w:p>
        </w:tc>
        <w:tc>
          <w:tcPr>
            <w:tcW w:w="0" w:type="dxa"/>
            <w:vAlign w:val="bottom"/>
          </w:tcPr>
          <w:p>
            <w:pPr>
              <w:spacing w:after="0"/>
              <w:rPr>
                <w:sz w:val="1"/>
                <w:szCs w:val="1"/>
                <w:color w:val="auto"/>
              </w:rPr>
            </w:pPr>
          </w:p>
        </w:tc>
      </w:tr>
      <w:tr>
        <w:trPr>
          <w:trHeight w:val="156"/>
        </w:trPr>
        <w:tc>
          <w:tcPr>
            <w:tcW w:w="3500" w:type="dxa"/>
            <w:vAlign w:val="bottom"/>
            <w:tcBorders>
              <w:left w:val="single" w:sz="8" w:color="0A9E50"/>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8"/>
              </w:rPr>
              <w:t>regional coverage, technology capabilities and</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8"/>
              </w:rPr>
              <w:t>its growth momentum on the back of its consistent</w:t>
            </w:r>
          </w:p>
        </w:tc>
        <w:tc>
          <w:tcPr>
            <w:tcW w:w="3460" w:type="dxa"/>
            <w:vAlign w:val="bottom"/>
            <w:tcBorders>
              <w:right w:val="single" w:sz="8" w:color="0A9E50"/>
            </w:tcBorders>
          </w:tcPr>
          <w:p>
            <w:pPr>
              <w:jc w:val="center"/>
              <w:ind w:right="31"/>
              <w:spacing w:after="0" w:line="156" w:lineRule="exact"/>
              <w:rPr>
                <w:sz w:val="20"/>
                <w:szCs w:val="20"/>
                <w:color w:val="auto"/>
              </w:rPr>
            </w:pPr>
            <w:r>
              <w:rPr>
                <w:rFonts w:ascii="Arial" w:cs="Arial" w:eastAsia="Arial" w:hAnsi="Arial"/>
                <w:sz w:val="14"/>
                <w:szCs w:val="14"/>
                <w:color w:val="auto"/>
                <w:w w:val="99"/>
              </w:rPr>
              <w:t>building on its strong global presence and expertise</w:t>
            </w:r>
          </w:p>
        </w:tc>
        <w:tc>
          <w:tcPr>
            <w:tcW w:w="0" w:type="dxa"/>
            <w:vAlign w:val="bottom"/>
          </w:tcPr>
          <w:p>
            <w:pPr>
              <w:spacing w:after="0"/>
              <w:rPr>
                <w:sz w:val="1"/>
                <w:szCs w:val="1"/>
                <w:color w:val="auto"/>
              </w:rPr>
            </w:pPr>
          </w:p>
        </w:tc>
      </w:tr>
      <w:tr>
        <w:trPr>
          <w:trHeight w:val="156"/>
        </w:trPr>
        <w:tc>
          <w:tcPr>
            <w:tcW w:w="3500" w:type="dxa"/>
            <w:vAlign w:val="bottom"/>
            <w:tcBorders>
              <w:left w:val="single" w:sz="8" w:color="0A9E50"/>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8"/>
              </w:rPr>
              <w:t>value-added strategic offerings creates a</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8"/>
              </w:rPr>
              <w:t>efforts to build capabilities across the entire value</w:t>
            </w:r>
          </w:p>
        </w:tc>
        <w:tc>
          <w:tcPr>
            <w:tcW w:w="3460" w:type="dxa"/>
            <w:vAlign w:val="bottom"/>
            <w:tcBorders>
              <w:right w:val="single" w:sz="8" w:color="0A9E50"/>
            </w:tcBorders>
          </w:tcPr>
          <w:p>
            <w:pPr>
              <w:jc w:val="center"/>
              <w:ind w:right="11"/>
              <w:spacing w:after="0" w:line="156" w:lineRule="exact"/>
              <w:rPr>
                <w:sz w:val="20"/>
                <w:szCs w:val="20"/>
                <w:color w:val="auto"/>
              </w:rPr>
            </w:pPr>
            <w:r>
              <w:rPr>
                <w:rFonts w:ascii="Arial" w:cs="Arial" w:eastAsia="Arial" w:hAnsi="Arial"/>
                <w:sz w:val="14"/>
                <w:szCs w:val="14"/>
                <w:color w:val="auto"/>
                <w:w w:val="98"/>
              </w:rPr>
              <w:t>in catering to diverse client needs across</w:t>
            </w:r>
          </w:p>
        </w:tc>
        <w:tc>
          <w:tcPr>
            <w:tcW w:w="0" w:type="dxa"/>
            <w:vAlign w:val="bottom"/>
          </w:tcPr>
          <w:p>
            <w:pPr>
              <w:spacing w:after="0"/>
              <w:rPr>
                <w:sz w:val="1"/>
                <w:szCs w:val="1"/>
                <w:color w:val="auto"/>
              </w:rPr>
            </w:pPr>
          </w:p>
        </w:tc>
      </w:tr>
      <w:tr>
        <w:trPr>
          <w:trHeight w:val="184"/>
        </w:trPr>
        <w:tc>
          <w:tcPr>
            <w:tcW w:w="3500" w:type="dxa"/>
            <w:vAlign w:val="bottom"/>
            <w:tcBorders>
              <w:left w:val="single" w:sz="8" w:color="0A9E50"/>
              <w:right w:val="single" w:sz="8" w:color="0A9E50"/>
            </w:tcBorders>
          </w:tcPr>
          <w:p>
            <w:pPr>
              <w:jc w:val="center"/>
              <w:spacing w:after="0"/>
              <w:rPr>
                <w:sz w:val="20"/>
                <w:szCs w:val="20"/>
                <w:color w:val="auto"/>
              </w:rPr>
            </w:pPr>
            <w:r>
              <w:rPr>
                <w:rFonts w:ascii="Arial" w:cs="Arial" w:eastAsia="Arial" w:hAnsi="Arial"/>
                <w:sz w:val="14"/>
                <w:szCs w:val="14"/>
                <w:color w:val="auto"/>
                <w:w w:val="99"/>
              </w:rPr>
              <w:t>comprehensive service offering.</w:t>
            </w:r>
          </w:p>
        </w:tc>
        <w:tc>
          <w:tcPr>
            <w:tcW w:w="3560" w:type="dxa"/>
            <w:vAlign w:val="bottom"/>
            <w:tcBorders>
              <w:right w:val="single" w:sz="8" w:color="0A9E50"/>
            </w:tcBorders>
          </w:tcPr>
          <w:p>
            <w:pPr>
              <w:jc w:val="center"/>
              <w:spacing w:after="0"/>
              <w:rPr>
                <w:sz w:val="20"/>
                <w:szCs w:val="20"/>
                <w:color w:val="auto"/>
              </w:rPr>
            </w:pPr>
            <w:r>
              <w:rPr>
                <w:rFonts w:ascii="Arial" w:cs="Arial" w:eastAsia="Arial" w:hAnsi="Arial"/>
                <w:sz w:val="14"/>
                <w:szCs w:val="14"/>
                <w:color w:val="auto"/>
              </w:rPr>
              <w:t>chain.</w:t>
            </w:r>
          </w:p>
        </w:tc>
        <w:tc>
          <w:tcPr>
            <w:tcW w:w="3460" w:type="dxa"/>
            <w:vAlign w:val="bottom"/>
            <w:tcBorders>
              <w:right w:val="single" w:sz="8" w:color="0A9E50"/>
            </w:tcBorders>
          </w:tcPr>
          <w:p>
            <w:pPr>
              <w:jc w:val="center"/>
              <w:ind w:right="31"/>
              <w:spacing w:after="0"/>
              <w:rPr>
                <w:sz w:val="20"/>
                <w:szCs w:val="20"/>
                <w:color w:val="auto"/>
              </w:rPr>
            </w:pPr>
            <w:r>
              <w:rPr>
                <w:rFonts w:ascii="Arial" w:cs="Arial" w:eastAsia="Arial" w:hAnsi="Arial"/>
                <w:sz w:val="14"/>
                <w:szCs w:val="14"/>
                <w:color w:val="auto"/>
                <w:w w:val="98"/>
              </w:rPr>
              <w:t>geographies, job categories, and industries.</w:t>
            </w:r>
          </w:p>
        </w:tc>
        <w:tc>
          <w:tcPr>
            <w:tcW w:w="0" w:type="dxa"/>
            <w:vAlign w:val="bottom"/>
          </w:tcPr>
          <w:p>
            <w:pPr>
              <w:spacing w:after="0"/>
              <w:rPr>
                <w:sz w:val="1"/>
                <w:szCs w:val="1"/>
                <w:color w:val="auto"/>
              </w:rPr>
            </w:pPr>
          </w:p>
        </w:tc>
      </w:tr>
      <w:tr>
        <w:trPr>
          <w:trHeight w:val="112"/>
        </w:trPr>
        <w:tc>
          <w:tcPr>
            <w:tcW w:w="3500" w:type="dxa"/>
            <w:vAlign w:val="bottom"/>
            <w:tcBorders>
              <w:left w:val="single" w:sz="8" w:color="0A9E50"/>
              <w:bottom w:val="single" w:sz="8" w:color="0A9E50"/>
              <w:right w:val="single" w:sz="8" w:color="0A9E50"/>
            </w:tcBorders>
          </w:tcPr>
          <w:p>
            <w:pPr>
              <w:spacing w:after="0"/>
              <w:rPr>
                <w:sz w:val="9"/>
                <w:szCs w:val="9"/>
                <w:color w:val="auto"/>
              </w:rPr>
            </w:pPr>
          </w:p>
        </w:tc>
        <w:tc>
          <w:tcPr>
            <w:tcW w:w="3560" w:type="dxa"/>
            <w:vAlign w:val="bottom"/>
            <w:tcBorders>
              <w:bottom w:val="single" w:sz="8" w:color="0A9E50"/>
              <w:right w:val="single" w:sz="8" w:color="0A9E50"/>
            </w:tcBorders>
          </w:tcPr>
          <w:p>
            <w:pPr>
              <w:spacing w:after="0"/>
              <w:rPr>
                <w:sz w:val="9"/>
                <w:szCs w:val="9"/>
                <w:color w:val="auto"/>
              </w:rPr>
            </w:pPr>
          </w:p>
        </w:tc>
        <w:tc>
          <w:tcPr>
            <w:tcW w:w="3460" w:type="dxa"/>
            <w:vAlign w:val="bottom"/>
            <w:tcBorders>
              <w:bottom w:val="single" w:sz="8" w:color="0A9E50"/>
              <w:right w:val="single" w:sz="8" w:color="0A9E50"/>
            </w:tcBorders>
          </w:tcPr>
          <w:p>
            <w:pPr>
              <w:spacing w:after="0"/>
              <w:rPr>
                <w:sz w:val="9"/>
                <w:szCs w:val="9"/>
                <w:color w:val="auto"/>
              </w:rPr>
            </w:pPr>
          </w:p>
        </w:tc>
        <w:tc>
          <w:tcPr>
            <w:tcW w:w="0" w:type="dxa"/>
            <w:vAlign w:val="bottom"/>
          </w:tcPr>
          <w:p>
            <w:pPr>
              <w:spacing w:after="0"/>
              <w:rPr>
                <w:sz w:val="1"/>
                <w:szCs w:val="1"/>
                <w:color w:val="auto"/>
              </w:rPr>
            </w:pPr>
          </w:p>
        </w:tc>
      </w:tr>
      <w:tr>
        <w:trPr>
          <w:trHeight w:val="1141"/>
        </w:trPr>
        <w:tc>
          <w:tcPr>
            <w:tcW w:w="3500" w:type="dxa"/>
            <w:vAlign w:val="bottom"/>
            <w:tcBorders>
              <w:left w:val="single" w:sz="8" w:color="0A9E50"/>
              <w:right w:val="single" w:sz="8" w:color="0A9E50"/>
            </w:tcBorders>
          </w:tcPr>
          <w:p>
            <w:pPr>
              <w:jc w:val="center"/>
              <w:spacing w:after="0"/>
              <w:rPr>
                <w:sz w:val="20"/>
                <w:szCs w:val="20"/>
                <w:color w:val="auto"/>
              </w:rPr>
            </w:pPr>
            <w:r>
              <w:rPr>
                <w:rFonts w:ascii="Arial" w:cs="Arial" w:eastAsia="Arial" w:hAnsi="Arial"/>
                <w:sz w:val="14"/>
                <w:szCs w:val="14"/>
                <w:b w:val="1"/>
                <w:bCs w:val="1"/>
                <w:color w:val="auto"/>
                <w:w w:val="98"/>
              </w:rPr>
              <w:t>Kelly Wins Global Impact Sourcing Award Given</w:t>
            </w:r>
          </w:p>
        </w:tc>
        <w:tc>
          <w:tcPr>
            <w:tcW w:w="3560" w:type="dxa"/>
            <w:vAlign w:val="bottom"/>
            <w:tcBorders>
              <w:right w:val="single" w:sz="8" w:color="0A9E50"/>
            </w:tcBorders>
          </w:tcPr>
          <w:p>
            <w:pPr>
              <w:jc w:val="center"/>
              <w:spacing w:after="0"/>
              <w:rPr>
                <w:sz w:val="20"/>
                <w:szCs w:val="20"/>
                <w:color w:val="auto"/>
              </w:rPr>
            </w:pPr>
            <w:r>
              <w:rPr>
                <w:rFonts w:ascii="Arial" w:cs="Arial" w:eastAsia="Arial" w:hAnsi="Arial"/>
                <w:sz w:val="14"/>
                <w:szCs w:val="14"/>
                <w:b w:val="1"/>
                <w:bCs w:val="1"/>
                <w:color w:val="auto"/>
                <w:w w:val="99"/>
              </w:rPr>
              <w:t>Kelly Named to 2023 IAOP Global Outsourcing 100</w:t>
            </w:r>
          </w:p>
        </w:tc>
        <w:tc>
          <w:tcPr>
            <w:tcW w:w="3460" w:type="dxa"/>
            <w:vAlign w:val="bottom"/>
            <w:tcBorders>
              <w:right w:val="single" w:sz="8" w:color="0A9E50"/>
            </w:tcBorders>
          </w:tcPr>
          <w:p>
            <w:pPr>
              <w:jc w:val="center"/>
              <w:ind w:right="11"/>
              <w:spacing w:after="0"/>
              <w:rPr>
                <w:sz w:val="20"/>
                <w:szCs w:val="20"/>
                <w:color w:val="auto"/>
              </w:rPr>
            </w:pPr>
            <w:r>
              <w:rPr>
                <w:rFonts w:ascii="Arial" w:cs="Arial" w:eastAsia="Arial" w:hAnsi="Arial"/>
                <w:sz w:val="14"/>
                <w:szCs w:val="14"/>
                <w:b w:val="1"/>
                <w:bCs w:val="1"/>
                <w:color w:val="auto"/>
                <w:w w:val="98"/>
              </w:rPr>
              <w:t>Kelly One of the Largest Staffing Firms Globally</w:t>
            </w:r>
          </w:p>
        </w:tc>
        <w:tc>
          <w:tcPr>
            <w:tcW w:w="0" w:type="dxa"/>
            <w:vAlign w:val="bottom"/>
          </w:tcPr>
          <w:p>
            <w:pPr>
              <w:spacing w:after="0"/>
              <w:rPr>
                <w:sz w:val="1"/>
                <w:szCs w:val="1"/>
                <w:color w:val="auto"/>
              </w:rPr>
            </w:pPr>
          </w:p>
        </w:tc>
      </w:tr>
      <w:tr>
        <w:trPr>
          <w:trHeight w:val="192"/>
        </w:trPr>
        <w:tc>
          <w:tcPr>
            <w:tcW w:w="3500" w:type="dxa"/>
            <w:vAlign w:val="bottom"/>
            <w:tcBorders>
              <w:left w:val="single" w:sz="8" w:color="0A9E50"/>
              <w:right w:val="single" w:sz="8" w:color="0A9E50"/>
            </w:tcBorders>
          </w:tcPr>
          <w:p>
            <w:pPr>
              <w:jc w:val="center"/>
              <w:spacing w:after="0"/>
              <w:rPr>
                <w:sz w:val="20"/>
                <w:szCs w:val="20"/>
                <w:color w:val="auto"/>
              </w:rPr>
            </w:pPr>
            <w:r>
              <w:rPr>
                <w:rFonts w:ascii="Arial" w:cs="Arial" w:eastAsia="Arial" w:hAnsi="Arial"/>
                <w:sz w:val="14"/>
                <w:szCs w:val="14"/>
                <w:b w:val="1"/>
                <w:bCs w:val="1"/>
                <w:color w:val="auto"/>
                <w:w w:val="99"/>
              </w:rPr>
              <w:t>by IAOP</w:t>
            </w:r>
          </w:p>
        </w:tc>
        <w:tc>
          <w:tcPr>
            <w:tcW w:w="3560" w:type="dxa"/>
            <w:vAlign w:val="bottom"/>
            <w:tcBorders>
              <w:right w:val="single" w:sz="8" w:color="0A9E50"/>
            </w:tcBorders>
          </w:tcPr>
          <w:p>
            <w:pPr>
              <w:jc w:val="center"/>
              <w:spacing w:after="0"/>
              <w:rPr>
                <w:sz w:val="20"/>
                <w:szCs w:val="20"/>
                <w:color w:val="auto"/>
              </w:rPr>
            </w:pPr>
            <w:r>
              <w:rPr>
                <w:rFonts w:ascii="Arial" w:cs="Arial" w:eastAsia="Arial" w:hAnsi="Arial"/>
                <w:sz w:val="14"/>
                <w:szCs w:val="14"/>
                <w:b w:val="1"/>
                <w:bCs w:val="1"/>
                <w:color w:val="auto"/>
              </w:rPr>
              <w:t>List</w:t>
            </w:r>
          </w:p>
        </w:tc>
        <w:tc>
          <w:tcPr>
            <w:tcW w:w="3460" w:type="dxa"/>
            <w:vAlign w:val="bottom"/>
            <w:tcBorders>
              <w:right w:val="single" w:sz="8" w:color="0A9E50"/>
            </w:tcBorders>
            <w:vMerge w:val="restart"/>
          </w:tcPr>
          <w:p>
            <w:pPr>
              <w:jc w:val="center"/>
              <w:ind w:right="11"/>
              <w:spacing w:after="0"/>
              <w:rPr>
                <w:sz w:val="20"/>
                <w:szCs w:val="20"/>
                <w:color w:val="auto"/>
              </w:rPr>
            </w:pPr>
            <w:r>
              <w:rPr>
                <w:rFonts w:ascii="Arial" w:cs="Arial" w:eastAsia="Arial" w:hAnsi="Arial"/>
                <w:sz w:val="14"/>
                <w:szCs w:val="14"/>
                <w:color w:val="auto"/>
                <w:w w:val="98"/>
              </w:rPr>
              <w:t>Kelly is one of the largest staffing firms globally,</w:t>
            </w:r>
          </w:p>
        </w:tc>
        <w:tc>
          <w:tcPr>
            <w:tcW w:w="0" w:type="dxa"/>
            <w:vAlign w:val="bottom"/>
          </w:tcPr>
          <w:p>
            <w:pPr>
              <w:spacing w:after="0"/>
              <w:rPr>
                <w:sz w:val="1"/>
                <w:szCs w:val="1"/>
                <w:color w:val="auto"/>
              </w:rPr>
            </w:pPr>
          </w:p>
        </w:tc>
      </w:tr>
      <w:tr>
        <w:trPr>
          <w:trHeight w:val="82"/>
        </w:trPr>
        <w:tc>
          <w:tcPr>
            <w:tcW w:w="3500" w:type="dxa"/>
            <w:vAlign w:val="bottom"/>
            <w:tcBorders>
              <w:left w:val="single" w:sz="8" w:color="0A9E50"/>
              <w:right w:val="single" w:sz="8" w:color="0A9E50"/>
            </w:tcBorders>
          </w:tcPr>
          <w:p>
            <w:pPr>
              <w:spacing w:after="0"/>
              <w:rPr>
                <w:sz w:val="7"/>
                <w:szCs w:val="7"/>
                <w:color w:val="auto"/>
              </w:rPr>
            </w:pPr>
          </w:p>
        </w:tc>
        <w:tc>
          <w:tcPr>
            <w:tcW w:w="3560" w:type="dxa"/>
            <w:vAlign w:val="bottom"/>
            <w:tcBorders>
              <w:right w:val="single" w:sz="8" w:color="0A9E50"/>
            </w:tcBorders>
          </w:tcPr>
          <w:p>
            <w:pPr>
              <w:spacing w:after="0"/>
              <w:rPr>
                <w:sz w:val="7"/>
                <w:szCs w:val="7"/>
                <w:color w:val="auto"/>
              </w:rPr>
            </w:pPr>
          </w:p>
        </w:tc>
        <w:tc>
          <w:tcPr>
            <w:tcW w:w="3460" w:type="dxa"/>
            <w:vAlign w:val="bottom"/>
            <w:tcBorders>
              <w:right w:val="single" w:sz="8" w:color="0A9E5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3500" w:type="dxa"/>
            <w:vAlign w:val="bottom"/>
            <w:tcBorders>
              <w:left w:val="single" w:sz="8" w:color="0A9E50"/>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8"/>
              </w:rPr>
              <w:t>The prestigious award recognizes organizations that</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9"/>
              </w:rPr>
              <w:t>The International Association of Outsourcing</w:t>
            </w:r>
          </w:p>
        </w:tc>
        <w:tc>
          <w:tcPr>
            <w:tcW w:w="3460" w:type="dxa"/>
            <w:vAlign w:val="bottom"/>
            <w:tcBorders>
              <w:right w:val="single" w:sz="8" w:color="0A9E50"/>
            </w:tcBorders>
          </w:tcPr>
          <w:p>
            <w:pPr>
              <w:jc w:val="center"/>
              <w:ind w:right="11"/>
              <w:spacing w:after="0" w:line="156" w:lineRule="exact"/>
              <w:rPr>
                <w:sz w:val="20"/>
                <w:szCs w:val="20"/>
                <w:color w:val="auto"/>
              </w:rPr>
            </w:pPr>
            <w:r>
              <w:rPr>
                <w:rFonts w:ascii="Arial" w:cs="Arial" w:eastAsia="Arial" w:hAnsi="Arial"/>
                <w:sz w:val="14"/>
                <w:szCs w:val="14"/>
                <w:color w:val="auto"/>
                <w:w w:val="99"/>
              </w:rPr>
              <w:t>according to the 2023 ranking by Staffing Industry</w:t>
            </w:r>
          </w:p>
        </w:tc>
        <w:tc>
          <w:tcPr>
            <w:tcW w:w="0" w:type="dxa"/>
            <w:vAlign w:val="bottom"/>
          </w:tcPr>
          <w:p>
            <w:pPr>
              <w:spacing w:after="0"/>
              <w:rPr>
                <w:sz w:val="1"/>
                <w:szCs w:val="1"/>
                <w:color w:val="auto"/>
              </w:rPr>
            </w:pPr>
          </w:p>
        </w:tc>
      </w:tr>
      <w:tr>
        <w:trPr>
          <w:trHeight w:val="156"/>
        </w:trPr>
        <w:tc>
          <w:tcPr>
            <w:tcW w:w="3500" w:type="dxa"/>
            <w:vAlign w:val="bottom"/>
            <w:tcBorders>
              <w:left w:val="single" w:sz="8" w:color="0A9E50"/>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8"/>
              </w:rPr>
              <w:t>made a significant impact through the practice of</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9"/>
              </w:rPr>
              <w:t>Professionals (IAOP is the global standard-setting</w:t>
            </w:r>
          </w:p>
        </w:tc>
        <w:tc>
          <w:tcPr>
            <w:tcW w:w="3460" w:type="dxa"/>
            <w:vAlign w:val="bottom"/>
            <w:tcBorders>
              <w:right w:val="single" w:sz="8" w:color="0A9E50"/>
            </w:tcBorders>
          </w:tcPr>
          <w:p>
            <w:pPr>
              <w:jc w:val="center"/>
              <w:ind w:right="31"/>
              <w:spacing w:after="0" w:line="156" w:lineRule="exact"/>
              <w:rPr>
                <w:sz w:val="20"/>
                <w:szCs w:val="20"/>
                <w:color w:val="auto"/>
              </w:rPr>
            </w:pPr>
            <w:r>
              <w:rPr>
                <w:rFonts w:ascii="Arial" w:cs="Arial" w:eastAsia="Arial" w:hAnsi="Arial"/>
                <w:sz w:val="14"/>
                <w:szCs w:val="14"/>
                <w:color w:val="auto"/>
                <w:w w:val="99"/>
              </w:rPr>
              <w:t>Analysts (SIA).</w:t>
            </w:r>
          </w:p>
        </w:tc>
        <w:tc>
          <w:tcPr>
            <w:tcW w:w="0" w:type="dxa"/>
            <w:vAlign w:val="bottom"/>
          </w:tcPr>
          <w:p>
            <w:pPr>
              <w:spacing w:after="0"/>
              <w:rPr>
                <w:sz w:val="1"/>
                <w:szCs w:val="1"/>
                <w:color w:val="auto"/>
              </w:rPr>
            </w:pPr>
          </w:p>
        </w:tc>
      </w:tr>
      <w:tr>
        <w:trPr>
          <w:trHeight w:val="156"/>
        </w:trPr>
        <w:tc>
          <w:tcPr>
            <w:tcW w:w="3500" w:type="dxa"/>
            <w:vAlign w:val="bottom"/>
            <w:tcBorders>
              <w:left w:val="single" w:sz="8" w:color="0A9E50"/>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9"/>
              </w:rPr>
              <w:t>intentional employment of people from socio-</w:t>
            </w:r>
          </w:p>
        </w:tc>
        <w:tc>
          <w:tcPr>
            <w:tcW w:w="3560" w:type="dxa"/>
            <w:vAlign w:val="bottom"/>
            <w:tcBorders>
              <w:right w:val="single" w:sz="8" w:color="0A9E50"/>
            </w:tcBorders>
          </w:tcPr>
          <w:p>
            <w:pPr>
              <w:jc w:val="center"/>
              <w:spacing w:after="0" w:line="156" w:lineRule="exact"/>
              <w:rPr>
                <w:sz w:val="20"/>
                <w:szCs w:val="20"/>
                <w:color w:val="auto"/>
              </w:rPr>
            </w:pPr>
            <w:r>
              <w:rPr>
                <w:rFonts w:ascii="Arial" w:cs="Arial" w:eastAsia="Arial" w:hAnsi="Arial"/>
                <w:sz w:val="14"/>
                <w:szCs w:val="14"/>
                <w:color w:val="auto"/>
                <w:w w:val="99"/>
              </w:rPr>
              <w:t>association and advocate for outsourcing</w:t>
            </w:r>
          </w:p>
        </w:tc>
        <w:tc>
          <w:tcPr>
            <w:tcW w:w="3460" w:type="dxa"/>
            <w:vAlign w:val="bottom"/>
            <w:tcBorders>
              <w:right w:val="single" w:sz="8" w:color="0A9E50"/>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500" w:type="dxa"/>
            <w:vAlign w:val="bottom"/>
            <w:tcBorders>
              <w:left w:val="single" w:sz="8" w:color="0A9E50"/>
              <w:right w:val="single" w:sz="8" w:color="0A9E50"/>
            </w:tcBorders>
          </w:tcPr>
          <w:p>
            <w:pPr>
              <w:jc w:val="center"/>
              <w:spacing w:after="0"/>
              <w:rPr>
                <w:sz w:val="20"/>
                <w:szCs w:val="20"/>
                <w:color w:val="auto"/>
              </w:rPr>
            </w:pPr>
            <w:r>
              <w:rPr>
                <w:rFonts w:ascii="Arial" w:cs="Arial" w:eastAsia="Arial" w:hAnsi="Arial"/>
                <w:sz w:val="14"/>
                <w:szCs w:val="14"/>
                <w:color w:val="auto"/>
                <w:w w:val="99"/>
              </w:rPr>
              <w:t>economically disadvantaged backgrounds.</w:t>
            </w:r>
          </w:p>
        </w:tc>
        <w:tc>
          <w:tcPr>
            <w:tcW w:w="3560" w:type="dxa"/>
            <w:vAlign w:val="bottom"/>
            <w:tcBorders>
              <w:right w:val="single" w:sz="8" w:color="0A9E50"/>
            </w:tcBorders>
          </w:tcPr>
          <w:p>
            <w:pPr>
              <w:jc w:val="center"/>
              <w:spacing w:after="0"/>
              <w:rPr>
                <w:sz w:val="20"/>
                <w:szCs w:val="20"/>
                <w:color w:val="auto"/>
              </w:rPr>
            </w:pPr>
            <w:r>
              <w:rPr>
                <w:rFonts w:ascii="Arial" w:cs="Arial" w:eastAsia="Arial" w:hAnsi="Arial"/>
                <w:sz w:val="14"/>
                <w:szCs w:val="14"/>
                <w:color w:val="auto"/>
                <w:w w:val="98"/>
              </w:rPr>
              <w:t>professionals and the organizations they support.</w:t>
            </w:r>
          </w:p>
        </w:tc>
        <w:tc>
          <w:tcPr>
            <w:tcW w:w="3460" w:type="dxa"/>
            <w:vAlign w:val="bottom"/>
            <w:tcBorders>
              <w:right w:val="single" w:sz="8" w:color="0A9E50"/>
            </w:tcBorders>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3500" w:type="dxa"/>
            <w:vAlign w:val="bottom"/>
            <w:tcBorders>
              <w:left w:val="single" w:sz="8" w:color="0A9E50"/>
              <w:bottom w:val="single" w:sz="8" w:color="0A9E50"/>
              <w:right w:val="single" w:sz="8" w:color="0A9E50"/>
            </w:tcBorders>
          </w:tcPr>
          <w:p>
            <w:pPr>
              <w:spacing w:after="0"/>
              <w:rPr>
                <w:sz w:val="9"/>
                <w:szCs w:val="9"/>
                <w:color w:val="auto"/>
              </w:rPr>
            </w:pPr>
          </w:p>
        </w:tc>
        <w:tc>
          <w:tcPr>
            <w:tcW w:w="3560" w:type="dxa"/>
            <w:vAlign w:val="bottom"/>
            <w:tcBorders>
              <w:bottom w:val="single" w:sz="8" w:color="0A9E50"/>
              <w:right w:val="single" w:sz="8" w:color="0A9E50"/>
            </w:tcBorders>
          </w:tcPr>
          <w:p>
            <w:pPr>
              <w:spacing w:after="0"/>
              <w:rPr>
                <w:sz w:val="9"/>
                <w:szCs w:val="9"/>
                <w:color w:val="auto"/>
              </w:rPr>
            </w:pPr>
          </w:p>
        </w:tc>
        <w:tc>
          <w:tcPr>
            <w:tcW w:w="3460" w:type="dxa"/>
            <w:vAlign w:val="bottom"/>
            <w:tcBorders>
              <w:bottom w:val="single" w:sz="8" w:color="0A9E50"/>
              <w:right w:val="single" w:sz="8" w:color="0A9E5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-4229100</wp:posOffset>
            </wp:positionV>
            <wp:extent cx="5823585" cy="4959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23585" cy="49593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-2857500</wp:posOffset>
            </wp:positionV>
            <wp:extent cx="1205865" cy="5619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5865" cy="561975"/>
                    </a:xfrm>
                    <a:prstGeom prst="rect">
                      <a:avLst/>
                    </a:prstGeom>
                    <a:noFill/>
                  </pic:spPr>
                </pic:pic>
              </a:graphicData>
            </a:graphic>
          </wp:anchor>
        </w:drawing>
        <w:drawing>
          <wp:anchor simplePos="0" relativeHeight="251657728" behindDoc="1" locked="0" layoutInCell="0" allowOverlap="1">
            <wp:simplePos x="0" y="0"/>
            <wp:positionH relativeFrom="column">
              <wp:posOffset>2698750</wp:posOffset>
            </wp:positionH>
            <wp:positionV relativeFrom="paragraph">
              <wp:posOffset>-2857500</wp:posOffset>
            </wp:positionV>
            <wp:extent cx="3560445" cy="5041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60445" cy="50419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-1320800</wp:posOffset>
            </wp:positionV>
            <wp:extent cx="1197610" cy="4876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97610" cy="487680"/>
                    </a:xfrm>
                    <a:prstGeom prst="rect">
                      <a:avLst/>
                    </a:prstGeom>
                    <a:noFill/>
                  </pic:spPr>
                </pic:pic>
              </a:graphicData>
            </a:graphic>
          </wp:anchor>
        </w:drawing>
        <w:drawing>
          <wp:anchor simplePos="0" relativeHeight="251657728" behindDoc="1" locked="0" layoutInCell="0" allowOverlap="1">
            <wp:simplePos x="0" y="0"/>
            <wp:positionH relativeFrom="column">
              <wp:posOffset>2682240</wp:posOffset>
            </wp:positionH>
            <wp:positionV relativeFrom="paragraph">
              <wp:posOffset>-1320800</wp:posOffset>
            </wp:positionV>
            <wp:extent cx="3717290" cy="52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17290" cy="52070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complete list of the Company’s awards and recognitions is available on </w:t>
      </w:r>
      <w:r>
        <w:rPr>
          <w:rFonts w:ascii="Arial" w:cs="Arial" w:eastAsia="Arial" w:hAnsi="Arial"/>
          <w:sz w:val="16"/>
          <w:szCs w:val="16"/>
          <w:i w:val="1"/>
          <w:iCs w:val="1"/>
          <w:color w:val="auto"/>
        </w:rPr>
        <w:t>kellyservices.com</w:t>
      </w:r>
      <w:r>
        <w:rPr>
          <w:rFonts w:ascii="Arial" w:cs="Arial" w:eastAsia="Arial" w:hAnsi="Arial"/>
          <w:sz w:val="16"/>
          <w:szCs w:val="16"/>
          <w:color w:val="auto"/>
        </w:rPr>
        <w:t>.</w:t>
      </w:r>
    </w:p>
    <w:p>
      <w:pPr>
        <w:spacing w:after="0" w:line="78"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12 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580"/>
          </w:cols>
          <w:pgMar w:left="640" w:top="296" w:right="679" w:bottom="1440" w:gutter="0" w:footer="0" w:header="0"/>
        </w:sectPr>
      </w:pPr>
    </w:p>
    <w:bookmarkStart w:id="14" w:name="page15"/>
    <w:bookmarkEnd w:id="14"/>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Proxy Summary</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6773545" cy="288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73545" cy="28892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4" w:right="80" w:hanging="204"/>
        <w:spacing w:after="0" w:line="212" w:lineRule="auto"/>
        <w:tabs>
          <w:tab w:leader="none" w:pos="204" w:val="left"/>
        </w:tabs>
        <w:numPr>
          <w:ilvl w:val="0"/>
          <w:numId w:val="8"/>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Align pay with performance using balanced performance measures that are linked to strategic business objectives in short- and long-term incentives</w:t>
      </w:r>
    </w:p>
    <w:p>
      <w:pPr>
        <w:spacing w:after="0" w:line="55" w:lineRule="exact"/>
        <w:rPr>
          <w:rFonts w:ascii="Times New Roman" w:cs="Times New Roman" w:eastAsia="Times New Roman" w:hAnsi="Times New Roman"/>
          <w:sz w:val="24"/>
          <w:szCs w:val="24"/>
          <w:color w:val="0A9E50"/>
          <w:vertAlign w:val="superscript"/>
        </w:rPr>
      </w:pPr>
    </w:p>
    <w:p>
      <w:pPr>
        <w:ind w:left="204" w:right="520" w:hanging="204"/>
        <w:spacing w:after="0" w:line="202" w:lineRule="auto"/>
        <w:tabs>
          <w:tab w:leader="none" w:pos="204" w:val="left"/>
        </w:tabs>
        <w:numPr>
          <w:ilvl w:val="0"/>
          <w:numId w:val="8"/>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Align executive compensation with shareholder returns through performance-based equity incentive awards</w:t>
      </w:r>
    </w:p>
    <w:p>
      <w:pPr>
        <w:spacing w:after="0" w:line="55" w:lineRule="exact"/>
        <w:rPr>
          <w:rFonts w:ascii="Times New Roman" w:cs="Times New Roman" w:eastAsia="Times New Roman" w:hAnsi="Times New Roman"/>
          <w:sz w:val="24"/>
          <w:szCs w:val="24"/>
          <w:color w:val="0A9E50"/>
          <w:vertAlign w:val="superscript"/>
        </w:rPr>
      </w:pPr>
    </w:p>
    <w:p>
      <w:pPr>
        <w:ind w:left="204" w:hanging="204"/>
        <w:spacing w:after="0" w:line="217" w:lineRule="auto"/>
        <w:tabs>
          <w:tab w:leader="none" w:pos="204" w:val="left"/>
        </w:tabs>
        <w:numPr>
          <w:ilvl w:val="0"/>
          <w:numId w:val="8"/>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Annual review of performance measures and goals for our short- and long-term incentive plans by the independent Compensation and Talent Management Committee to ensure we use diversified measures with challenging, but attainable targets</w:t>
      </w:r>
    </w:p>
    <w:p>
      <w:pPr>
        <w:spacing w:after="0" w:line="57" w:lineRule="exact"/>
        <w:rPr>
          <w:rFonts w:ascii="Times New Roman" w:cs="Times New Roman" w:eastAsia="Times New Roman" w:hAnsi="Times New Roman"/>
          <w:sz w:val="24"/>
          <w:szCs w:val="24"/>
          <w:color w:val="0A9E50"/>
          <w:vertAlign w:val="superscript"/>
        </w:rPr>
      </w:pPr>
    </w:p>
    <w:p>
      <w:pPr>
        <w:ind w:left="204" w:right="100" w:hanging="204"/>
        <w:spacing w:after="0" w:line="212" w:lineRule="auto"/>
        <w:tabs>
          <w:tab w:leader="none" w:pos="204" w:val="left"/>
        </w:tabs>
        <w:numPr>
          <w:ilvl w:val="0"/>
          <w:numId w:val="8"/>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Require the achievement of a minimum acceptable level of financial performance for any payment to be made pursuant to the Short-Term Incentive Plan (“STIP”) and include caps on payouts</w:t>
      </w:r>
    </w:p>
    <w:p>
      <w:pPr>
        <w:spacing w:after="0" w:line="55" w:lineRule="exact"/>
        <w:rPr>
          <w:rFonts w:ascii="Times New Roman" w:cs="Times New Roman" w:eastAsia="Times New Roman" w:hAnsi="Times New Roman"/>
          <w:sz w:val="24"/>
          <w:szCs w:val="24"/>
          <w:color w:val="0A9E50"/>
          <w:vertAlign w:val="superscript"/>
        </w:rPr>
      </w:pPr>
    </w:p>
    <w:p>
      <w:pPr>
        <w:ind w:left="204" w:right="260" w:hanging="204"/>
        <w:spacing w:after="0" w:line="202" w:lineRule="auto"/>
        <w:tabs>
          <w:tab w:leader="none" w:pos="204" w:val="left"/>
        </w:tabs>
        <w:numPr>
          <w:ilvl w:val="0"/>
          <w:numId w:val="8"/>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Require stock ownership and retention of a portion of equity-based awards by senior officers</w:t>
      </w:r>
    </w:p>
    <w:p>
      <w:pPr>
        <w:spacing w:after="0" w:line="55" w:lineRule="exact"/>
        <w:rPr>
          <w:rFonts w:ascii="Times New Roman" w:cs="Times New Roman" w:eastAsia="Times New Roman" w:hAnsi="Times New Roman"/>
          <w:sz w:val="24"/>
          <w:szCs w:val="24"/>
          <w:color w:val="0A9E50"/>
          <w:vertAlign w:val="superscript"/>
        </w:rPr>
      </w:pPr>
    </w:p>
    <w:p>
      <w:pPr>
        <w:ind w:left="204" w:right="140" w:hanging="204"/>
        <w:spacing w:after="0" w:line="202" w:lineRule="auto"/>
        <w:tabs>
          <w:tab w:leader="none" w:pos="204" w:val="left"/>
        </w:tabs>
        <w:numPr>
          <w:ilvl w:val="0"/>
          <w:numId w:val="8"/>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Hold an annual “say-on-pay” shareholder advisory vote on executive compensation</w:t>
      </w:r>
    </w:p>
    <w:p>
      <w:pPr>
        <w:spacing w:after="0" w:line="55" w:lineRule="exact"/>
        <w:rPr>
          <w:rFonts w:ascii="Times New Roman" w:cs="Times New Roman" w:eastAsia="Times New Roman" w:hAnsi="Times New Roman"/>
          <w:sz w:val="24"/>
          <w:szCs w:val="24"/>
          <w:color w:val="0A9E50"/>
          <w:vertAlign w:val="superscript"/>
        </w:rPr>
      </w:pPr>
    </w:p>
    <w:p>
      <w:pPr>
        <w:ind w:left="204" w:right="400" w:hanging="204"/>
        <w:spacing w:after="0" w:line="202" w:lineRule="auto"/>
        <w:tabs>
          <w:tab w:leader="none" w:pos="204" w:val="left"/>
        </w:tabs>
        <w:numPr>
          <w:ilvl w:val="0"/>
          <w:numId w:val="8"/>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Retain an independent executive compensation consultant to the Compensation and Talent Management Committee</w:t>
      </w:r>
    </w:p>
    <w:p>
      <w:pPr>
        <w:spacing w:after="0" w:line="200" w:lineRule="exact"/>
        <w:rPr>
          <w:rFonts w:ascii="Times New Roman" w:cs="Times New Roman" w:eastAsia="Times New Roman" w:hAnsi="Times New Roman"/>
          <w:sz w:val="24"/>
          <w:szCs w:val="24"/>
          <w:color w:val="0A9E50"/>
          <w:vertAlign w:val="superscript"/>
        </w:rPr>
      </w:pPr>
    </w:p>
    <w:p>
      <w:pPr>
        <w:spacing w:after="0" w:line="200" w:lineRule="exact"/>
        <w:rPr>
          <w:rFonts w:ascii="Times New Roman" w:cs="Times New Roman" w:eastAsia="Times New Roman" w:hAnsi="Times New Roman"/>
          <w:sz w:val="24"/>
          <w:szCs w:val="24"/>
          <w:color w:val="0A9E50"/>
          <w:vertAlign w:val="superscript"/>
        </w:rPr>
      </w:pPr>
    </w:p>
    <w:p>
      <w:pPr>
        <w:spacing w:after="0" w:line="200" w:lineRule="exact"/>
        <w:rPr>
          <w:rFonts w:ascii="Times New Roman" w:cs="Times New Roman" w:eastAsia="Times New Roman" w:hAnsi="Times New Roman"/>
          <w:sz w:val="24"/>
          <w:szCs w:val="24"/>
          <w:color w:val="0A9E50"/>
          <w:vertAlign w:val="superscript"/>
        </w:rPr>
      </w:pPr>
    </w:p>
    <w:p>
      <w:pPr>
        <w:spacing w:after="0" w:line="200" w:lineRule="exact"/>
        <w:rPr>
          <w:rFonts w:ascii="Times New Roman" w:cs="Times New Roman" w:eastAsia="Times New Roman" w:hAnsi="Times New Roman"/>
          <w:sz w:val="24"/>
          <w:szCs w:val="24"/>
          <w:color w:val="0A9E50"/>
          <w:vertAlign w:val="superscript"/>
        </w:rPr>
      </w:pPr>
    </w:p>
    <w:p>
      <w:pPr>
        <w:spacing w:after="0" w:line="334" w:lineRule="exact"/>
        <w:rPr>
          <w:rFonts w:ascii="Times New Roman" w:cs="Times New Roman" w:eastAsia="Times New Roman" w:hAnsi="Times New Roman"/>
          <w:sz w:val="24"/>
          <w:szCs w:val="24"/>
          <w:color w:val="0A9E50"/>
          <w:vertAlign w:val="superscript"/>
        </w:rPr>
      </w:pPr>
    </w:p>
    <w:p>
      <w:pPr>
        <w:ind w:left="204" w:right="320" w:hanging="204"/>
        <w:spacing w:after="0" w:line="202" w:lineRule="auto"/>
        <w:tabs>
          <w:tab w:leader="none" w:pos="204" w:val="left"/>
        </w:tabs>
        <w:numPr>
          <w:ilvl w:val="0"/>
          <w:numId w:val="8"/>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Provide employment agreements for senior officers (except where standard local practice)</w:t>
      </w:r>
    </w:p>
    <w:p>
      <w:pPr>
        <w:ind w:left="204" w:hanging="204"/>
        <w:spacing w:after="0" w:line="226" w:lineRule="auto"/>
        <w:tabs>
          <w:tab w:leader="none" w:pos="204" w:val="left"/>
        </w:tabs>
        <w:numPr>
          <w:ilvl w:val="0"/>
          <w:numId w:val="8"/>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Guarantee bonus arrangements with our senior officers</w:t>
      </w:r>
    </w:p>
    <w:p>
      <w:pPr>
        <w:spacing w:after="0" w:line="69" w:lineRule="exact"/>
        <w:rPr>
          <w:rFonts w:ascii="Times New Roman" w:cs="Times New Roman" w:eastAsia="Times New Roman" w:hAnsi="Times New Roman"/>
          <w:sz w:val="24"/>
          <w:szCs w:val="24"/>
          <w:color w:val="0A9E50"/>
          <w:vertAlign w:val="superscript"/>
        </w:rPr>
      </w:pPr>
    </w:p>
    <w:p>
      <w:pPr>
        <w:ind w:left="204" w:right="160" w:hanging="204"/>
        <w:spacing w:after="0" w:line="194" w:lineRule="auto"/>
        <w:tabs>
          <w:tab w:leader="none" w:pos="204" w:val="left"/>
        </w:tabs>
        <w:numPr>
          <w:ilvl w:val="0"/>
          <w:numId w:val="8"/>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Allow directors or senior officers to engage in hedging or pledging of Company securities</w:t>
      </w:r>
    </w:p>
    <w:p>
      <w:pPr>
        <w:spacing w:after="0" w:line="1" w:lineRule="exact"/>
        <w:rPr>
          <w:rFonts w:ascii="Times New Roman" w:cs="Times New Roman" w:eastAsia="Times New Roman" w:hAnsi="Times New Roman"/>
          <w:sz w:val="24"/>
          <w:szCs w:val="24"/>
          <w:color w:val="0A9E50"/>
          <w:vertAlign w:val="superscript"/>
        </w:rPr>
      </w:pPr>
    </w:p>
    <w:p>
      <w:pPr>
        <w:ind w:left="204" w:hanging="204"/>
        <w:spacing w:after="0" w:line="226" w:lineRule="auto"/>
        <w:tabs>
          <w:tab w:leader="none" w:pos="204" w:val="left"/>
        </w:tabs>
        <w:numPr>
          <w:ilvl w:val="0"/>
          <w:numId w:val="8"/>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Allow the repricing or backdating of equity awards</w:t>
      </w:r>
    </w:p>
    <w:p>
      <w:pPr>
        <w:spacing w:after="0" w:line="69" w:lineRule="exact"/>
        <w:rPr>
          <w:rFonts w:ascii="Times New Roman" w:cs="Times New Roman" w:eastAsia="Times New Roman" w:hAnsi="Times New Roman"/>
          <w:sz w:val="24"/>
          <w:szCs w:val="24"/>
          <w:color w:val="0A9E50"/>
          <w:vertAlign w:val="superscript"/>
        </w:rPr>
      </w:pPr>
    </w:p>
    <w:p>
      <w:pPr>
        <w:ind w:left="204" w:right="40" w:hanging="204"/>
        <w:spacing w:after="0" w:line="205" w:lineRule="auto"/>
        <w:tabs>
          <w:tab w:leader="none" w:pos="204" w:val="left"/>
        </w:tabs>
        <w:numPr>
          <w:ilvl w:val="0"/>
          <w:numId w:val="8"/>
        </w:numPr>
        <w:rPr>
          <w:rFonts w:ascii="Times New Roman" w:cs="Times New Roman" w:eastAsia="Times New Roman" w:hAnsi="Times New Roman"/>
          <w:sz w:val="23"/>
          <w:szCs w:val="23"/>
          <w:color w:val="0A9E50"/>
          <w:vertAlign w:val="superscript"/>
        </w:rPr>
      </w:pPr>
      <w:r>
        <w:rPr>
          <w:rFonts w:ascii="Arial" w:cs="Arial" w:eastAsia="Arial" w:hAnsi="Arial"/>
          <w:sz w:val="15"/>
          <w:szCs w:val="15"/>
          <w:color w:val="auto"/>
        </w:rPr>
        <w:t>Pay dividend equivalents on restricted stock units before achievement of performance hurdle and completion of vesting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0" w:right="40" w:hanging="190"/>
        <w:spacing w:after="0" w:line="212" w:lineRule="auto"/>
        <w:tabs>
          <w:tab w:leader="none" w:pos="19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Regular review of executive compensation governance market practices, particularly when considering the adoption of new practices or changes in existing programs or policies</w:t>
      </w:r>
    </w:p>
    <w:p>
      <w:pPr>
        <w:spacing w:after="0" w:line="55" w:lineRule="exact"/>
        <w:rPr>
          <w:rFonts w:ascii="Times New Roman" w:cs="Times New Roman" w:eastAsia="Times New Roman" w:hAnsi="Times New Roman"/>
          <w:sz w:val="24"/>
          <w:szCs w:val="24"/>
          <w:color w:val="0A9E50"/>
          <w:vertAlign w:val="superscript"/>
        </w:rPr>
      </w:pPr>
    </w:p>
    <w:p>
      <w:pPr>
        <w:ind w:left="190" w:right="400" w:hanging="190"/>
        <w:spacing w:after="0" w:line="212" w:lineRule="auto"/>
        <w:tabs>
          <w:tab w:leader="none" w:pos="190" w:val="left"/>
        </w:tabs>
        <w:numPr>
          <w:ilvl w:val="0"/>
          <w:numId w:val="9"/>
        </w:numPr>
        <w:rPr>
          <w:rFonts w:ascii="Times New Roman" w:cs="Times New Roman" w:eastAsia="Times New Roman" w:hAnsi="Times New Roman"/>
          <w:sz w:val="23"/>
          <w:szCs w:val="23"/>
          <w:color w:val="0A9E50"/>
          <w:vertAlign w:val="superscript"/>
        </w:rPr>
      </w:pPr>
      <w:r>
        <w:rPr>
          <w:rFonts w:ascii="Arial" w:cs="Arial" w:eastAsia="Arial" w:hAnsi="Arial"/>
          <w:sz w:val="15"/>
          <w:szCs w:val="15"/>
          <w:color w:val="auto"/>
        </w:rPr>
        <w:t>Conduct annual assessments of any potential risks in our incentive compensation programs and policies and related internal controls</w:t>
      </w:r>
    </w:p>
    <w:p>
      <w:pPr>
        <w:spacing w:after="0" w:line="56" w:lineRule="exact"/>
        <w:rPr>
          <w:rFonts w:ascii="Times New Roman" w:cs="Times New Roman" w:eastAsia="Times New Roman" w:hAnsi="Times New Roman"/>
          <w:sz w:val="23"/>
          <w:szCs w:val="23"/>
          <w:color w:val="0A9E50"/>
          <w:vertAlign w:val="superscript"/>
        </w:rPr>
      </w:pPr>
    </w:p>
    <w:p>
      <w:pPr>
        <w:ind w:left="190" w:right="200" w:hanging="190"/>
        <w:spacing w:after="0" w:line="212" w:lineRule="auto"/>
        <w:tabs>
          <w:tab w:leader="none" w:pos="190" w:val="left"/>
        </w:tabs>
        <w:numPr>
          <w:ilvl w:val="0"/>
          <w:numId w:val="9"/>
        </w:numPr>
        <w:rPr>
          <w:rFonts w:ascii="Times New Roman" w:cs="Times New Roman" w:eastAsia="Times New Roman" w:hAnsi="Times New Roman"/>
          <w:sz w:val="23"/>
          <w:szCs w:val="23"/>
          <w:color w:val="0A9E50"/>
          <w:vertAlign w:val="superscript"/>
        </w:rPr>
      </w:pPr>
      <w:r>
        <w:rPr>
          <w:rFonts w:ascii="Arial" w:cs="Arial" w:eastAsia="Arial" w:hAnsi="Arial"/>
          <w:sz w:val="15"/>
          <w:szCs w:val="15"/>
          <w:color w:val="auto"/>
        </w:rPr>
        <w:t>Annually review with the Compensation and Talent Management Committee share utilization resulting from our compensation practices</w:t>
      </w:r>
    </w:p>
    <w:p>
      <w:pPr>
        <w:spacing w:after="0" w:line="56" w:lineRule="exact"/>
        <w:rPr>
          <w:rFonts w:ascii="Times New Roman" w:cs="Times New Roman" w:eastAsia="Times New Roman" w:hAnsi="Times New Roman"/>
          <w:sz w:val="23"/>
          <w:szCs w:val="23"/>
          <w:color w:val="0A9E50"/>
          <w:vertAlign w:val="superscript"/>
        </w:rPr>
      </w:pPr>
    </w:p>
    <w:p>
      <w:pPr>
        <w:ind w:left="190" w:right="120" w:hanging="190"/>
        <w:spacing w:after="0" w:line="212" w:lineRule="auto"/>
        <w:tabs>
          <w:tab w:leader="none" w:pos="190" w:val="left"/>
        </w:tabs>
        <w:numPr>
          <w:ilvl w:val="0"/>
          <w:numId w:val="9"/>
        </w:numPr>
        <w:rPr>
          <w:rFonts w:ascii="Times New Roman" w:cs="Times New Roman" w:eastAsia="Times New Roman" w:hAnsi="Times New Roman"/>
          <w:sz w:val="23"/>
          <w:szCs w:val="23"/>
          <w:color w:val="0A9E50"/>
          <w:vertAlign w:val="superscript"/>
        </w:rPr>
      </w:pPr>
      <w:r>
        <w:rPr>
          <w:rFonts w:ascii="Arial" w:cs="Arial" w:eastAsia="Arial" w:hAnsi="Arial"/>
          <w:sz w:val="15"/>
          <w:szCs w:val="15"/>
          <w:color w:val="auto"/>
        </w:rPr>
        <w:t>Provide for the forfeiture of equity awards upon certain restrictive covenant breaches and other actions constituting cause for termination</w:t>
      </w:r>
    </w:p>
    <w:p>
      <w:pPr>
        <w:spacing w:after="0" w:line="56" w:lineRule="exact"/>
        <w:rPr>
          <w:rFonts w:ascii="Times New Roman" w:cs="Times New Roman" w:eastAsia="Times New Roman" w:hAnsi="Times New Roman"/>
          <w:sz w:val="23"/>
          <w:szCs w:val="23"/>
          <w:color w:val="0A9E50"/>
          <w:vertAlign w:val="superscript"/>
        </w:rPr>
      </w:pPr>
    </w:p>
    <w:p>
      <w:pPr>
        <w:ind w:left="190" w:right="80" w:hanging="190"/>
        <w:spacing w:after="0" w:line="217" w:lineRule="auto"/>
        <w:tabs>
          <w:tab w:leader="none" w:pos="19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Maintain an insider trading policy that requires directors, senior officers, and other designated officers of the Company to contact our General Counsel and Corporate Secretary prior to sales or purchases of common stock</w:t>
      </w:r>
    </w:p>
    <w:p>
      <w:pPr>
        <w:spacing w:after="0" w:line="57" w:lineRule="exact"/>
        <w:rPr>
          <w:rFonts w:ascii="Times New Roman" w:cs="Times New Roman" w:eastAsia="Times New Roman" w:hAnsi="Times New Roman"/>
          <w:sz w:val="24"/>
          <w:szCs w:val="24"/>
          <w:color w:val="0A9E50"/>
          <w:vertAlign w:val="superscript"/>
        </w:rPr>
      </w:pPr>
    </w:p>
    <w:p>
      <w:pPr>
        <w:jc w:val="both"/>
        <w:ind w:left="190" w:right="220" w:hanging="190"/>
        <w:spacing w:after="0" w:line="212" w:lineRule="auto"/>
        <w:tabs>
          <w:tab w:leader="none" w:pos="19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Maintain a double trigger for the accelerated vesting provisions under the Equity Incentive Plan (“EIP”) and the Senior Executive Severance Plan</w:t>
      </w:r>
    </w:p>
    <w:p>
      <w:pPr>
        <w:spacing w:after="0" w:line="55" w:lineRule="exact"/>
        <w:rPr>
          <w:rFonts w:ascii="Times New Roman" w:cs="Times New Roman" w:eastAsia="Times New Roman" w:hAnsi="Times New Roman"/>
          <w:sz w:val="24"/>
          <w:szCs w:val="24"/>
          <w:color w:val="0A9E50"/>
          <w:vertAlign w:val="superscript"/>
        </w:rPr>
      </w:pPr>
    </w:p>
    <w:p>
      <w:pPr>
        <w:ind w:left="190" w:right="400" w:hanging="190"/>
        <w:spacing w:after="0" w:line="202" w:lineRule="auto"/>
        <w:tabs>
          <w:tab w:leader="none" w:pos="19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Condition severance benefits for senior officers on compliance with restrictive covenants</w:t>
      </w:r>
    </w:p>
    <w:p>
      <w:pPr>
        <w:spacing w:after="0" w:line="200" w:lineRule="exact"/>
        <w:rPr>
          <w:rFonts w:ascii="Times New Roman" w:cs="Times New Roman" w:eastAsia="Times New Roman" w:hAnsi="Times New Roman"/>
          <w:sz w:val="24"/>
          <w:szCs w:val="24"/>
          <w:color w:val="0A9E50"/>
          <w:vertAlign w:val="superscript"/>
        </w:rPr>
      </w:pPr>
    </w:p>
    <w:p>
      <w:pPr>
        <w:spacing w:after="0" w:line="200" w:lineRule="exact"/>
        <w:rPr>
          <w:rFonts w:ascii="Times New Roman" w:cs="Times New Roman" w:eastAsia="Times New Roman" w:hAnsi="Times New Roman"/>
          <w:sz w:val="24"/>
          <w:szCs w:val="24"/>
          <w:color w:val="0A9E50"/>
          <w:vertAlign w:val="superscript"/>
        </w:rPr>
      </w:pPr>
    </w:p>
    <w:p>
      <w:pPr>
        <w:spacing w:after="0" w:line="200" w:lineRule="exact"/>
        <w:rPr>
          <w:rFonts w:ascii="Times New Roman" w:cs="Times New Roman" w:eastAsia="Times New Roman" w:hAnsi="Times New Roman"/>
          <w:sz w:val="24"/>
          <w:szCs w:val="24"/>
          <w:color w:val="0A9E50"/>
          <w:vertAlign w:val="superscript"/>
        </w:rPr>
      </w:pPr>
    </w:p>
    <w:p>
      <w:pPr>
        <w:spacing w:after="0" w:line="200" w:lineRule="exact"/>
        <w:rPr>
          <w:rFonts w:ascii="Times New Roman" w:cs="Times New Roman" w:eastAsia="Times New Roman" w:hAnsi="Times New Roman"/>
          <w:sz w:val="24"/>
          <w:szCs w:val="24"/>
          <w:color w:val="0A9E50"/>
          <w:vertAlign w:val="superscript"/>
        </w:rPr>
      </w:pPr>
    </w:p>
    <w:p>
      <w:pPr>
        <w:spacing w:after="0" w:line="264" w:lineRule="exact"/>
        <w:rPr>
          <w:rFonts w:ascii="Times New Roman" w:cs="Times New Roman" w:eastAsia="Times New Roman" w:hAnsi="Times New Roman"/>
          <w:sz w:val="24"/>
          <w:szCs w:val="24"/>
          <w:color w:val="0A9E50"/>
          <w:vertAlign w:val="superscript"/>
        </w:rPr>
      </w:pPr>
    </w:p>
    <w:p>
      <w:pPr>
        <w:ind w:left="190" w:hanging="190"/>
        <w:spacing w:after="0"/>
        <w:tabs>
          <w:tab w:leader="none" w:pos="19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Pay dividends on performance share awards</w:t>
      </w:r>
    </w:p>
    <w:p>
      <w:pPr>
        <w:spacing w:after="0" w:line="68" w:lineRule="exact"/>
        <w:rPr>
          <w:rFonts w:ascii="Times New Roman" w:cs="Times New Roman" w:eastAsia="Times New Roman" w:hAnsi="Times New Roman"/>
          <w:sz w:val="24"/>
          <w:szCs w:val="24"/>
          <w:color w:val="0A9E50"/>
          <w:vertAlign w:val="superscript"/>
        </w:rPr>
      </w:pPr>
    </w:p>
    <w:p>
      <w:pPr>
        <w:ind w:left="190" w:right="180" w:hanging="190"/>
        <w:spacing w:after="0" w:line="194" w:lineRule="auto"/>
        <w:tabs>
          <w:tab w:leader="none" w:pos="19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Provide tax reimbursements for perquisites or tax gross-ups for excise taxes incurred upon change-in-control</w:t>
      </w:r>
    </w:p>
    <w:p>
      <w:pPr>
        <w:spacing w:after="0" w:line="56" w:lineRule="exact"/>
        <w:rPr>
          <w:rFonts w:ascii="Times New Roman" w:cs="Times New Roman" w:eastAsia="Times New Roman" w:hAnsi="Times New Roman"/>
          <w:sz w:val="24"/>
          <w:szCs w:val="24"/>
          <w:color w:val="0A9E50"/>
          <w:vertAlign w:val="superscript"/>
        </w:rPr>
      </w:pPr>
    </w:p>
    <w:p>
      <w:pPr>
        <w:jc w:val="both"/>
        <w:ind w:left="190" w:right="420" w:hanging="190"/>
        <w:spacing w:after="0" w:line="212" w:lineRule="auto"/>
        <w:tabs>
          <w:tab w:leader="none" w:pos="190" w:val="left"/>
        </w:tabs>
        <w:numPr>
          <w:ilvl w:val="0"/>
          <w:numId w:val="9"/>
        </w:numPr>
        <w:rPr>
          <w:rFonts w:ascii="Times New Roman" w:cs="Times New Roman" w:eastAsia="Times New Roman" w:hAnsi="Times New Roman"/>
          <w:sz w:val="23"/>
          <w:szCs w:val="23"/>
          <w:color w:val="0A9E50"/>
          <w:vertAlign w:val="superscript"/>
        </w:rPr>
      </w:pPr>
      <w:r>
        <w:rPr>
          <w:rFonts w:ascii="Arial" w:cs="Arial" w:eastAsia="Arial" w:hAnsi="Arial"/>
          <w:sz w:val="15"/>
          <w:szCs w:val="15"/>
          <w:color w:val="auto"/>
        </w:rPr>
        <w:t>Grant incentive awards to senior officers that are not subject to the Company’s Incentive Compensation Recovery (“Clawback”) Policy</w:t>
      </w:r>
    </w:p>
    <w:p>
      <w:pPr>
        <w:spacing w:after="0" w:line="56" w:lineRule="exact"/>
        <w:rPr>
          <w:rFonts w:ascii="Times New Roman" w:cs="Times New Roman" w:eastAsia="Times New Roman" w:hAnsi="Times New Roman"/>
          <w:sz w:val="23"/>
          <w:szCs w:val="23"/>
          <w:color w:val="0A9E50"/>
          <w:vertAlign w:val="superscript"/>
        </w:rPr>
      </w:pPr>
    </w:p>
    <w:p>
      <w:pPr>
        <w:ind w:left="190" w:right="60" w:hanging="190"/>
        <w:spacing w:after="0" w:line="202" w:lineRule="auto"/>
        <w:tabs>
          <w:tab w:leader="none" w:pos="19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Accrue additional retirement benefits under any supplemental executive retirement plans (“SERPs”)</w:t>
      </w:r>
    </w:p>
    <w:p>
      <w:pPr>
        <w:ind w:left="190" w:hanging="190"/>
        <w:spacing w:after="0" w:line="226" w:lineRule="auto"/>
        <w:tabs>
          <w:tab w:leader="none" w:pos="190" w:val="left"/>
        </w:tabs>
        <w:numPr>
          <w:ilvl w:val="0"/>
          <w:numId w:val="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Provide excessive perquisites</w:t>
      </w:r>
    </w:p>
    <w:p>
      <w:pPr>
        <w:spacing w:after="0" w:line="109" w:lineRule="exact"/>
        <w:rPr>
          <w:rFonts w:ascii="Times New Roman" w:cs="Times New Roman" w:eastAsia="Times New Roman" w:hAnsi="Times New Roman"/>
          <w:sz w:val="24"/>
          <w:szCs w:val="24"/>
          <w:color w:val="0A9E50"/>
          <w:vertAlign w:val="superscript"/>
        </w:rPr>
      </w:pPr>
    </w:p>
    <w:p>
      <w:pPr>
        <w:ind w:left="3650" w:hanging="281"/>
        <w:spacing w:after="0"/>
        <w:tabs>
          <w:tab w:leader="none" w:pos="3650" w:val="left"/>
        </w:tabs>
        <w:numPr>
          <w:ilvl w:val="1"/>
          <w:numId w:val="9"/>
        </w:numPr>
        <w:rPr>
          <w:rFonts w:ascii="Arial" w:cs="Arial" w:eastAsia="Arial" w:hAnsi="Arial"/>
          <w:sz w:val="20"/>
          <w:szCs w:val="20"/>
          <w:color w:val="auto"/>
          <w:vertAlign w:val="subscript"/>
        </w:rPr>
      </w:pPr>
      <w:r>
        <w:rPr>
          <w:sz w:val="1"/>
          <w:szCs w:val="1"/>
          <w:color w:val="auto"/>
        </w:rPr>
        <w:drawing>
          <wp:inline distT="0" distB="0" distL="0" distR="0">
            <wp:extent cx="396240" cy="18986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0"/>
          <w:szCs w:val="20"/>
          <w:color w:val="auto"/>
          <w:vertAlign w:val="subscript"/>
        </w:rPr>
        <w:t xml:space="preserve">    </w:t>
      </w:r>
      <w:r>
        <w:rPr>
          <w:rFonts w:ascii="Arial" w:cs="Arial" w:eastAsia="Arial" w:hAnsi="Arial"/>
          <w:sz w:val="20"/>
          <w:szCs w:val="20"/>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-119380</wp:posOffset>
            </wp:positionV>
            <wp:extent cx="8255" cy="2228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222885"/>
                    </a:xfrm>
                    <a:prstGeom prst="rect">
                      <a:avLst/>
                    </a:prstGeom>
                    <a:noFill/>
                  </pic:spPr>
                </pic:pic>
              </a:graphicData>
            </a:graphic>
          </wp:anchor>
        </w:drawing>
        <w:drawing>
          <wp:anchor simplePos="0" relativeHeight="251657728" behindDoc="1" locked="0" layoutInCell="0" allowOverlap="1">
            <wp:simplePos x="0" y="0"/>
            <wp:positionH relativeFrom="column">
              <wp:posOffset>-3437255</wp:posOffset>
            </wp:positionH>
            <wp:positionV relativeFrom="paragraph">
              <wp:posOffset>-1787525</wp:posOffset>
            </wp:positionV>
            <wp:extent cx="6773545" cy="288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73545" cy="288925"/>
                    </a:xfrm>
                    <a:prstGeom prst="rect">
                      <a:avLst/>
                    </a:prstGeom>
                    <a:noFill/>
                  </pic:spPr>
                </pic:pic>
              </a:graphicData>
            </a:graphic>
          </wp:anchor>
        </w:drawing>
      </w:r>
    </w:p>
    <w:p>
      <w:pPr>
        <w:sectPr>
          <w:pgSz w:w="11900" w:h="16838" w:orient="portrait"/>
          <w:cols w:equalWidth="0" w:num="2">
            <w:col w:w="5064" w:space="350"/>
            <w:col w:w="5210"/>
          </w:cols>
          <w:pgMar w:left="636" w:top="296" w:right="6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Proposal 1 – Election of Directors</w:t>
      </w:r>
    </w:p>
    <w:p>
      <w:pPr>
        <w:spacing w:after="0" w:line="336"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Board of Directors nominated nine individuals for election as directors at the Annual Meeting, each to serve for one year and until his or her successor is elected and qualified. Each of our director nominees currently serves on the Board and was elected to a one-year term at the 2023 Annual Meeting of Shareholders.</w:t>
      </w:r>
    </w:p>
    <w:p>
      <w:pPr>
        <w:spacing w:after="0" w:line="3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Directors will be elected by a plurality of the votes cast by holders of Class B Common Stock who are present in person, or represented by proxy, and entitled to vote at the Annual Meeting. Our controlling shareholder, the Terrence E. Adderley Revocable Trust K (“Trust K”), has indicated its support and intention to vote for each of the director nominees.</w:t>
      </w:r>
    </w:p>
    <w:p>
      <w:pPr>
        <w:spacing w:after="0" w:line="47"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We do not contemplate that any of the nominees will be unavailable to serve at the time of the Annual Meeting. In that event, however, the persons named in the enclosed form of proxy may vote for the election of a substitute selected by the Board or the Board may reduce its size.</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Independence</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Board’s Corporate Governance Principles include guidelines for director independence that conform to the listing standards of the Nasdaq Global Market (“Nasdaq”) on which the Company’s common stock is listed and provide that a majority of the Board be comprised of independent directors. Annually, Kelly’s Corporate Governance and Nominating Committee evaluates and makes recommendations to the Board concerning the independence of each director and director nominee, evaluating any relationship with the Company or its competitors, suppliers, customers, service providers, or others that might be construed as an actual or potential conflict of interest.</w:t>
      </w:r>
    </w:p>
    <w:p>
      <w:pPr>
        <w:spacing w:after="0" w:line="40" w:lineRule="exact"/>
        <w:rPr>
          <w:sz w:val="20"/>
          <w:szCs w:val="20"/>
          <w:color w:val="auto"/>
        </w:rPr>
      </w:pPr>
    </w:p>
    <w:p>
      <w:pPr>
        <w:ind w:right="420"/>
        <w:spacing w:after="0" w:line="337" w:lineRule="auto"/>
        <w:rPr>
          <w:sz w:val="20"/>
          <w:szCs w:val="20"/>
          <w:color w:val="auto"/>
        </w:rPr>
      </w:pPr>
      <w:r>
        <w:rPr>
          <w:rFonts w:ascii="Arial" w:cs="Arial" w:eastAsia="Arial" w:hAnsi="Arial"/>
          <w:sz w:val="14"/>
          <w:szCs w:val="14"/>
          <w:color w:val="auto"/>
        </w:rPr>
        <w:t>On February 14, 2024, our Board affirmatively determined that directors Gerald S. Adolph, George S. Corona, Robert S. Cubbin, Amala Duggirala, InaMarie F. Johnson, Terrence B. Larkin, Leslie A. Murphy, and Donald R. Parfet, representing a majority of the Board, are independent.</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Nominees</w:t>
      </w:r>
    </w:p>
    <w:p>
      <w:pPr>
        <w:spacing w:after="0" w:line="85" w:lineRule="exact"/>
        <w:rPr>
          <w:sz w:val="20"/>
          <w:szCs w:val="20"/>
          <w:color w:val="auto"/>
        </w:rPr>
      </w:pPr>
    </w:p>
    <w:p>
      <w:pPr>
        <w:jc w:val="both"/>
        <w:ind w:right="260"/>
        <w:spacing w:after="0" w:line="251" w:lineRule="auto"/>
        <w:rPr>
          <w:sz w:val="20"/>
          <w:szCs w:val="20"/>
          <w:color w:val="auto"/>
        </w:rPr>
      </w:pPr>
      <w:r>
        <w:rPr>
          <w:rFonts w:ascii="Arial" w:cs="Arial" w:eastAsia="Arial" w:hAnsi="Arial"/>
          <w:sz w:val="16"/>
          <w:szCs w:val="16"/>
          <w:color w:val="auto"/>
        </w:rPr>
        <w:t>Each of our director nominees has been recommended for election by our Corporate Governance and Nominating Committee and nominated by our Board. They are seasoned leaders with an array of diverse leadership experience in public and private companies, nonprofit organizations, and other businesses. They represent diverse backgrounds, experiences, skills, personal attributes, and viewpoints.</w:t>
      </w:r>
    </w:p>
    <w:p>
      <w:pPr>
        <w:spacing w:after="0" w:line="34"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The Board believes that this diversity strengthens the Board’s ability to carry out its oversight role on behalf of shareholders and is proud of the Company’s long history of having at least three directors who are women on the Board for the past 15 years. While we do not have a formal diversity policy, the Board will continue to build upon its diversity in connection with future Board membership.</w:t>
      </w:r>
    </w:p>
    <w:p>
      <w:pPr>
        <w:spacing w:after="0" w:line="34"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For each of the nine director nominees standing for election, the following pages set forth certain biographical information, including a description of their principal occupation, business experience, and the primary qualifications, experience, skills, and attributes that the Corporate Governance and Nominating Committee considered in recommending them as director nominees, as well as the Board committees on which each director nominee will serve as of the 2024 Annual Meeting. The charts on diversity, independence, age, tenure, skills, experience, and attributes assume that all director nominees are elected as directors at the Annual Meeting. Age and tenure for each director nominee is effective as of April 15, 2024.</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Composition</w:t>
      </w:r>
    </w:p>
    <w:p>
      <w:pPr>
        <w:spacing w:after="0" w:line="85"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The Corporate Governance and Nominating Committee is responsible for identifying and recommending to the Board qualified candidates for Board membership as well as assessing the experience and skills of the Company’s current directors. The Committee regularly reviews the mix of individual qualifications, experience, skills, and attributes of incumbent directors to assess overall Board composition and define Board succession goals. This includes identifying areas of opportunity, specifically concerning the need to refresh the Board with new members with expertise and experience that would enhance the overall strength of the current Board and the ability of the Company to execute its long-term strategic plan. Ongoing strategic Board succession planning ensures that the Board continues to maintain an appropriate mix of objectivity, skills, and experiences to provide fresh perspectives and effective oversight and guidance to management while leveraging the institutional knowledge and historical perspective of our longer-tenured directors. The Committee’s goal is to build an</w:t>
      </w:r>
    </w:p>
    <w:p>
      <w:pPr>
        <w:spacing w:after="0" w:line="59"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14 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520"/>
          </w:cols>
          <w:pgMar w:left="640" w:top="423" w:right="739" w:bottom="1440" w:gutter="0" w:footer="0" w:header="0"/>
        </w:sectPr>
      </w:pPr>
    </w:p>
    <w:bookmarkStart w:id="16" w:name="page17"/>
    <w:bookmarkEnd w:id="16"/>
    <w:p>
      <w:pPr>
        <w:ind w:left="8604"/>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Proposal 1: Election of Directors</w:t>
      </w:r>
    </w:p>
    <w:p>
      <w:pPr>
        <w:spacing w:after="0" w:line="137" w:lineRule="exact"/>
        <w:rPr>
          <w:sz w:val="20"/>
          <w:szCs w:val="20"/>
          <w:color w:val="auto"/>
        </w:rPr>
      </w:pPr>
    </w:p>
    <w:p>
      <w:pPr>
        <w:ind w:left="4" w:right="60"/>
        <w:spacing w:after="0" w:line="265" w:lineRule="auto"/>
        <w:rPr>
          <w:sz w:val="20"/>
          <w:szCs w:val="20"/>
          <w:color w:val="auto"/>
        </w:rPr>
      </w:pPr>
      <w:r>
        <w:rPr>
          <w:rFonts w:ascii="Arial" w:cs="Arial" w:eastAsia="Arial" w:hAnsi="Arial"/>
          <w:sz w:val="16"/>
          <w:szCs w:val="16"/>
          <w:color w:val="auto"/>
        </w:rPr>
        <w:t>effective and well-functioning Board with diverse perspectives and viewpoints that is responsive to the current and anticipated needs of the Company and the long-term interests of shareholders.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Committee considers the following core qualifications for Board composition that are critical to the success of our business:</w:t>
      </w:r>
    </w:p>
    <w:p>
      <w:pPr>
        <w:spacing w:after="0" w:line="5" w:lineRule="exact"/>
        <w:rPr>
          <w:sz w:val="20"/>
          <w:szCs w:val="20"/>
          <w:color w:val="auto"/>
        </w:rPr>
      </w:pPr>
    </w:p>
    <w:p>
      <w:pPr>
        <w:ind w:left="204" w:hanging="204"/>
        <w:spacing w:after="0"/>
        <w:tabs>
          <w:tab w:leader="none" w:pos="204" w:val="left"/>
        </w:tabs>
        <w:numPr>
          <w:ilvl w:val="0"/>
          <w:numId w:val="1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demonstrated leadership skills and understanding of the complexities of business organizations;</w:t>
      </w:r>
    </w:p>
    <w:p>
      <w:pPr>
        <w:spacing w:after="0" w:line="68" w:lineRule="exact"/>
        <w:rPr>
          <w:rFonts w:ascii="Times New Roman" w:cs="Times New Roman" w:eastAsia="Times New Roman" w:hAnsi="Times New Roman"/>
          <w:sz w:val="24"/>
          <w:szCs w:val="24"/>
          <w:color w:val="0A9E50"/>
          <w:vertAlign w:val="superscript"/>
        </w:rPr>
      </w:pPr>
    </w:p>
    <w:p>
      <w:pPr>
        <w:ind w:left="204" w:hanging="204"/>
        <w:spacing w:after="0" w:line="181" w:lineRule="auto"/>
        <w:tabs>
          <w:tab w:leader="none" w:pos="204" w:val="left"/>
        </w:tabs>
        <w:numPr>
          <w:ilvl w:val="0"/>
          <w:numId w:val="10"/>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the highest personal and professional ethics, integrity, and values;</w:t>
      </w:r>
    </w:p>
    <w:p>
      <w:pPr>
        <w:spacing w:after="0" w:line="69" w:lineRule="exact"/>
        <w:rPr>
          <w:rFonts w:ascii="Times New Roman" w:cs="Times New Roman" w:eastAsia="Times New Roman" w:hAnsi="Times New Roman"/>
          <w:sz w:val="22"/>
          <w:szCs w:val="22"/>
          <w:color w:val="0A9E50"/>
          <w:vertAlign w:val="superscript"/>
        </w:rPr>
      </w:pPr>
    </w:p>
    <w:p>
      <w:pPr>
        <w:ind w:left="204" w:hanging="204"/>
        <w:spacing w:after="0" w:line="181" w:lineRule="auto"/>
        <w:tabs>
          <w:tab w:leader="none" w:pos="204" w:val="left"/>
        </w:tabs>
        <w:numPr>
          <w:ilvl w:val="0"/>
          <w:numId w:val="10"/>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objectivity and independence of thought and leadership;</w:t>
      </w:r>
    </w:p>
    <w:p>
      <w:pPr>
        <w:spacing w:after="0" w:line="69" w:lineRule="exact"/>
        <w:rPr>
          <w:rFonts w:ascii="Times New Roman" w:cs="Times New Roman" w:eastAsia="Times New Roman" w:hAnsi="Times New Roman"/>
          <w:sz w:val="22"/>
          <w:szCs w:val="22"/>
          <w:color w:val="0A9E50"/>
          <w:vertAlign w:val="superscript"/>
        </w:rPr>
      </w:pPr>
    </w:p>
    <w:p>
      <w:pPr>
        <w:ind w:left="204" w:hanging="204"/>
        <w:spacing w:after="0" w:line="181" w:lineRule="auto"/>
        <w:tabs>
          <w:tab w:leader="none" w:pos="204" w:val="left"/>
        </w:tabs>
        <w:numPr>
          <w:ilvl w:val="0"/>
          <w:numId w:val="10"/>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strength of character and sound judgment;</w:t>
      </w:r>
    </w:p>
    <w:p>
      <w:pPr>
        <w:spacing w:after="0" w:line="69" w:lineRule="exact"/>
        <w:rPr>
          <w:rFonts w:ascii="Times New Roman" w:cs="Times New Roman" w:eastAsia="Times New Roman" w:hAnsi="Times New Roman"/>
          <w:sz w:val="22"/>
          <w:szCs w:val="22"/>
          <w:color w:val="0A9E50"/>
          <w:vertAlign w:val="superscript"/>
        </w:rPr>
      </w:pPr>
    </w:p>
    <w:p>
      <w:pPr>
        <w:ind w:left="204" w:hanging="204"/>
        <w:spacing w:after="0" w:line="181" w:lineRule="auto"/>
        <w:tabs>
          <w:tab w:leader="none" w:pos="204" w:val="left"/>
        </w:tabs>
        <w:numPr>
          <w:ilvl w:val="0"/>
          <w:numId w:val="10"/>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strong interpersonal and communication skills; and</w:t>
      </w:r>
    </w:p>
    <w:p>
      <w:pPr>
        <w:spacing w:after="0" w:line="69" w:lineRule="exact"/>
        <w:rPr>
          <w:rFonts w:ascii="Times New Roman" w:cs="Times New Roman" w:eastAsia="Times New Roman" w:hAnsi="Times New Roman"/>
          <w:sz w:val="22"/>
          <w:szCs w:val="22"/>
          <w:color w:val="0A9E50"/>
          <w:vertAlign w:val="superscript"/>
        </w:rPr>
      </w:pPr>
    </w:p>
    <w:p>
      <w:pPr>
        <w:ind w:left="204" w:hanging="204"/>
        <w:spacing w:after="0" w:line="181" w:lineRule="auto"/>
        <w:tabs>
          <w:tab w:leader="none" w:pos="204" w:val="left"/>
        </w:tabs>
        <w:numPr>
          <w:ilvl w:val="0"/>
          <w:numId w:val="10"/>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highly accomplished in his or her respective field.</w:t>
      </w:r>
    </w:p>
    <w:p>
      <w:pPr>
        <w:spacing w:after="0" w:line="69" w:lineRule="exact"/>
        <w:rPr>
          <w:sz w:val="20"/>
          <w:szCs w:val="20"/>
          <w:color w:val="auto"/>
        </w:rPr>
      </w:pPr>
    </w:p>
    <w:p>
      <w:pPr>
        <w:ind w:left="4" w:right="300"/>
        <w:spacing w:after="0"/>
        <w:rPr>
          <w:sz w:val="20"/>
          <w:szCs w:val="20"/>
          <w:color w:val="auto"/>
        </w:rPr>
      </w:pPr>
      <w:r>
        <w:rPr>
          <w:rFonts w:ascii="Arial" w:cs="Arial" w:eastAsia="Arial" w:hAnsi="Arial"/>
          <w:sz w:val="16"/>
          <w:szCs w:val="16"/>
          <w:color w:val="auto"/>
        </w:rPr>
        <w:t>Director candidates must also have a willingness to devote sufficient time to discharge their duties, taking into consideration principal occupation, memberships on other boards, attendance at Board and committee meetings, and other responsibilities. In addition, director candidates must have an intention to serve an appropriate length of time to make a meaningful contribution to the Company and the Board. Each of our director nominees demonstrates the core qualifications listed here.</w:t>
      </w:r>
    </w:p>
    <w:p>
      <w:pPr>
        <w:spacing w:after="0" w:line="44" w:lineRule="exact"/>
        <w:rPr>
          <w:sz w:val="20"/>
          <w:szCs w:val="20"/>
          <w:color w:val="auto"/>
        </w:rPr>
      </w:pPr>
    </w:p>
    <w:p>
      <w:pPr>
        <w:ind w:left="4" w:right="160"/>
        <w:spacing w:after="0" w:line="246" w:lineRule="auto"/>
        <w:rPr>
          <w:sz w:val="20"/>
          <w:szCs w:val="20"/>
          <w:color w:val="auto"/>
        </w:rPr>
      </w:pPr>
      <w:r>
        <w:rPr>
          <w:rFonts w:ascii="Arial" w:cs="Arial" w:eastAsia="Arial" w:hAnsi="Arial"/>
          <w:sz w:val="16"/>
          <w:szCs w:val="16"/>
          <w:color w:val="auto"/>
        </w:rPr>
        <w:t>The Committee also considers specific criteria as provided below, that varies from time to time based on the Company’s current and future priorities and needs, and the balance of the candidate’s experiences, skills, and attributes with those of other members of the Board, as illustrated in our Board Composition Matrix on the next page. As the Company continues to drive profitable growth in its areas of specialization, the Committee considers the following experiences and skills:</w:t>
      </w:r>
    </w:p>
    <w:p>
      <w:pPr>
        <w:spacing w:after="0" w:line="52" w:lineRule="exact"/>
        <w:rPr>
          <w:sz w:val="20"/>
          <w:szCs w:val="20"/>
          <w:color w:val="auto"/>
        </w:rPr>
      </w:pPr>
    </w:p>
    <w:p>
      <w:pPr>
        <w:ind w:left="204" w:right="80" w:hanging="204"/>
        <w:spacing w:after="0" w:line="212" w:lineRule="auto"/>
        <w:tabs>
          <w:tab w:leader="none" w:pos="204" w:val="left"/>
        </w:tabs>
        <w:numPr>
          <w:ilvl w:val="0"/>
          <w:numId w:val="1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Executive Leadership, </w:t>
      </w:r>
      <w:r>
        <w:rPr>
          <w:rFonts w:ascii="Arial" w:cs="Arial" w:eastAsia="Arial" w:hAnsi="Arial"/>
          <w:sz w:val="16"/>
          <w:szCs w:val="16"/>
          <w:color w:val="000000"/>
        </w:rPr>
        <w:t>experience as a Chairman of the Board, Chief Executive Officer, Chief Operating Officer, or substantially equivalent level</w:t>
      </w:r>
      <w:r>
        <w:rPr>
          <w:rFonts w:ascii="Arial" w:cs="Arial" w:eastAsia="Arial" w:hAnsi="Arial"/>
          <w:sz w:val="16"/>
          <w:szCs w:val="16"/>
          <w:color w:val="0A9E50"/>
        </w:rPr>
        <w:t xml:space="preserve"> </w:t>
      </w:r>
      <w:r>
        <w:rPr>
          <w:rFonts w:ascii="Arial" w:cs="Arial" w:eastAsia="Arial" w:hAnsi="Arial"/>
          <w:sz w:val="16"/>
          <w:szCs w:val="16"/>
          <w:color w:val="000000"/>
        </w:rPr>
        <w:t>executive officer of a complex organization such as a corporation, university, or major unit of government or a professional who regularly advises such organizations.</w:t>
      </w:r>
    </w:p>
    <w:p>
      <w:pPr>
        <w:spacing w:after="0" w:line="55" w:lineRule="exact"/>
        <w:rPr>
          <w:rFonts w:ascii="Times New Roman" w:cs="Times New Roman" w:eastAsia="Times New Roman" w:hAnsi="Times New Roman"/>
          <w:sz w:val="24"/>
          <w:szCs w:val="24"/>
          <w:color w:val="0A9E50"/>
          <w:vertAlign w:val="superscript"/>
        </w:rPr>
      </w:pPr>
    </w:p>
    <w:p>
      <w:pPr>
        <w:ind w:left="204" w:right="120" w:hanging="204"/>
        <w:spacing w:after="0" w:line="202" w:lineRule="auto"/>
        <w:tabs>
          <w:tab w:leader="none" w:pos="204" w:val="left"/>
        </w:tabs>
        <w:numPr>
          <w:ilvl w:val="0"/>
          <w:numId w:val="1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Transformation, </w:t>
      </w:r>
      <w:r>
        <w:rPr>
          <w:rFonts w:ascii="Arial" w:cs="Arial" w:eastAsia="Arial" w:hAnsi="Arial"/>
          <w:sz w:val="16"/>
          <w:szCs w:val="16"/>
          <w:color w:val="000000"/>
        </w:rPr>
        <w:t>successful leadership of large-scale transformations, including cultural evolutions, restructuring, and enhancing organizational design</w:t>
      </w:r>
      <w:r>
        <w:rPr>
          <w:rFonts w:ascii="Arial" w:cs="Arial" w:eastAsia="Arial" w:hAnsi="Arial"/>
          <w:sz w:val="16"/>
          <w:szCs w:val="16"/>
          <w:color w:val="0A9E50"/>
        </w:rPr>
        <w:t xml:space="preserve"> </w:t>
      </w:r>
      <w:r>
        <w:rPr>
          <w:rFonts w:ascii="Arial" w:cs="Arial" w:eastAsia="Arial" w:hAnsi="Arial"/>
          <w:sz w:val="16"/>
          <w:szCs w:val="16"/>
          <w:color w:val="000000"/>
        </w:rPr>
        <w:t>to improve effectiveness, and drive profitable growth.</w:t>
      </w:r>
    </w:p>
    <w:p>
      <w:pPr>
        <w:ind w:left="204" w:hanging="204"/>
        <w:spacing w:after="0" w:line="226" w:lineRule="auto"/>
        <w:tabs>
          <w:tab w:leader="none" w:pos="204" w:val="left"/>
        </w:tabs>
        <w:numPr>
          <w:ilvl w:val="0"/>
          <w:numId w:val="1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Innovation, </w:t>
      </w:r>
      <w:r>
        <w:rPr>
          <w:rFonts w:ascii="Arial" w:cs="Arial" w:eastAsia="Arial" w:hAnsi="Arial"/>
          <w:sz w:val="16"/>
          <w:szCs w:val="16"/>
          <w:color w:val="000000"/>
        </w:rPr>
        <w:t>proven experience turning new ideas and technologies into assets that transform businesses.</w:t>
      </w:r>
    </w:p>
    <w:p>
      <w:pPr>
        <w:spacing w:after="0" w:line="69" w:lineRule="exact"/>
        <w:rPr>
          <w:rFonts w:ascii="Times New Roman" w:cs="Times New Roman" w:eastAsia="Times New Roman" w:hAnsi="Times New Roman"/>
          <w:sz w:val="24"/>
          <w:szCs w:val="24"/>
          <w:color w:val="0A9E50"/>
          <w:vertAlign w:val="superscript"/>
        </w:rPr>
      </w:pPr>
    </w:p>
    <w:p>
      <w:pPr>
        <w:ind w:left="204" w:right="540" w:hanging="204"/>
        <w:spacing w:after="0" w:line="205" w:lineRule="auto"/>
        <w:tabs>
          <w:tab w:leader="none" w:pos="204" w:val="left"/>
        </w:tabs>
        <w:numPr>
          <w:ilvl w:val="0"/>
          <w:numId w:val="11"/>
        </w:numPr>
        <w:rPr>
          <w:rFonts w:ascii="Times New Roman" w:cs="Times New Roman" w:eastAsia="Times New Roman" w:hAnsi="Times New Roman"/>
          <w:sz w:val="23"/>
          <w:szCs w:val="23"/>
          <w:color w:val="0A9E50"/>
          <w:vertAlign w:val="superscript"/>
        </w:rPr>
      </w:pPr>
      <w:r>
        <w:rPr>
          <w:rFonts w:ascii="Arial" w:cs="Arial" w:eastAsia="Arial" w:hAnsi="Arial"/>
          <w:sz w:val="15"/>
          <w:szCs w:val="15"/>
          <w:color w:val="0A9E50"/>
        </w:rPr>
        <w:t xml:space="preserve">Industry, </w:t>
      </w:r>
      <w:r>
        <w:rPr>
          <w:rFonts w:ascii="Arial" w:cs="Arial" w:eastAsia="Arial" w:hAnsi="Arial"/>
          <w:sz w:val="15"/>
          <w:szCs w:val="15"/>
          <w:color w:val="000000"/>
        </w:rPr>
        <w:t>including experience in the staffing or business services industry, the Company’s specialty businesses, or experience in human capital</w:t>
      </w:r>
      <w:r>
        <w:rPr>
          <w:rFonts w:ascii="Arial" w:cs="Arial" w:eastAsia="Arial" w:hAnsi="Arial"/>
          <w:sz w:val="15"/>
          <w:szCs w:val="15"/>
          <w:color w:val="0A9E50"/>
        </w:rPr>
        <w:t xml:space="preserve"> </w:t>
      </w:r>
      <w:r>
        <w:rPr>
          <w:rFonts w:ascii="Arial" w:cs="Arial" w:eastAsia="Arial" w:hAnsi="Arial"/>
          <w:sz w:val="15"/>
          <w:szCs w:val="15"/>
          <w:color w:val="000000"/>
        </w:rPr>
        <w:t>management including talent/workforce solutions; diversity, equity, and inclusion; organizational behavior; and compensation and benefits.</w:t>
      </w:r>
    </w:p>
    <w:p>
      <w:pPr>
        <w:spacing w:after="0" w:line="55" w:lineRule="exact"/>
        <w:rPr>
          <w:rFonts w:ascii="Times New Roman" w:cs="Times New Roman" w:eastAsia="Times New Roman" w:hAnsi="Times New Roman"/>
          <w:sz w:val="23"/>
          <w:szCs w:val="23"/>
          <w:color w:val="0A9E50"/>
          <w:vertAlign w:val="superscript"/>
        </w:rPr>
      </w:pPr>
    </w:p>
    <w:p>
      <w:pPr>
        <w:ind w:left="204" w:right="200" w:hanging="204"/>
        <w:spacing w:after="0" w:line="202" w:lineRule="auto"/>
        <w:tabs>
          <w:tab w:leader="none" w:pos="204" w:val="left"/>
        </w:tabs>
        <w:numPr>
          <w:ilvl w:val="0"/>
          <w:numId w:val="1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Technology, Digitization, and Cybersecurity, </w:t>
      </w:r>
      <w:r>
        <w:rPr>
          <w:rFonts w:ascii="Arial" w:cs="Arial" w:eastAsia="Arial" w:hAnsi="Arial"/>
          <w:sz w:val="16"/>
          <w:szCs w:val="16"/>
          <w:color w:val="000000"/>
        </w:rPr>
        <w:t>experience in the high-level planning and execution of business initiatives through the use of technology</w:t>
      </w:r>
      <w:r>
        <w:rPr>
          <w:rFonts w:ascii="Arial" w:cs="Arial" w:eastAsia="Arial" w:hAnsi="Arial"/>
          <w:sz w:val="16"/>
          <w:szCs w:val="16"/>
          <w:color w:val="0A9E50"/>
        </w:rPr>
        <w:t xml:space="preserve"> </w:t>
      </w:r>
      <w:r>
        <w:rPr>
          <w:rFonts w:ascii="Arial" w:cs="Arial" w:eastAsia="Arial" w:hAnsi="Arial"/>
          <w:sz w:val="16"/>
          <w:szCs w:val="16"/>
          <w:color w:val="000000"/>
        </w:rPr>
        <w:t>and digitization to build business efficiencies and competitive advantage.</w:t>
      </w:r>
    </w:p>
    <w:p>
      <w:pPr>
        <w:spacing w:after="0" w:line="55" w:lineRule="exact"/>
        <w:rPr>
          <w:rFonts w:ascii="Times New Roman" w:cs="Times New Roman" w:eastAsia="Times New Roman" w:hAnsi="Times New Roman"/>
          <w:sz w:val="24"/>
          <w:szCs w:val="24"/>
          <w:color w:val="0A9E50"/>
          <w:vertAlign w:val="superscript"/>
        </w:rPr>
      </w:pPr>
    </w:p>
    <w:p>
      <w:pPr>
        <w:ind w:left="204" w:right="140" w:hanging="204"/>
        <w:spacing w:after="0" w:line="202" w:lineRule="auto"/>
        <w:tabs>
          <w:tab w:leader="none" w:pos="204" w:val="left"/>
        </w:tabs>
        <w:numPr>
          <w:ilvl w:val="0"/>
          <w:numId w:val="1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Financial Acumen, </w:t>
      </w:r>
      <w:r>
        <w:rPr>
          <w:rFonts w:ascii="Arial" w:cs="Arial" w:eastAsia="Arial" w:hAnsi="Arial"/>
          <w:sz w:val="16"/>
          <w:szCs w:val="16"/>
          <w:color w:val="000000"/>
        </w:rPr>
        <w:t>the ability to read and understand fundamental financial statements, including a company’s balance sheet, income statement, and</w:t>
      </w:r>
      <w:r>
        <w:rPr>
          <w:rFonts w:ascii="Arial" w:cs="Arial" w:eastAsia="Arial" w:hAnsi="Arial"/>
          <w:sz w:val="16"/>
          <w:szCs w:val="16"/>
          <w:color w:val="0A9E50"/>
        </w:rPr>
        <w:t xml:space="preserve"> </w:t>
      </w:r>
      <w:r>
        <w:rPr>
          <w:rFonts w:ascii="Arial" w:cs="Arial" w:eastAsia="Arial" w:hAnsi="Arial"/>
          <w:sz w:val="16"/>
          <w:szCs w:val="16"/>
          <w:color w:val="000000"/>
        </w:rPr>
        <w:t>cash flow statement.</w:t>
      </w:r>
    </w:p>
    <w:p>
      <w:pPr>
        <w:spacing w:after="0" w:line="55" w:lineRule="exact"/>
        <w:rPr>
          <w:rFonts w:ascii="Times New Roman" w:cs="Times New Roman" w:eastAsia="Times New Roman" w:hAnsi="Times New Roman"/>
          <w:sz w:val="24"/>
          <w:szCs w:val="24"/>
          <w:color w:val="0A9E50"/>
          <w:vertAlign w:val="superscript"/>
        </w:rPr>
      </w:pPr>
    </w:p>
    <w:p>
      <w:pPr>
        <w:ind w:left="204" w:right="200" w:hanging="204"/>
        <w:spacing w:after="0" w:line="212" w:lineRule="auto"/>
        <w:tabs>
          <w:tab w:leader="none" w:pos="204" w:val="left"/>
        </w:tabs>
        <w:numPr>
          <w:ilvl w:val="0"/>
          <w:numId w:val="1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Financial Expert, </w:t>
      </w:r>
      <w:r>
        <w:rPr>
          <w:rFonts w:ascii="Arial" w:cs="Arial" w:eastAsia="Arial" w:hAnsi="Arial"/>
          <w:sz w:val="16"/>
          <w:szCs w:val="16"/>
          <w:color w:val="000000"/>
        </w:rPr>
        <w:t>including financial and/or accounting expertise, generally, and as necessary to fulfill the financial requirements of NASDAQ and the</w:t>
      </w:r>
      <w:r>
        <w:rPr>
          <w:rFonts w:ascii="Arial" w:cs="Arial" w:eastAsia="Arial" w:hAnsi="Arial"/>
          <w:sz w:val="16"/>
          <w:szCs w:val="16"/>
          <w:color w:val="0A9E50"/>
        </w:rPr>
        <w:t xml:space="preserve"> </w:t>
      </w:r>
      <w:r>
        <w:rPr>
          <w:rFonts w:ascii="Arial" w:cs="Arial" w:eastAsia="Arial" w:hAnsi="Arial"/>
          <w:sz w:val="16"/>
          <w:szCs w:val="16"/>
          <w:color w:val="000000"/>
        </w:rPr>
        <w:t>Securities and Exchange Commission (education and experience as CFO, finance/accounting executive, public accountant or auditor, or person performing similar functions).</w:t>
      </w:r>
    </w:p>
    <w:p>
      <w:pPr>
        <w:ind w:left="204" w:hanging="204"/>
        <w:spacing w:after="0" w:line="226" w:lineRule="auto"/>
        <w:tabs>
          <w:tab w:leader="none" w:pos="204" w:val="left"/>
        </w:tabs>
        <w:numPr>
          <w:ilvl w:val="0"/>
          <w:numId w:val="1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Risk Management, </w:t>
      </w:r>
      <w:r>
        <w:rPr>
          <w:rFonts w:ascii="Arial" w:cs="Arial" w:eastAsia="Arial" w:hAnsi="Arial"/>
          <w:sz w:val="16"/>
          <w:szCs w:val="16"/>
          <w:color w:val="000000"/>
        </w:rPr>
        <w:t>experience identifying, evaluating, and managing corporate risk, ability to address and mitigate material risks.</w:t>
      </w:r>
    </w:p>
    <w:p>
      <w:pPr>
        <w:spacing w:after="0" w:line="69" w:lineRule="exact"/>
        <w:rPr>
          <w:rFonts w:ascii="Times New Roman" w:cs="Times New Roman" w:eastAsia="Times New Roman" w:hAnsi="Times New Roman"/>
          <w:sz w:val="24"/>
          <w:szCs w:val="24"/>
          <w:color w:val="0A9E50"/>
          <w:vertAlign w:val="superscript"/>
        </w:rPr>
      </w:pPr>
    </w:p>
    <w:p>
      <w:pPr>
        <w:ind w:left="204" w:right="100" w:hanging="204"/>
        <w:spacing w:after="0" w:line="194" w:lineRule="auto"/>
        <w:tabs>
          <w:tab w:leader="none" w:pos="204" w:val="left"/>
        </w:tabs>
        <w:numPr>
          <w:ilvl w:val="0"/>
          <w:numId w:val="1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Legal or Corporate Governance, </w:t>
      </w:r>
      <w:r>
        <w:rPr>
          <w:rFonts w:ascii="Arial" w:cs="Arial" w:eastAsia="Arial" w:hAnsi="Arial"/>
          <w:sz w:val="16"/>
          <w:szCs w:val="16"/>
          <w:color w:val="000000"/>
        </w:rPr>
        <w:t>experience with legal issues impacting large organizations and governance and fiduciary matters that impact boards,</w:t>
      </w:r>
      <w:r>
        <w:rPr>
          <w:rFonts w:ascii="Arial" w:cs="Arial" w:eastAsia="Arial" w:hAnsi="Arial"/>
          <w:sz w:val="16"/>
          <w:szCs w:val="16"/>
          <w:color w:val="0A9E50"/>
        </w:rPr>
        <w:t xml:space="preserve"> </w:t>
      </w:r>
      <w:r>
        <w:rPr>
          <w:rFonts w:ascii="Arial" w:cs="Arial" w:eastAsia="Arial" w:hAnsi="Arial"/>
          <w:sz w:val="16"/>
          <w:szCs w:val="16"/>
          <w:color w:val="000000"/>
        </w:rPr>
        <w:t>such as service on public boards and board committees, or as legal or governance executives of other large public companies.</w:t>
      </w:r>
    </w:p>
    <w:p>
      <w:pPr>
        <w:spacing w:after="0" w:line="56" w:lineRule="exact"/>
        <w:rPr>
          <w:rFonts w:ascii="Times New Roman" w:cs="Times New Roman" w:eastAsia="Times New Roman" w:hAnsi="Times New Roman"/>
          <w:sz w:val="24"/>
          <w:szCs w:val="24"/>
          <w:color w:val="0A9E50"/>
          <w:vertAlign w:val="superscript"/>
        </w:rPr>
      </w:pPr>
    </w:p>
    <w:p>
      <w:pPr>
        <w:ind w:left="204" w:right="180" w:hanging="204"/>
        <w:spacing w:after="0" w:line="202" w:lineRule="auto"/>
        <w:tabs>
          <w:tab w:leader="none" w:pos="204" w:val="left"/>
        </w:tabs>
        <w:numPr>
          <w:ilvl w:val="0"/>
          <w:numId w:val="1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ESG and Sustainability, </w:t>
      </w:r>
      <w:r>
        <w:rPr>
          <w:rFonts w:ascii="Arial" w:cs="Arial" w:eastAsia="Arial" w:hAnsi="Arial"/>
          <w:sz w:val="16"/>
          <w:szCs w:val="16"/>
          <w:color w:val="000000"/>
        </w:rPr>
        <w:t>experience with the development and oversight of an effective corporate responsibility strategy, initiatives, and practices that</w:t>
      </w:r>
      <w:r>
        <w:rPr>
          <w:rFonts w:ascii="Arial" w:cs="Arial" w:eastAsia="Arial" w:hAnsi="Arial"/>
          <w:sz w:val="16"/>
          <w:szCs w:val="16"/>
          <w:color w:val="0A9E50"/>
        </w:rPr>
        <w:t xml:space="preserve"> </w:t>
      </w:r>
      <w:r>
        <w:rPr>
          <w:rFonts w:ascii="Arial" w:cs="Arial" w:eastAsia="Arial" w:hAnsi="Arial"/>
          <w:sz w:val="16"/>
          <w:szCs w:val="16"/>
          <w:color w:val="000000"/>
        </w:rPr>
        <w:t>include social, climate and environmental initiatives.</w:t>
      </w:r>
    </w:p>
    <w:p>
      <w:pPr>
        <w:spacing w:after="0" w:line="55" w:lineRule="exact"/>
        <w:rPr>
          <w:rFonts w:ascii="Times New Roman" w:cs="Times New Roman" w:eastAsia="Times New Roman" w:hAnsi="Times New Roman"/>
          <w:sz w:val="24"/>
          <w:szCs w:val="24"/>
          <w:color w:val="0A9E50"/>
          <w:vertAlign w:val="superscript"/>
        </w:rPr>
      </w:pPr>
    </w:p>
    <w:p>
      <w:pPr>
        <w:ind w:left="204" w:right="20" w:hanging="204"/>
        <w:spacing w:after="0" w:line="202" w:lineRule="auto"/>
        <w:tabs>
          <w:tab w:leader="none" w:pos="204" w:val="left"/>
        </w:tabs>
        <w:numPr>
          <w:ilvl w:val="0"/>
          <w:numId w:val="1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0A9E50"/>
        </w:rPr>
        <w:t xml:space="preserve">Mergers &amp; Acquisitions, </w:t>
      </w:r>
      <w:r>
        <w:rPr>
          <w:rFonts w:ascii="Arial" w:cs="Arial" w:eastAsia="Arial" w:hAnsi="Arial"/>
          <w:sz w:val="16"/>
          <w:szCs w:val="16"/>
          <w:color w:val="000000"/>
        </w:rPr>
        <w:t>experience implementing organic and inorganic strategies to promote growth, identifying acquisition and business combination</w:t>
      </w:r>
      <w:r>
        <w:rPr>
          <w:rFonts w:ascii="Arial" w:cs="Arial" w:eastAsia="Arial" w:hAnsi="Arial"/>
          <w:sz w:val="16"/>
          <w:szCs w:val="16"/>
          <w:color w:val="0A9E50"/>
        </w:rPr>
        <w:t xml:space="preserve"> </w:t>
      </w:r>
      <w:r>
        <w:rPr>
          <w:rFonts w:ascii="Arial" w:cs="Arial" w:eastAsia="Arial" w:hAnsi="Arial"/>
          <w:sz w:val="16"/>
          <w:szCs w:val="16"/>
          <w:color w:val="000000"/>
        </w:rPr>
        <w:t>targets, analyzing cultural and strategic fit, and oversight of successful integration.</w:t>
      </w:r>
    </w:p>
    <w:p>
      <w:pPr>
        <w:spacing w:after="0" w:line="42" w:lineRule="exact"/>
        <w:rPr>
          <w:sz w:val="20"/>
          <w:szCs w:val="20"/>
          <w:color w:val="auto"/>
        </w:rPr>
      </w:pPr>
    </w:p>
    <w:p>
      <w:pPr>
        <w:ind w:left="4" w:right="420"/>
        <w:spacing w:after="0" w:line="252" w:lineRule="auto"/>
        <w:rPr>
          <w:sz w:val="20"/>
          <w:szCs w:val="20"/>
          <w:color w:val="auto"/>
        </w:rPr>
      </w:pPr>
      <w:r>
        <w:rPr>
          <w:rFonts w:ascii="Arial" w:cs="Arial" w:eastAsia="Arial" w:hAnsi="Arial"/>
          <w:sz w:val="16"/>
          <w:szCs w:val="16"/>
          <w:color w:val="auto"/>
        </w:rPr>
        <w:t>In determining whether to recommend a director for re-nomination, the Committee also considers the director’s recent contributions and potential for continuing contributions to the work of the Board.</w:t>
      </w:r>
    </w:p>
    <w:p>
      <w:pPr>
        <w:spacing w:after="0" w:line="1" w:lineRule="exact"/>
        <w:rPr>
          <w:sz w:val="20"/>
          <w:szCs w:val="20"/>
          <w:color w:val="auto"/>
        </w:rPr>
      </w:pPr>
    </w:p>
    <w:p>
      <w:pPr>
        <w:ind w:left="8784"/>
        <w:spacing w:after="0"/>
        <w:tabs>
          <w:tab w:leader="none" w:pos="10023"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6311265</wp:posOffset>
            </wp:positionH>
            <wp:positionV relativeFrom="paragraph">
              <wp:posOffset>-222250</wp:posOffset>
            </wp:positionV>
            <wp:extent cx="8255" cy="2228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Proposal 1: Election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Composition Matrix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0A9E50"/>
              </w:rPr>
              <w:t>Director Nominees</w:t>
            </w:r>
          </w:p>
        </w:tc>
        <w:tc>
          <w:tcPr>
            <w:tcW w:w="7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405"/>
        </w:trPr>
        <w:tc>
          <w:tcPr>
            <w:tcW w:w="3880" w:type="dxa"/>
            <w:vAlign w:val="bottom"/>
          </w:tcPr>
          <w:p>
            <w:pPr>
              <w:ind w:left="60"/>
              <w:spacing w:after="0"/>
              <w:rPr>
                <w:sz w:val="20"/>
                <w:szCs w:val="20"/>
                <w:color w:val="auto"/>
              </w:rPr>
            </w:pPr>
            <w:r>
              <w:rPr>
                <w:rFonts w:ascii="Arial" w:cs="Arial" w:eastAsia="Arial" w:hAnsi="Arial"/>
                <w:sz w:val="17"/>
                <w:szCs w:val="17"/>
                <w:color w:val="0A9E50"/>
              </w:rPr>
              <w:t>Specific Experience and Skills (May vary</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2"/>
        </w:trPr>
        <w:tc>
          <w:tcPr>
            <w:tcW w:w="3880" w:type="dxa"/>
            <w:vAlign w:val="bottom"/>
          </w:tcPr>
          <w:p>
            <w:pPr>
              <w:spacing w:after="0"/>
              <w:rPr>
                <w:sz w:val="20"/>
                <w:szCs w:val="20"/>
                <w:color w:val="auto"/>
              </w:rPr>
            </w:pPr>
            <w:r>
              <w:rPr>
                <w:rFonts w:ascii="Arial" w:cs="Arial" w:eastAsia="Arial" w:hAnsi="Arial"/>
                <w:sz w:val="17"/>
                <w:szCs w:val="17"/>
                <w:color w:val="0A9E50"/>
              </w:rPr>
              <w:t>  based on current and future Company</w:t>
            </w:r>
          </w:p>
        </w:tc>
        <w:tc>
          <w:tcPr>
            <w:tcW w:w="14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5"/>
                <w:szCs w:val="15"/>
                <w:b w:val="1"/>
                <w:bCs w:val="1"/>
                <w:color w:val="auto"/>
                <w:w w:val="93"/>
              </w:rPr>
              <w:t>Larkin</w:t>
            </w:r>
          </w:p>
        </w:tc>
        <w:tc>
          <w:tcPr>
            <w:tcW w:w="680" w:type="dxa"/>
            <w:vAlign w:val="bottom"/>
          </w:tcPr>
          <w:p>
            <w:pPr>
              <w:ind w:left="140"/>
              <w:spacing w:after="0"/>
              <w:rPr>
                <w:sz w:val="20"/>
                <w:szCs w:val="20"/>
                <w:color w:val="auto"/>
              </w:rPr>
            </w:pPr>
            <w:r>
              <w:rPr>
                <w:rFonts w:ascii="Arial" w:cs="Arial" w:eastAsia="Arial" w:hAnsi="Arial"/>
                <w:sz w:val="15"/>
                <w:szCs w:val="15"/>
                <w:b w:val="1"/>
                <w:bCs w:val="1"/>
                <w:color w:val="auto"/>
                <w:w w:val="94"/>
              </w:rPr>
              <w:t>Quigley</w:t>
            </w:r>
          </w:p>
        </w:tc>
        <w:tc>
          <w:tcPr>
            <w:tcW w:w="820" w:type="dxa"/>
            <w:vAlign w:val="bottom"/>
          </w:tcPr>
          <w:p>
            <w:pPr>
              <w:ind w:left="160"/>
              <w:spacing w:after="0"/>
              <w:rPr>
                <w:sz w:val="20"/>
                <w:szCs w:val="20"/>
                <w:color w:val="auto"/>
              </w:rPr>
            </w:pPr>
            <w:r>
              <w:rPr>
                <w:rFonts w:ascii="Arial" w:cs="Arial" w:eastAsia="Arial" w:hAnsi="Arial"/>
                <w:sz w:val="15"/>
                <w:szCs w:val="15"/>
                <w:b w:val="1"/>
                <w:bCs w:val="1"/>
                <w:color w:val="auto"/>
              </w:rPr>
              <w:t>Adolph</w:t>
            </w:r>
          </w:p>
        </w:tc>
        <w:tc>
          <w:tcPr>
            <w:tcW w:w="660" w:type="dxa"/>
            <w:vAlign w:val="bottom"/>
          </w:tcPr>
          <w:p>
            <w:pPr>
              <w:ind w:left="140"/>
              <w:spacing w:after="0"/>
              <w:rPr>
                <w:sz w:val="20"/>
                <w:szCs w:val="20"/>
                <w:color w:val="auto"/>
              </w:rPr>
            </w:pPr>
            <w:r>
              <w:rPr>
                <w:rFonts w:ascii="Arial" w:cs="Arial" w:eastAsia="Arial" w:hAnsi="Arial"/>
                <w:sz w:val="15"/>
                <w:szCs w:val="15"/>
                <w:b w:val="1"/>
                <w:bCs w:val="1"/>
                <w:color w:val="auto"/>
                <w:w w:val="95"/>
              </w:rPr>
              <w:t>Corona</w:t>
            </w:r>
          </w:p>
        </w:tc>
        <w:tc>
          <w:tcPr>
            <w:tcW w:w="940" w:type="dxa"/>
            <w:vAlign w:val="bottom"/>
          </w:tcPr>
          <w:p>
            <w:pPr>
              <w:ind w:left="140"/>
              <w:spacing w:after="0"/>
              <w:rPr>
                <w:sz w:val="20"/>
                <w:szCs w:val="20"/>
                <w:color w:val="auto"/>
              </w:rPr>
            </w:pPr>
            <w:r>
              <w:rPr>
                <w:rFonts w:ascii="Arial" w:cs="Arial" w:eastAsia="Arial" w:hAnsi="Arial"/>
                <w:sz w:val="15"/>
                <w:szCs w:val="15"/>
                <w:b w:val="1"/>
                <w:bCs w:val="1"/>
                <w:color w:val="auto"/>
              </w:rPr>
              <w:t>Cubbin</w:t>
            </w:r>
          </w:p>
        </w:tc>
        <w:tc>
          <w:tcPr>
            <w:tcW w:w="820" w:type="dxa"/>
            <w:vAlign w:val="bottom"/>
          </w:tcPr>
          <w:p>
            <w:pPr>
              <w:ind w:left="140"/>
              <w:spacing w:after="0"/>
              <w:rPr>
                <w:sz w:val="20"/>
                <w:szCs w:val="20"/>
                <w:color w:val="auto"/>
              </w:rPr>
            </w:pPr>
            <w:r>
              <w:rPr>
                <w:rFonts w:ascii="Arial" w:cs="Arial" w:eastAsia="Arial" w:hAnsi="Arial"/>
                <w:sz w:val="15"/>
                <w:szCs w:val="15"/>
                <w:b w:val="1"/>
                <w:bCs w:val="1"/>
                <w:color w:val="auto"/>
                <w:w w:val="95"/>
              </w:rPr>
              <w:t>Duggirala</w:t>
            </w:r>
          </w:p>
        </w:tc>
        <w:tc>
          <w:tcPr>
            <w:tcW w:w="780" w:type="dxa"/>
            <w:vAlign w:val="bottom"/>
          </w:tcPr>
          <w:p>
            <w:pPr>
              <w:ind w:left="160"/>
              <w:spacing w:after="0"/>
              <w:rPr>
                <w:sz w:val="20"/>
                <w:szCs w:val="20"/>
                <w:color w:val="auto"/>
              </w:rPr>
            </w:pPr>
            <w:r>
              <w:rPr>
                <w:rFonts w:ascii="Arial" w:cs="Arial" w:eastAsia="Arial" w:hAnsi="Arial"/>
                <w:sz w:val="15"/>
                <w:szCs w:val="15"/>
                <w:b w:val="1"/>
                <w:bCs w:val="1"/>
                <w:color w:val="auto"/>
                <w:w w:val="95"/>
              </w:rPr>
              <w:t>Johnson</w:t>
            </w:r>
          </w:p>
        </w:tc>
        <w:tc>
          <w:tcPr>
            <w:tcW w:w="880" w:type="dxa"/>
            <w:vAlign w:val="bottom"/>
          </w:tcPr>
          <w:p>
            <w:pPr>
              <w:ind w:left="140"/>
              <w:spacing w:after="0"/>
              <w:rPr>
                <w:sz w:val="20"/>
                <w:szCs w:val="20"/>
                <w:color w:val="auto"/>
              </w:rPr>
            </w:pPr>
            <w:r>
              <w:rPr>
                <w:rFonts w:ascii="Arial" w:cs="Arial" w:eastAsia="Arial" w:hAnsi="Arial"/>
                <w:sz w:val="15"/>
                <w:szCs w:val="15"/>
                <w:b w:val="1"/>
                <w:bCs w:val="1"/>
                <w:color w:val="auto"/>
              </w:rPr>
              <w:t>Murphy</w:t>
            </w:r>
          </w:p>
        </w:tc>
        <w:tc>
          <w:tcPr>
            <w:tcW w:w="580" w:type="dxa"/>
            <w:vAlign w:val="bottom"/>
          </w:tcPr>
          <w:p>
            <w:pPr>
              <w:ind w:left="140"/>
              <w:spacing w:after="0"/>
              <w:rPr>
                <w:sz w:val="20"/>
                <w:szCs w:val="20"/>
                <w:color w:val="auto"/>
              </w:rPr>
            </w:pPr>
            <w:r>
              <w:rPr>
                <w:rFonts w:ascii="Arial" w:cs="Arial" w:eastAsia="Arial" w:hAnsi="Arial"/>
                <w:sz w:val="15"/>
                <w:szCs w:val="15"/>
                <w:b w:val="1"/>
                <w:bCs w:val="1"/>
                <w:color w:val="auto"/>
                <w:w w:val="98"/>
              </w:rPr>
              <w:t>Parfet</w:t>
            </w:r>
          </w:p>
        </w:tc>
      </w:tr>
      <w:tr>
        <w:trPr>
          <w:trHeight w:val="229"/>
        </w:trPr>
        <w:tc>
          <w:tcPr>
            <w:tcW w:w="3880" w:type="dxa"/>
            <w:vAlign w:val="bottom"/>
          </w:tcPr>
          <w:p>
            <w:pPr>
              <w:spacing w:after="0"/>
              <w:rPr>
                <w:sz w:val="20"/>
                <w:szCs w:val="20"/>
                <w:color w:val="auto"/>
              </w:rPr>
            </w:pPr>
            <w:r>
              <w:rPr>
                <w:rFonts w:ascii="Arial" w:cs="Arial" w:eastAsia="Arial" w:hAnsi="Arial"/>
                <w:sz w:val="17"/>
                <w:szCs w:val="17"/>
                <w:color w:val="0A9E50"/>
              </w:rPr>
              <w:t>  priorities/needs)</w:t>
            </w:r>
          </w:p>
        </w:tc>
        <w:tc>
          <w:tcPr>
            <w:tcW w:w="14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COB</w:t>
            </w:r>
          </w:p>
        </w:tc>
        <w:tc>
          <w:tcPr>
            <w:tcW w:w="680" w:type="dxa"/>
            <w:vAlign w:val="bottom"/>
          </w:tcPr>
          <w:p>
            <w:pPr>
              <w:ind w:left="140"/>
              <w:spacing w:after="0"/>
              <w:rPr>
                <w:sz w:val="20"/>
                <w:szCs w:val="20"/>
                <w:color w:val="auto"/>
              </w:rPr>
            </w:pPr>
            <w:r>
              <w:rPr>
                <w:rFonts w:ascii="Arial" w:cs="Arial" w:eastAsia="Arial" w:hAnsi="Arial"/>
                <w:sz w:val="15"/>
                <w:szCs w:val="15"/>
                <w:color w:val="auto"/>
              </w:rPr>
              <w:t>CEO</w:t>
            </w:r>
          </w:p>
        </w:tc>
        <w:tc>
          <w:tcPr>
            <w:tcW w:w="820" w:type="dxa"/>
            <w:vAlign w:val="bottom"/>
          </w:tcPr>
          <w:p>
            <w:pPr>
              <w:ind w:left="160"/>
              <w:spacing w:after="0"/>
              <w:rPr>
                <w:sz w:val="20"/>
                <w:szCs w:val="20"/>
                <w:color w:val="auto"/>
              </w:rPr>
            </w:pPr>
            <w:r>
              <w:rPr>
                <w:rFonts w:ascii="Arial" w:cs="Arial" w:eastAsia="Arial" w:hAnsi="Arial"/>
                <w:sz w:val="15"/>
                <w:szCs w:val="15"/>
                <w:color w:val="auto"/>
                <w:w w:val="94"/>
              </w:rPr>
              <w:t>Gov Chair</w:t>
            </w:r>
          </w:p>
        </w:tc>
        <w:tc>
          <w:tcPr>
            <w:tcW w:w="660" w:type="dxa"/>
            <w:vAlign w:val="bottom"/>
          </w:tcPr>
          <w:p>
            <w:pPr>
              <w:ind w:left="140"/>
              <w:spacing w:after="0"/>
              <w:rPr>
                <w:sz w:val="20"/>
                <w:szCs w:val="20"/>
                <w:color w:val="auto"/>
              </w:rPr>
            </w:pPr>
            <w:r>
              <w:rPr>
                <w:rFonts w:ascii="Arial" w:cs="Arial" w:eastAsia="Arial" w:hAnsi="Arial"/>
                <w:sz w:val="15"/>
                <w:szCs w:val="15"/>
                <w:color w:val="auto"/>
              </w:rPr>
              <w:t>Dir</w:t>
            </w:r>
          </w:p>
        </w:tc>
        <w:tc>
          <w:tcPr>
            <w:tcW w:w="940" w:type="dxa"/>
            <w:vAlign w:val="bottom"/>
          </w:tcPr>
          <w:p>
            <w:pPr>
              <w:ind w:left="140"/>
              <w:spacing w:after="0"/>
              <w:rPr>
                <w:sz w:val="20"/>
                <w:szCs w:val="20"/>
                <w:color w:val="auto"/>
              </w:rPr>
            </w:pPr>
            <w:r>
              <w:rPr>
                <w:rFonts w:ascii="Arial" w:cs="Arial" w:eastAsia="Arial" w:hAnsi="Arial"/>
                <w:sz w:val="15"/>
                <w:szCs w:val="15"/>
                <w:color w:val="auto"/>
                <w:w w:val="97"/>
              </w:rPr>
              <w:t>Comp Chair</w:t>
            </w:r>
          </w:p>
        </w:tc>
        <w:tc>
          <w:tcPr>
            <w:tcW w:w="820" w:type="dxa"/>
            <w:vAlign w:val="bottom"/>
          </w:tcPr>
          <w:p>
            <w:pPr>
              <w:ind w:left="140"/>
              <w:spacing w:after="0"/>
              <w:rPr>
                <w:sz w:val="20"/>
                <w:szCs w:val="20"/>
                <w:color w:val="auto"/>
              </w:rPr>
            </w:pPr>
            <w:r>
              <w:rPr>
                <w:rFonts w:ascii="Arial" w:cs="Arial" w:eastAsia="Arial" w:hAnsi="Arial"/>
                <w:sz w:val="15"/>
                <w:szCs w:val="15"/>
                <w:color w:val="auto"/>
              </w:rPr>
              <w:t>Dir</w:t>
            </w:r>
          </w:p>
        </w:tc>
        <w:tc>
          <w:tcPr>
            <w:tcW w:w="780" w:type="dxa"/>
            <w:vAlign w:val="bottom"/>
          </w:tcPr>
          <w:p>
            <w:pPr>
              <w:ind w:left="160"/>
              <w:spacing w:after="0"/>
              <w:rPr>
                <w:sz w:val="20"/>
                <w:szCs w:val="20"/>
                <w:color w:val="auto"/>
              </w:rPr>
            </w:pPr>
            <w:r>
              <w:rPr>
                <w:rFonts w:ascii="Arial" w:cs="Arial" w:eastAsia="Arial" w:hAnsi="Arial"/>
                <w:sz w:val="15"/>
                <w:szCs w:val="15"/>
                <w:color w:val="auto"/>
              </w:rPr>
              <w:t>Dir</w:t>
            </w:r>
          </w:p>
        </w:tc>
        <w:tc>
          <w:tcPr>
            <w:tcW w:w="880" w:type="dxa"/>
            <w:vAlign w:val="bottom"/>
          </w:tcPr>
          <w:p>
            <w:pPr>
              <w:ind w:left="140"/>
              <w:spacing w:after="0"/>
              <w:rPr>
                <w:sz w:val="20"/>
                <w:szCs w:val="20"/>
                <w:color w:val="auto"/>
              </w:rPr>
            </w:pPr>
            <w:r>
              <w:rPr>
                <w:rFonts w:ascii="Arial" w:cs="Arial" w:eastAsia="Arial" w:hAnsi="Arial"/>
                <w:sz w:val="15"/>
                <w:szCs w:val="15"/>
                <w:color w:val="auto"/>
                <w:w w:val="96"/>
              </w:rPr>
              <w:t>Audit Chair</w:t>
            </w:r>
          </w:p>
        </w:tc>
        <w:tc>
          <w:tcPr>
            <w:tcW w:w="580" w:type="dxa"/>
            <w:vAlign w:val="bottom"/>
          </w:tcPr>
          <w:p>
            <w:pPr>
              <w:ind w:left="140"/>
              <w:spacing w:after="0"/>
              <w:rPr>
                <w:sz w:val="20"/>
                <w:szCs w:val="20"/>
                <w:color w:val="auto"/>
              </w:rPr>
            </w:pPr>
            <w:r>
              <w:rPr>
                <w:rFonts w:ascii="Arial" w:cs="Arial" w:eastAsia="Arial" w:hAnsi="Arial"/>
                <w:sz w:val="15"/>
                <w:szCs w:val="15"/>
                <w:color w:val="auto"/>
              </w:rPr>
              <w:t>Dir</w:t>
            </w:r>
          </w:p>
        </w:tc>
      </w:tr>
      <w:tr>
        <w:trPr>
          <w:trHeight w:val="44"/>
        </w:trPr>
        <w:tc>
          <w:tcPr>
            <w:tcW w:w="3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Executive Leadership</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2"/>
                <w:szCs w:val="12"/>
                <w:color w:val="0A9E50"/>
              </w:rPr>
              <w:t>●</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Transformations</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2"/>
                <w:szCs w:val="12"/>
                <w:color w:val="0A9E50"/>
              </w:rPr>
              <w:t>●</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spacing w:after="0"/>
              <w:rPr>
                <w:sz w:val="24"/>
                <w:szCs w:val="24"/>
                <w:color w:val="auto"/>
              </w:rPr>
            </w:pP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Innovation</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spacing w:after="0"/>
              <w:rPr>
                <w:sz w:val="24"/>
                <w:szCs w:val="24"/>
                <w:color w:val="auto"/>
              </w:rPr>
            </w:pP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Industry</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Technology, Digitization, and Cybersecurity</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spacing w:after="0"/>
              <w:rPr>
                <w:sz w:val="24"/>
                <w:szCs w:val="24"/>
                <w:color w:val="auto"/>
              </w:rPr>
            </w:pP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Financial Acumen</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2"/>
                <w:szCs w:val="12"/>
                <w:color w:val="0A9E50"/>
              </w:rPr>
              <w:t>●</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Financial Expert</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Risk Management</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2"/>
                <w:szCs w:val="12"/>
                <w:color w:val="0A9E50"/>
              </w:rPr>
              <w:t>●</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spacing w:after="0"/>
              <w:rPr>
                <w:sz w:val="24"/>
                <w:szCs w:val="24"/>
                <w:color w:val="auto"/>
              </w:rPr>
            </w:pP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Legal or Corporate Governance</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2"/>
                <w:szCs w:val="12"/>
                <w:color w:val="0A9E50"/>
              </w:rPr>
              <w:t>●</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spacing w:after="0"/>
              <w:rPr>
                <w:sz w:val="24"/>
                <w:szCs w:val="24"/>
                <w:color w:val="auto"/>
              </w:rPr>
            </w:pP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spacing w:after="0"/>
              <w:rPr>
                <w:sz w:val="24"/>
                <w:szCs w:val="24"/>
                <w:color w:val="auto"/>
              </w:rPr>
            </w:pP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ESG &amp; Sustainability</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spacing w:after="0"/>
              <w:rPr>
                <w:sz w:val="24"/>
                <w:szCs w:val="24"/>
                <w:color w:val="auto"/>
              </w:rPr>
            </w:pPr>
          </w:p>
        </w:tc>
        <w:tc>
          <w:tcPr>
            <w:tcW w:w="580" w:type="dxa"/>
            <w:vAlign w:val="bottom"/>
            <w:shd w:val="clear" w:color="auto" w:fill="EDEDED"/>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Mergers &amp; Acquisitions</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2"/>
                <w:szCs w:val="12"/>
                <w:color w:val="0A9E50"/>
              </w:rPr>
              <w:t>●</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322"/>
        </w:trPr>
        <w:tc>
          <w:tcPr>
            <w:tcW w:w="3880" w:type="dxa"/>
            <w:vAlign w:val="bottom"/>
          </w:tcPr>
          <w:p>
            <w:pPr>
              <w:ind w:left="60"/>
              <w:spacing w:after="0"/>
              <w:rPr>
                <w:sz w:val="20"/>
                <w:szCs w:val="20"/>
                <w:color w:val="auto"/>
              </w:rPr>
            </w:pPr>
            <w:r>
              <w:rPr>
                <w:rFonts w:ascii="Arial" w:cs="Arial" w:eastAsia="Arial" w:hAnsi="Arial"/>
                <w:sz w:val="17"/>
                <w:szCs w:val="17"/>
                <w:color w:val="0A9E50"/>
              </w:rPr>
              <w:t>Other Public Board Experience (other than Kelly)</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1"/>
        </w:trPr>
        <w:tc>
          <w:tcPr>
            <w:tcW w:w="38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Audit Committee</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spacing w:after="0"/>
              <w:rPr>
                <w:sz w:val="24"/>
                <w:szCs w:val="24"/>
                <w:color w:val="auto"/>
              </w:rPr>
            </w:pP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spacing w:after="0"/>
              <w:rPr>
                <w:sz w:val="24"/>
                <w:szCs w:val="24"/>
                <w:color w:val="auto"/>
              </w:rPr>
            </w:pP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Compensation Committee</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spacing w:after="0"/>
              <w:rPr>
                <w:sz w:val="24"/>
                <w:szCs w:val="24"/>
                <w:color w:val="auto"/>
              </w:rPr>
            </w:pP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Governance &amp; Nominating Committee</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spacing w:after="0"/>
              <w:rPr>
                <w:sz w:val="24"/>
                <w:szCs w:val="24"/>
                <w:color w:val="auto"/>
              </w:rPr>
            </w:pPr>
          </w:p>
        </w:tc>
        <w:tc>
          <w:tcPr>
            <w:tcW w:w="940" w:type="dxa"/>
            <w:vAlign w:val="bottom"/>
            <w:shd w:val="clear" w:color="auto" w:fill="EDEDED"/>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shd w:val="clear" w:color="auto" w:fill="EDEDED"/>
          </w:tcPr>
          <w:p>
            <w:pPr>
              <w:spacing w:after="0"/>
              <w:rPr>
                <w:sz w:val="24"/>
                <w:szCs w:val="24"/>
                <w:color w:val="auto"/>
              </w:rPr>
            </w:pP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322"/>
        </w:trPr>
        <w:tc>
          <w:tcPr>
            <w:tcW w:w="3880" w:type="dxa"/>
            <w:vAlign w:val="bottom"/>
          </w:tcPr>
          <w:p>
            <w:pPr>
              <w:ind w:left="60"/>
              <w:spacing w:after="0"/>
              <w:rPr>
                <w:sz w:val="20"/>
                <w:szCs w:val="20"/>
                <w:color w:val="auto"/>
              </w:rPr>
            </w:pPr>
            <w:r>
              <w:rPr>
                <w:rFonts w:ascii="Arial" w:cs="Arial" w:eastAsia="Arial" w:hAnsi="Arial"/>
                <w:sz w:val="17"/>
                <w:szCs w:val="17"/>
                <w:color w:val="0A9E50"/>
              </w:rPr>
              <w:t>Tenure and Independence</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1"/>
        </w:trPr>
        <w:tc>
          <w:tcPr>
            <w:tcW w:w="38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285"/>
        </w:trPr>
        <w:tc>
          <w:tcPr>
            <w:tcW w:w="3880" w:type="dxa"/>
            <w:vAlign w:val="bottom"/>
          </w:tcPr>
          <w:p>
            <w:pPr>
              <w:ind w:left="60"/>
              <w:spacing w:after="0"/>
              <w:rPr>
                <w:sz w:val="20"/>
                <w:szCs w:val="20"/>
                <w:color w:val="auto"/>
              </w:rPr>
            </w:pPr>
            <w:r>
              <w:rPr>
                <w:rFonts w:ascii="Arial" w:cs="Arial" w:eastAsia="Arial" w:hAnsi="Arial"/>
                <w:sz w:val="16"/>
                <w:szCs w:val="16"/>
                <w:color w:val="auto"/>
              </w:rPr>
              <w:t>Board Tenure (years)</w:t>
            </w:r>
          </w:p>
        </w:tc>
        <w:tc>
          <w:tcPr>
            <w:tcW w:w="580" w:type="dxa"/>
            <w:vAlign w:val="bottom"/>
            <w:gridSpan w:val="2"/>
            <w:shd w:val="clear" w:color="auto" w:fill="EDEDED"/>
          </w:tcPr>
          <w:p>
            <w:pPr>
              <w:jc w:val="center"/>
              <w:ind w:left="62"/>
              <w:spacing w:after="0"/>
              <w:rPr>
                <w:sz w:val="20"/>
                <w:szCs w:val="20"/>
                <w:color w:val="auto"/>
              </w:rPr>
            </w:pPr>
            <w:r>
              <w:rPr>
                <w:rFonts w:ascii="Arial" w:cs="Arial" w:eastAsia="Arial" w:hAnsi="Arial"/>
                <w:sz w:val="16"/>
                <w:szCs w:val="16"/>
                <w:b w:val="1"/>
                <w:bCs w:val="1"/>
                <w:color w:val="0A9E50"/>
                <w:w w:val="89"/>
              </w:rPr>
              <w:t>13</w:t>
            </w:r>
          </w:p>
        </w:tc>
        <w:tc>
          <w:tcPr>
            <w:tcW w:w="680" w:type="dxa"/>
            <w:vAlign w:val="bottom"/>
          </w:tcPr>
          <w:p>
            <w:pPr>
              <w:jc w:val="center"/>
              <w:ind w:left="94"/>
              <w:spacing w:after="0"/>
              <w:rPr>
                <w:sz w:val="20"/>
                <w:szCs w:val="20"/>
                <w:color w:val="auto"/>
              </w:rPr>
            </w:pPr>
            <w:r>
              <w:rPr>
                <w:rFonts w:ascii="Arial" w:cs="Arial" w:eastAsia="Arial" w:hAnsi="Arial"/>
                <w:sz w:val="16"/>
                <w:szCs w:val="16"/>
                <w:b w:val="1"/>
                <w:bCs w:val="1"/>
                <w:color w:val="0A9E50"/>
                <w:w w:val="89"/>
              </w:rPr>
              <w:t>4</w:t>
            </w:r>
          </w:p>
        </w:tc>
        <w:tc>
          <w:tcPr>
            <w:tcW w:w="820" w:type="dxa"/>
            <w:vAlign w:val="bottom"/>
            <w:shd w:val="clear" w:color="auto" w:fill="EDEDED"/>
          </w:tcPr>
          <w:p>
            <w:pPr>
              <w:jc w:val="center"/>
              <w:ind w:left="75"/>
              <w:spacing w:after="0"/>
              <w:rPr>
                <w:sz w:val="20"/>
                <w:szCs w:val="20"/>
                <w:color w:val="auto"/>
              </w:rPr>
            </w:pPr>
            <w:r>
              <w:rPr>
                <w:rFonts w:ascii="Arial" w:cs="Arial" w:eastAsia="Arial" w:hAnsi="Arial"/>
                <w:sz w:val="16"/>
                <w:szCs w:val="16"/>
                <w:b w:val="1"/>
                <w:bCs w:val="1"/>
                <w:color w:val="0A9E50"/>
                <w:w w:val="89"/>
              </w:rPr>
              <w:t>6</w:t>
            </w:r>
          </w:p>
        </w:tc>
        <w:tc>
          <w:tcPr>
            <w:tcW w:w="660" w:type="dxa"/>
            <w:vAlign w:val="bottom"/>
          </w:tcPr>
          <w:p>
            <w:pPr>
              <w:jc w:val="center"/>
              <w:ind w:left="74"/>
              <w:spacing w:after="0"/>
              <w:rPr>
                <w:sz w:val="20"/>
                <w:szCs w:val="20"/>
                <w:color w:val="auto"/>
              </w:rPr>
            </w:pPr>
            <w:r>
              <w:rPr>
                <w:rFonts w:ascii="Arial" w:cs="Arial" w:eastAsia="Arial" w:hAnsi="Arial"/>
                <w:sz w:val="16"/>
                <w:szCs w:val="16"/>
                <w:b w:val="1"/>
                <w:bCs w:val="1"/>
                <w:color w:val="0A9E50"/>
                <w:w w:val="89"/>
              </w:rPr>
              <w:t>6</w:t>
            </w:r>
          </w:p>
        </w:tc>
        <w:tc>
          <w:tcPr>
            <w:tcW w:w="940" w:type="dxa"/>
            <w:vAlign w:val="bottom"/>
            <w:shd w:val="clear" w:color="auto" w:fill="EDEDED"/>
          </w:tcPr>
          <w:p>
            <w:pPr>
              <w:jc w:val="center"/>
              <w:ind w:left="74"/>
              <w:spacing w:after="0"/>
              <w:rPr>
                <w:sz w:val="20"/>
                <w:szCs w:val="20"/>
                <w:color w:val="auto"/>
              </w:rPr>
            </w:pPr>
            <w:r>
              <w:rPr>
                <w:rFonts w:ascii="Arial" w:cs="Arial" w:eastAsia="Arial" w:hAnsi="Arial"/>
                <w:sz w:val="16"/>
                <w:szCs w:val="16"/>
                <w:b w:val="1"/>
                <w:bCs w:val="1"/>
                <w:color w:val="0A9E50"/>
                <w:w w:val="89"/>
              </w:rPr>
              <w:t>9</w:t>
            </w:r>
          </w:p>
        </w:tc>
        <w:tc>
          <w:tcPr>
            <w:tcW w:w="820" w:type="dxa"/>
            <w:vAlign w:val="bottom"/>
          </w:tcPr>
          <w:p>
            <w:pPr>
              <w:jc w:val="center"/>
              <w:ind w:left="75"/>
              <w:spacing w:after="0"/>
              <w:rPr>
                <w:sz w:val="20"/>
                <w:szCs w:val="20"/>
                <w:color w:val="auto"/>
              </w:rPr>
            </w:pPr>
            <w:r>
              <w:rPr>
                <w:rFonts w:ascii="Arial" w:cs="Arial" w:eastAsia="Arial" w:hAnsi="Arial"/>
                <w:sz w:val="16"/>
                <w:szCs w:val="16"/>
                <w:b w:val="1"/>
                <w:bCs w:val="1"/>
                <w:color w:val="0A9E50"/>
                <w:w w:val="89"/>
              </w:rPr>
              <w:t>2</w:t>
            </w:r>
          </w:p>
        </w:tc>
        <w:tc>
          <w:tcPr>
            <w:tcW w:w="780" w:type="dxa"/>
            <w:vAlign w:val="bottom"/>
            <w:shd w:val="clear" w:color="auto" w:fill="EDEDED"/>
          </w:tcPr>
          <w:p>
            <w:pPr>
              <w:jc w:val="center"/>
              <w:ind w:left="74"/>
              <w:spacing w:after="0"/>
              <w:rPr>
                <w:sz w:val="20"/>
                <w:szCs w:val="20"/>
                <w:color w:val="auto"/>
              </w:rPr>
            </w:pPr>
            <w:r>
              <w:rPr>
                <w:rFonts w:ascii="Arial" w:cs="Arial" w:eastAsia="Arial" w:hAnsi="Arial"/>
                <w:sz w:val="16"/>
                <w:szCs w:val="16"/>
                <w:b w:val="1"/>
                <w:bCs w:val="1"/>
                <w:color w:val="0A9E50"/>
                <w:w w:val="89"/>
              </w:rPr>
              <w:t>2</w:t>
            </w:r>
          </w:p>
        </w:tc>
        <w:tc>
          <w:tcPr>
            <w:tcW w:w="880" w:type="dxa"/>
            <w:vAlign w:val="bottom"/>
          </w:tcPr>
          <w:p>
            <w:pPr>
              <w:jc w:val="center"/>
              <w:ind w:left="75"/>
              <w:spacing w:after="0"/>
              <w:rPr>
                <w:sz w:val="20"/>
                <w:szCs w:val="20"/>
                <w:color w:val="auto"/>
              </w:rPr>
            </w:pPr>
            <w:r>
              <w:rPr>
                <w:rFonts w:ascii="Arial" w:cs="Arial" w:eastAsia="Arial" w:hAnsi="Arial"/>
                <w:sz w:val="16"/>
                <w:szCs w:val="16"/>
                <w:b w:val="1"/>
                <w:bCs w:val="1"/>
                <w:color w:val="0A9E50"/>
              </w:rPr>
              <w:t>16</w:t>
            </w:r>
          </w:p>
        </w:tc>
        <w:tc>
          <w:tcPr>
            <w:tcW w:w="580" w:type="dxa"/>
            <w:vAlign w:val="bottom"/>
            <w:shd w:val="clear" w:color="auto" w:fill="EDEDED"/>
          </w:tcPr>
          <w:p>
            <w:pPr>
              <w:jc w:val="center"/>
              <w:ind w:left="75"/>
              <w:spacing w:after="0"/>
              <w:rPr>
                <w:sz w:val="20"/>
                <w:szCs w:val="20"/>
                <w:color w:val="auto"/>
              </w:rPr>
            </w:pPr>
            <w:r>
              <w:rPr>
                <w:rFonts w:ascii="Arial" w:cs="Arial" w:eastAsia="Arial" w:hAnsi="Arial"/>
                <w:sz w:val="16"/>
                <w:szCs w:val="16"/>
                <w:b w:val="1"/>
                <w:bCs w:val="1"/>
                <w:color w:val="0A9E50"/>
                <w:w w:val="89"/>
              </w:rPr>
              <w:t>19</w:t>
            </w:r>
          </w:p>
        </w:tc>
      </w:tr>
      <w:tr>
        <w:trPr>
          <w:trHeight w:val="85"/>
        </w:trPr>
        <w:tc>
          <w:tcPr>
            <w:tcW w:w="3880" w:type="dxa"/>
            <w:vAlign w:val="bottom"/>
            <w:tcBorders>
              <w:bottom w:val="single" w:sz="8" w:color="7F7F7F"/>
            </w:tcBorders>
          </w:tcPr>
          <w:p>
            <w:pPr>
              <w:spacing w:after="0"/>
              <w:rPr>
                <w:sz w:val="7"/>
                <w:szCs w:val="7"/>
                <w:color w:val="auto"/>
              </w:rPr>
            </w:pPr>
          </w:p>
        </w:tc>
        <w:tc>
          <w:tcPr>
            <w:tcW w:w="140" w:type="dxa"/>
            <w:vAlign w:val="bottom"/>
            <w:tcBorders>
              <w:bottom w:val="single" w:sz="8" w:color="7F7F7F"/>
            </w:tcBorders>
            <w:shd w:val="clear" w:color="auto" w:fill="EDEDED"/>
          </w:tcPr>
          <w:p>
            <w:pPr>
              <w:spacing w:after="0"/>
              <w:rPr>
                <w:sz w:val="7"/>
                <w:szCs w:val="7"/>
                <w:color w:val="auto"/>
              </w:rPr>
            </w:pPr>
          </w:p>
        </w:tc>
        <w:tc>
          <w:tcPr>
            <w:tcW w:w="440" w:type="dxa"/>
            <w:vAlign w:val="bottom"/>
            <w:tcBorders>
              <w:bottom w:val="single" w:sz="8" w:color="7F7F7F"/>
            </w:tcBorders>
            <w:shd w:val="clear" w:color="auto" w:fill="EDEDED"/>
          </w:tcPr>
          <w:p>
            <w:pPr>
              <w:spacing w:after="0"/>
              <w:rPr>
                <w:sz w:val="7"/>
                <w:szCs w:val="7"/>
                <w:color w:val="auto"/>
              </w:rPr>
            </w:pPr>
          </w:p>
        </w:tc>
        <w:tc>
          <w:tcPr>
            <w:tcW w:w="680" w:type="dxa"/>
            <w:vAlign w:val="bottom"/>
            <w:tcBorders>
              <w:bottom w:val="single" w:sz="8" w:color="7F7F7F"/>
            </w:tcBorders>
          </w:tcPr>
          <w:p>
            <w:pPr>
              <w:spacing w:after="0"/>
              <w:rPr>
                <w:sz w:val="7"/>
                <w:szCs w:val="7"/>
                <w:color w:val="auto"/>
              </w:rPr>
            </w:pPr>
          </w:p>
        </w:tc>
        <w:tc>
          <w:tcPr>
            <w:tcW w:w="820" w:type="dxa"/>
            <w:vAlign w:val="bottom"/>
            <w:tcBorders>
              <w:bottom w:val="single" w:sz="8" w:color="7F7F7F"/>
            </w:tcBorders>
            <w:shd w:val="clear" w:color="auto" w:fill="EDEDED"/>
          </w:tcPr>
          <w:p>
            <w:pPr>
              <w:spacing w:after="0"/>
              <w:rPr>
                <w:sz w:val="7"/>
                <w:szCs w:val="7"/>
                <w:color w:val="auto"/>
              </w:rPr>
            </w:pPr>
          </w:p>
        </w:tc>
        <w:tc>
          <w:tcPr>
            <w:tcW w:w="660" w:type="dxa"/>
            <w:vAlign w:val="bottom"/>
            <w:tcBorders>
              <w:bottom w:val="single" w:sz="8" w:color="7F7F7F"/>
            </w:tcBorders>
          </w:tcPr>
          <w:p>
            <w:pPr>
              <w:spacing w:after="0"/>
              <w:rPr>
                <w:sz w:val="7"/>
                <w:szCs w:val="7"/>
                <w:color w:val="auto"/>
              </w:rPr>
            </w:pPr>
          </w:p>
        </w:tc>
        <w:tc>
          <w:tcPr>
            <w:tcW w:w="940" w:type="dxa"/>
            <w:vAlign w:val="bottom"/>
            <w:tcBorders>
              <w:bottom w:val="single" w:sz="8" w:color="7F7F7F"/>
            </w:tcBorders>
            <w:shd w:val="clear" w:color="auto" w:fill="EDEDED"/>
          </w:tcPr>
          <w:p>
            <w:pPr>
              <w:spacing w:after="0"/>
              <w:rPr>
                <w:sz w:val="7"/>
                <w:szCs w:val="7"/>
                <w:color w:val="auto"/>
              </w:rPr>
            </w:pPr>
          </w:p>
        </w:tc>
        <w:tc>
          <w:tcPr>
            <w:tcW w:w="820" w:type="dxa"/>
            <w:vAlign w:val="bottom"/>
            <w:tcBorders>
              <w:bottom w:val="single" w:sz="8" w:color="7F7F7F"/>
            </w:tcBorders>
          </w:tcPr>
          <w:p>
            <w:pPr>
              <w:spacing w:after="0"/>
              <w:rPr>
                <w:sz w:val="7"/>
                <w:szCs w:val="7"/>
                <w:color w:val="auto"/>
              </w:rPr>
            </w:pPr>
          </w:p>
        </w:tc>
        <w:tc>
          <w:tcPr>
            <w:tcW w:w="780" w:type="dxa"/>
            <w:vAlign w:val="bottom"/>
            <w:tcBorders>
              <w:bottom w:val="single" w:sz="8" w:color="7F7F7F"/>
            </w:tcBorders>
            <w:shd w:val="clear" w:color="auto" w:fill="EDEDED"/>
          </w:tcPr>
          <w:p>
            <w:pPr>
              <w:spacing w:after="0"/>
              <w:rPr>
                <w:sz w:val="7"/>
                <w:szCs w:val="7"/>
                <w:color w:val="auto"/>
              </w:rPr>
            </w:pPr>
          </w:p>
        </w:tc>
        <w:tc>
          <w:tcPr>
            <w:tcW w:w="880" w:type="dxa"/>
            <w:vAlign w:val="bottom"/>
            <w:tcBorders>
              <w:bottom w:val="single" w:sz="8" w:color="7F7F7F"/>
            </w:tcBorders>
          </w:tcPr>
          <w:p>
            <w:pPr>
              <w:spacing w:after="0"/>
              <w:rPr>
                <w:sz w:val="7"/>
                <w:szCs w:val="7"/>
                <w:color w:val="auto"/>
              </w:rPr>
            </w:pPr>
          </w:p>
        </w:tc>
        <w:tc>
          <w:tcPr>
            <w:tcW w:w="580" w:type="dxa"/>
            <w:vAlign w:val="bottom"/>
            <w:tcBorders>
              <w:bottom w:val="single" w:sz="8" w:color="7F7F7F"/>
            </w:tcBorders>
            <w:shd w:val="clear" w:color="auto" w:fill="EDEDED"/>
          </w:tcPr>
          <w:p>
            <w:pPr>
              <w:spacing w:after="0"/>
              <w:rPr>
                <w:sz w:val="7"/>
                <w:szCs w:val="7"/>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Independence</w:t>
            </w:r>
          </w:p>
        </w:tc>
        <w:tc>
          <w:tcPr>
            <w:tcW w:w="140" w:type="dxa"/>
            <w:vAlign w:val="bottom"/>
            <w:shd w:val="clear" w:color="auto" w:fill="EDEDED"/>
          </w:tcPr>
          <w:p>
            <w:pPr>
              <w:spacing w:after="0"/>
              <w:rPr>
                <w:sz w:val="24"/>
                <w:szCs w:val="24"/>
                <w:color w:val="auto"/>
              </w:rPr>
            </w:pPr>
          </w:p>
        </w:tc>
        <w:tc>
          <w:tcPr>
            <w:tcW w:w="4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2"/>
                <w:szCs w:val="12"/>
                <w:color w:val="0A9E50"/>
              </w:rPr>
              <w:t>●</w:t>
            </w:r>
          </w:p>
        </w:tc>
        <w:tc>
          <w:tcPr>
            <w:tcW w:w="680" w:type="dxa"/>
            <w:vAlign w:val="bottom"/>
          </w:tcPr>
          <w:p>
            <w:pPr>
              <w:spacing w:after="0"/>
              <w:rPr>
                <w:sz w:val="24"/>
                <w:szCs w:val="24"/>
                <w:color w:val="auto"/>
              </w:rPr>
            </w:pPr>
          </w:p>
        </w:tc>
        <w:tc>
          <w:tcPr>
            <w:tcW w:w="82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shd w:val="clear" w:color="auto" w:fill="EDEDED"/>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shd w:val="clear" w:color="auto" w:fill="EDEDED"/>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shd w:val="clear" w:color="auto" w:fill="EDEDED"/>
          </w:tcPr>
          <w:p>
            <w:pPr>
              <w:spacing w:after="0"/>
              <w:rPr>
                <w:sz w:val="8"/>
                <w:szCs w:val="8"/>
                <w:color w:val="auto"/>
              </w:rPr>
            </w:pPr>
          </w:p>
        </w:tc>
        <w:tc>
          <w:tcPr>
            <w:tcW w:w="440" w:type="dxa"/>
            <w:vAlign w:val="bottom"/>
            <w:tcBorders>
              <w:bottom w:val="single" w:sz="8" w:color="7F7F7F"/>
            </w:tcBorders>
            <w:shd w:val="clear" w:color="auto" w:fill="EDEDED"/>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shd w:val="clear" w:color="auto" w:fill="EDEDED"/>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shd w:val="clear" w:color="auto" w:fill="EDEDED"/>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shd w:val="clear" w:color="auto" w:fill="EDEDED"/>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shd w:val="clear" w:color="auto" w:fill="EDEDED"/>
          </w:tcPr>
          <w:p>
            <w:pPr>
              <w:spacing w:after="0"/>
              <w:rPr>
                <w:sz w:val="8"/>
                <w:szCs w:val="8"/>
                <w:color w:val="auto"/>
              </w:rPr>
            </w:pPr>
          </w:p>
        </w:tc>
      </w:tr>
      <w:tr>
        <w:trPr>
          <w:trHeight w:val="322"/>
        </w:trPr>
        <w:tc>
          <w:tcPr>
            <w:tcW w:w="3880" w:type="dxa"/>
            <w:vAlign w:val="bottom"/>
          </w:tcPr>
          <w:p>
            <w:pPr>
              <w:ind w:left="60"/>
              <w:spacing w:after="0"/>
              <w:rPr>
                <w:sz w:val="20"/>
                <w:szCs w:val="20"/>
                <w:color w:val="auto"/>
              </w:rPr>
            </w:pPr>
            <w:r>
              <w:rPr>
                <w:rFonts w:ascii="Arial" w:cs="Arial" w:eastAsia="Arial" w:hAnsi="Arial"/>
                <w:sz w:val="17"/>
                <w:szCs w:val="17"/>
                <w:color w:val="0A9E50"/>
              </w:rPr>
              <w:t>Demographics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1"/>
        </w:trPr>
        <w:tc>
          <w:tcPr>
            <w:tcW w:w="38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Age</w:t>
            </w:r>
          </w:p>
        </w:tc>
        <w:tc>
          <w:tcPr>
            <w:tcW w:w="580" w:type="dxa"/>
            <w:vAlign w:val="bottom"/>
            <w:gridSpan w:val="2"/>
          </w:tcPr>
          <w:p>
            <w:pPr>
              <w:jc w:val="center"/>
              <w:ind w:left="62"/>
              <w:spacing w:after="0"/>
              <w:rPr>
                <w:sz w:val="20"/>
                <w:szCs w:val="20"/>
                <w:color w:val="auto"/>
              </w:rPr>
            </w:pPr>
            <w:r>
              <w:rPr>
                <w:rFonts w:ascii="Arial" w:cs="Arial" w:eastAsia="Arial" w:hAnsi="Arial"/>
                <w:sz w:val="16"/>
                <w:szCs w:val="16"/>
                <w:color w:val="auto"/>
                <w:w w:val="89"/>
              </w:rPr>
              <w:t>69</w:t>
            </w:r>
          </w:p>
        </w:tc>
        <w:tc>
          <w:tcPr>
            <w:tcW w:w="680" w:type="dxa"/>
            <w:vAlign w:val="bottom"/>
          </w:tcPr>
          <w:p>
            <w:pPr>
              <w:jc w:val="center"/>
              <w:ind w:left="74"/>
              <w:spacing w:after="0"/>
              <w:rPr>
                <w:sz w:val="20"/>
                <w:szCs w:val="20"/>
                <w:color w:val="auto"/>
              </w:rPr>
            </w:pPr>
            <w:r>
              <w:rPr>
                <w:rFonts w:ascii="Arial" w:cs="Arial" w:eastAsia="Arial" w:hAnsi="Arial"/>
                <w:sz w:val="16"/>
                <w:szCs w:val="16"/>
                <w:color w:val="auto"/>
              </w:rPr>
              <w:t>62</w:t>
            </w:r>
          </w:p>
        </w:tc>
        <w:tc>
          <w:tcPr>
            <w:tcW w:w="820" w:type="dxa"/>
            <w:vAlign w:val="bottom"/>
          </w:tcPr>
          <w:p>
            <w:pPr>
              <w:jc w:val="center"/>
              <w:ind w:left="75"/>
              <w:spacing w:after="0"/>
              <w:rPr>
                <w:sz w:val="20"/>
                <w:szCs w:val="20"/>
                <w:color w:val="auto"/>
              </w:rPr>
            </w:pPr>
            <w:r>
              <w:rPr>
                <w:rFonts w:ascii="Arial" w:cs="Arial" w:eastAsia="Arial" w:hAnsi="Arial"/>
                <w:sz w:val="16"/>
                <w:szCs w:val="16"/>
                <w:color w:val="auto"/>
                <w:w w:val="89"/>
              </w:rPr>
              <w:t>70</w:t>
            </w:r>
          </w:p>
        </w:tc>
        <w:tc>
          <w:tcPr>
            <w:tcW w:w="660" w:type="dxa"/>
            <w:vAlign w:val="bottom"/>
          </w:tcPr>
          <w:p>
            <w:pPr>
              <w:jc w:val="center"/>
              <w:ind w:left="74"/>
              <w:spacing w:after="0"/>
              <w:rPr>
                <w:sz w:val="20"/>
                <w:szCs w:val="20"/>
                <w:color w:val="auto"/>
              </w:rPr>
            </w:pPr>
            <w:r>
              <w:rPr>
                <w:rFonts w:ascii="Arial" w:cs="Arial" w:eastAsia="Arial" w:hAnsi="Arial"/>
                <w:sz w:val="16"/>
                <w:szCs w:val="16"/>
                <w:color w:val="auto"/>
                <w:w w:val="89"/>
              </w:rPr>
              <w:t>65</w:t>
            </w:r>
          </w:p>
        </w:tc>
        <w:tc>
          <w:tcPr>
            <w:tcW w:w="940" w:type="dxa"/>
            <w:vAlign w:val="bottom"/>
          </w:tcPr>
          <w:p>
            <w:pPr>
              <w:jc w:val="center"/>
              <w:ind w:left="74"/>
              <w:spacing w:after="0"/>
              <w:rPr>
                <w:sz w:val="20"/>
                <w:szCs w:val="20"/>
                <w:color w:val="auto"/>
              </w:rPr>
            </w:pPr>
            <w:r>
              <w:rPr>
                <w:rFonts w:ascii="Arial" w:cs="Arial" w:eastAsia="Arial" w:hAnsi="Arial"/>
                <w:sz w:val="16"/>
                <w:szCs w:val="16"/>
                <w:color w:val="auto"/>
                <w:w w:val="89"/>
              </w:rPr>
              <w:t>66</w:t>
            </w:r>
          </w:p>
        </w:tc>
        <w:tc>
          <w:tcPr>
            <w:tcW w:w="820" w:type="dxa"/>
            <w:vAlign w:val="bottom"/>
          </w:tcPr>
          <w:p>
            <w:pPr>
              <w:jc w:val="center"/>
              <w:ind w:left="75"/>
              <w:spacing w:after="0"/>
              <w:rPr>
                <w:sz w:val="20"/>
                <w:szCs w:val="20"/>
                <w:color w:val="auto"/>
              </w:rPr>
            </w:pPr>
            <w:r>
              <w:rPr>
                <w:rFonts w:ascii="Arial" w:cs="Arial" w:eastAsia="Arial" w:hAnsi="Arial"/>
                <w:sz w:val="16"/>
                <w:szCs w:val="16"/>
                <w:color w:val="auto"/>
                <w:w w:val="89"/>
              </w:rPr>
              <w:t>49</w:t>
            </w:r>
          </w:p>
        </w:tc>
        <w:tc>
          <w:tcPr>
            <w:tcW w:w="780" w:type="dxa"/>
            <w:vAlign w:val="bottom"/>
          </w:tcPr>
          <w:p>
            <w:pPr>
              <w:jc w:val="center"/>
              <w:ind w:left="74"/>
              <w:spacing w:after="0"/>
              <w:rPr>
                <w:sz w:val="20"/>
                <w:szCs w:val="20"/>
                <w:color w:val="auto"/>
              </w:rPr>
            </w:pPr>
            <w:r>
              <w:rPr>
                <w:rFonts w:ascii="Arial" w:cs="Arial" w:eastAsia="Arial" w:hAnsi="Arial"/>
                <w:sz w:val="16"/>
                <w:szCs w:val="16"/>
                <w:color w:val="auto"/>
                <w:w w:val="89"/>
              </w:rPr>
              <w:t>59</w:t>
            </w:r>
          </w:p>
        </w:tc>
        <w:tc>
          <w:tcPr>
            <w:tcW w:w="880" w:type="dxa"/>
            <w:vAlign w:val="bottom"/>
          </w:tcPr>
          <w:p>
            <w:pPr>
              <w:jc w:val="center"/>
              <w:ind w:left="75"/>
              <w:spacing w:after="0"/>
              <w:rPr>
                <w:sz w:val="20"/>
                <w:szCs w:val="20"/>
                <w:color w:val="auto"/>
              </w:rPr>
            </w:pPr>
            <w:r>
              <w:rPr>
                <w:rFonts w:ascii="Arial" w:cs="Arial" w:eastAsia="Arial" w:hAnsi="Arial"/>
                <w:sz w:val="16"/>
                <w:szCs w:val="16"/>
                <w:color w:val="auto"/>
              </w:rPr>
              <w:t>72</w:t>
            </w:r>
          </w:p>
        </w:tc>
        <w:tc>
          <w:tcPr>
            <w:tcW w:w="580" w:type="dxa"/>
            <w:vAlign w:val="bottom"/>
          </w:tcPr>
          <w:p>
            <w:pPr>
              <w:jc w:val="center"/>
              <w:ind w:left="75"/>
              <w:spacing w:after="0"/>
              <w:rPr>
                <w:sz w:val="20"/>
                <w:szCs w:val="20"/>
                <w:color w:val="auto"/>
              </w:rPr>
            </w:pPr>
            <w:r>
              <w:rPr>
                <w:rFonts w:ascii="Arial" w:cs="Arial" w:eastAsia="Arial" w:hAnsi="Arial"/>
                <w:sz w:val="16"/>
                <w:szCs w:val="16"/>
                <w:color w:val="auto"/>
                <w:w w:val="89"/>
              </w:rPr>
              <w:t>71</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440" w:type="dxa"/>
            <w:vAlign w:val="bottom"/>
            <w:tcBorders>
              <w:bottom w:val="single" w:sz="8" w:color="7F7F7F"/>
            </w:tcBorders>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Gender Identity</w:t>
            </w:r>
          </w:p>
        </w:tc>
        <w:tc>
          <w:tcPr>
            <w:tcW w:w="14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6"/>
                <w:szCs w:val="16"/>
                <w:color w:val="auto"/>
              </w:rPr>
              <w:t>M</w:t>
            </w:r>
          </w:p>
        </w:tc>
        <w:tc>
          <w:tcPr>
            <w:tcW w:w="680" w:type="dxa"/>
            <w:vAlign w:val="bottom"/>
          </w:tcPr>
          <w:p>
            <w:pPr>
              <w:ind w:left="340"/>
              <w:spacing w:after="0"/>
              <w:rPr>
                <w:sz w:val="20"/>
                <w:szCs w:val="20"/>
                <w:color w:val="auto"/>
              </w:rPr>
            </w:pPr>
            <w:r>
              <w:rPr>
                <w:rFonts w:ascii="Arial" w:cs="Arial" w:eastAsia="Arial" w:hAnsi="Arial"/>
                <w:sz w:val="16"/>
                <w:szCs w:val="16"/>
                <w:color w:val="auto"/>
              </w:rPr>
              <w:t>M</w:t>
            </w:r>
          </w:p>
        </w:tc>
        <w:tc>
          <w:tcPr>
            <w:tcW w:w="820" w:type="dxa"/>
            <w:vAlign w:val="bottom"/>
          </w:tcPr>
          <w:p>
            <w:pPr>
              <w:ind w:left="420"/>
              <w:spacing w:after="0"/>
              <w:rPr>
                <w:sz w:val="20"/>
                <w:szCs w:val="20"/>
                <w:color w:val="auto"/>
              </w:rPr>
            </w:pPr>
            <w:r>
              <w:rPr>
                <w:rFonts w:ascii="Arial" w:cs="Arial" w:eastAsia="Arial" w:hAnsi="Arial"/>
                <w:sz w:val="16"/>
                <w:szCs w:val="16"/>
                <w:color w:val="auto"/>
              </w:rPr>
              <w:t>M</w:t>
            </w:r>
          </w:p>
        </w:tc>
        <w:tc>
          <w:tcPr>
            <w:tcW w:w="660" w:type="dxa"/>
            <w:vAlign w:val="bottom"/>
          </w:tcPr>
          <w:p>
            <w:pPr>
              <w:ind w:left="340"/>
              <w:spacing w:after="0"/>
              <w:rPr>
                <w:sz w:val="20"/>
                <w:szCs w:val="20"/>
                <w:color w:val="auto"/>
              </w:rPr>
            </w:pPr>
            <w:r>
              <w:rPr>
                <w:rFonts w:ascii="Arial" w:cs="Arial" w:eastAsia="Arial" w:hAnsi="Arial"/>
                <w:sz w:val="16"/>
                <w:szCs w:val="16"/>
                <w:color w:val="auto"/>
              </w:rPr>
              <w:t>M</w:t>
            </w:r>
          </w:p>
        </w:tc>
        <w:tc>
          <w:tcPr>
            <w:tcW w:w="940" w:type="dxa"/>
            <w:vAlign w:val="bottom"/>
          </w:tcPr>
          <w:p>
            <w:pPr>
              <w:ind w:left="480"/>
              <w:spacing w:after="0"/>
              <w:rPr>
                <w:sz w:val="20"/>
                <w:szCs w:val="20"/>
                <w:color w:val="auto"/>
              </w:rPr>
            </w:pPr>
            <w:r>
              <w:rPr>
                <w:rFonts w:ascii="Arial" w:cs="Arial" w:eastAsia="Arial" w:hAnsi="Arial"/>
                <w:sz w:val="16"/>
                <w:szCs w:val="16"/>
                <w:color w:val="auto"/>
              </w:rPr>
              <w:t>M</w:t>
            </w:r>
          </w:p>
        </w:tc>
        <w:tc>
          <w:tcPr>
            <w:tcW w:w="820" w:type="dxa"/>
            <w:vAlign w:val="bottom"/>
          </w:tcPr>
          <w:p>
            <w:pPr>
              <w:ind w:left="440"/>
              <w:spacing w:after="0"/>
              <w:rPr>
                <w:sz w:val="20"/>
                <w:szCs w:val="20"/>
                <w:color w:val="auto"/>
              </w:rPr>
            </w:pPr>
            <w:r>
              <w:rPr>
                <w:rFonts w:ascii="Arial" w:cs="Arial" w:eastAsia="Arial" w:hAnsi="Arial"/>
                <w:sz w:val="16"/>
                <w:szCs w:val="16"/>
                <w:color w:val="auto"/>
              </w:rPr>
              <w:t>F</w:t>
            </w:r>
          </w:p>
        </w:tc>
        <w:tc>
          <w:tcPr>
            <w:tcW w:w="780" w:type="dxa"/>
            <w:vAlign w:val="bottom"/>
          </w:tcPr>
          <w:p>
            <w:pPr>
              <w:ind w:left="420"/>
              <w:spacing w:after="0"/>
              <w:rPr>
                <w:sz w:val="20"/>
                <w:szCs w:val="20"/>
                <w:color w:val="auto"/>
              </w:rPr>
            </w:pPr>
            <w:r>
              <w:rPr>
                <w:rFonts w:ascii="Arial" w:cs="Arial" w:eastAsia="Arial" w:hAnsi="Arial"/>
                <w:sz w:val="16"/>
                <w:szCs w:val="16"/>
                <w:color w:val="auto"/>
              </w:rPr>
              <w:t>F</w:t>
            </w:r>
          </w:p>
        </w:tc>
        <w:tc>
          <w:tcPr>
            <w:tcW w:w="880" w:type="dxa"/>
            <w:vAlign w:val="bottom"/>
          </w:tcPr>
          <w:p>
            <w:pPr>
              <w:ind w:left="460"/>
              <w:spacing w:after="0"/>
              <w:rPr>
                <w:sz w:val="20"/>
                <w:szCs w:val="20"/>
                <w:color w:val="auto"/>
              </w:rPr>
            </w:pPr>
            <w:r>
              <w:rPr>
                <w:rFonts w:ascii="Arial" w:cs="Arial" w:eastAsia="Arial" w:hAnsi="Arial"/>
                <w:sz w:val="16"/>
                <w:szCs w:val="16"/>
                <w:color w:val="auto"/>
              </w:rPr>
              <w:t>F</w:t>
            </w:r>
          </w:p>
        </w:tc>
        <w:tc>
          <w:tcPr>
            <w:tcW w:w="580" w:type="dxa"/>
            <w:vAlign w:val="bottom"/>
          </w:tcPr>
          <w:p>
            <w:pPr>
              <w:ind w:left="300"/>
              <w:spacing w:after="0"/>
              <w:rPr>
                <w:sz w:val="20"/>
                <w:szCs w:val="20"/>
                <w:color w:val="auto"/>
              </w:rPr>
            </w:pPr>
            <w:r>
              <w:rPr>
                <w:rFonts w:ascii="Arial" w:cs="Arial" w:eastAsia="Arial" w:hAnsi="Arial"/>
                <w:sz w:val="16"/>
                <w:szCs w:val="16"/>
                <w:color w:val="auto"/>
              </w:rPr>
              <w:t>M</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440" w:type="dxa"/>
            <w:vAlign w:val="bottom"/>
            <w:tcBorders>
              <w:bottom w:val="single" w:sz="8" w:color="7F7F7F"/>
            </w:tcBorders>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African American or Black</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440" w:type="dxa"/>
            <w:vAlign w:val="bottom"/>
            <w:tcBorders>
              <w:bottom w:val="single" w:sz="8" w:color="7F7F7F"/>
            </w:tcBorders>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Alaskan Native or American Indian</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440" w:type="dxa"/>
            <w:vAlign w:val="bottom"/>
            <w:tcBorders>
              <w:bottom w:val="single" w:sz="8" w:color="7F7F7F"/>
            </w:tcBorders>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Asian</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440" w:type="dxa"/>
            <w:vAlign w:val="bottom"/>
            <w:tcBorders>
              <w:bottom w:val="single" w:sz="8" w:color="7F7F7F"/>
            </w:tcBorders>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Hispanic or Latinx</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440" w:type="dxa"/>
            <w:vAlign w:val="bottom"/>
            <w:tcBorders>
              <w:bottom w:val="single" w:sz="8" w:color="7F7F7F"/>
            </w:tcBorders>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Native Hawaiian or Pacific Islander</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440" w:type="dxa"/>
            <w:vAlign w:val="bottom"/>
            <w:tcBorders>
              <w:bottom w:val="single" w:sz="8" w:color="7F7F7F"/>
            </w:tcBorders>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White</w:t>
            </w:r>
          </w:p>
        </w:tc>
        <w:tc>
          <w:tcPr>
            <w:tcW w:w="1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2"/>
                <w:szCs w:val="12"/>
                <w:color w:val="0A9E50"/>
              </w:rPr>
              <w:t>●</w:t>
            </w:r>
          </w:p>
        </w:tc>
        <w:tc>
          <w:tcPr>
            <w:tcW w:w="680" w:type="dxa"/>
            <w:vAlign w:val="bottom"/>
          </w:tcPr>
          <w:p>
            <w:pPr>
              <w:jc w:val="center"/>
              <w:ind w:left="9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spacing w:after="0"/>
              <w:rPr>
                <w:sz w:val="24"/>
                <w:szCs w:val="24"/>
                <w:color w:val="auto"/>
              </w:rPr>
            </w:pPr>
          </w:p>
        </w:tc>
        <w:tc>
          <w:tcPr>
            <w:tcW w:w="66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940" w:type="dxa"/>
            <w:vAlign w:val="bottom"/>
          </w:tcPr>
          <w:p>
            <w:pPr>
              <w:jc w:val="center"/>
              <w:ind w:left="74"/>
              <w:spacing w:after="0"/>
              <w:rPr>
                <w:sz w:val="20"/>
                <w:szCs w:val="20"/>
                <w:color w:val="auto"/>
              </w:rPr>
            </w:pPr>
            <w:r>
              <w:rPr>
                <w:rFonts w:ascii="Times New Roman" w:cs="Times New Roman" w:eastAsia="Times New Roman" w:hAnsi="Times New Roman"/>
                <w:sz w:val="12"/>
                <w:szCs w:val="12"/>
                <w:color w:val="0A9E50"/>
              </w:rPr>
              <w:t>●</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w w:val="82"/>
              </w:rPr>
              <w:t>●</w:t>
            </w:r>
          </w:p>
        </w:tc>
        <w:tc>
          <w:tcPr>
            <w:tcW w:w="580" w:type="dxa"/>
            <w:vAlign w:val="bottom"/>
          </w:tcPr>
          <w:p>
            <w:pPr>
              <w:jc w:val="center"/>
              <w:ind w:left="75"/>
              <w:spacing w:after="0"/>
              <w:rPr>
                <w:sz w:val="20"/>
                <w:szCs w:val="20"/>
                <w:color w:val="auto"/>
              </w:rPr>
            </w:pPr>
            <w:r>
              <w:rPr>
                <w:rFonts w:ascii="Times New Roman" w:cs="Times New Roman" w:eastAsia="Times New Roman" w:hAnsi="Times New Roman"/>
                <w:sz w:val="12"/>
                <w:szCs w:val="12"/>
                <w:color w:val="0A9E50"/>
              </w:rPr>
              <w:t>●</w:t>
            </w:r>
          </w:p>
        </w:tc>
      </w:tr>
      <w:tr>
        <w:trPr>
          <w:trHeight w:val="93"/>
        </w:trPr>
        <w:tc>
          <w:tcPr>
            <w:tcW w:w="38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440" w:type="dxa"/>
            <w:vAlign w:val="bottom"/>
            <w:tcBorders>
              <w:bottom w:val="single" w:sz="8" w:color="7F7F7F"/>
            </w:tcBorders>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660" w:type="dxa"/>
            <w:vAlign w:val="bottom"/>
            <w:tcBorders>
              <w:bottom w:val="single" w:sz="8" w:color="7F7F7F"/>
            </w:tcBorders>
          </w:tcPr>
          <w:p>
            <w:pPr>
              <w:spacing w:after="0"/>
              <w:rPr>
                <w:sz w:val="8"/>
                <w:szCs w:val="8"/>
                <w:color w:val="auto"/>
              </w:rPr>
            </w:pPr>
          </w:p>
        </w:tc>
        <w:tc>
          <w:tcPr>
            <w:tcW w:w="94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c>
          <w:tcPr>
            <w:tcW w:w="880" w:type="dxa"/>
            <w:vAlign w:val="bottom"/>
            <w:tcBorders>
              <w:bottom w:val="single" w:sz="8" w:color="7F7F7F"/>
            </w:tcBorders>
          </w:tcPr>
          <w:p>
            <w:pPr>
              <w:spacing w:after="0"/>
              <w:rPr>
                <w:sz w:val="8"/>
                <w:szCs w:val="8"/>
                <w:color w:val="auto"/>
              </w:rPr>
            </w:pPr>
          </w:p>
        </w:tc>
        <w:tc>
          <w:tcPr>
            <w:tcW w:w="580" w:type="dxa"/>
            <w:vAlign w:val="bottom"/>
            <w:tcBorders>
              <w:bottom w:val="single" w:sz="8" w:color="7F7F7F"/>
            </w:tcBorders>
          </w:tcPr>
          <w:p>
            <w:pPr>
              <w:spacing w:after="0"/>
              <w:rPr>
                <w:sz w:val="8"/>
                <w:szCs w:val="8"/>
                <w:color w:val="auto"/>
              </w:rPr>
            </w:pPr>
          </w:p>
        </w:tc>
      </w:tr>
      <w:tr>
        <w:trPr>
          <w:trHeight w:val="277"/>
        </w:trPr>
        <w:tc>
          <w:tcPr>
            <w:tcW w:w="3880" w:type="dxa"/>
            <w:vAlign w:val="bottom"/>
          </w:tcPr>
          <w:p>
            <w:pPr>
              <w:ind w:left="60"/>
              <w:spacing w:after="0"/>
              <w:rPr>
                <w:sz w:val="20"/>
                <w:szCs w:val="20"/>
                <w:color w:val="auto"/>
              </w:rPr>
            </w:pPr>
            <w:r>
              <w:rPr>
                <w:rFonts w:ascii="Arial" w:cs="Arial" w:eastAsia="Arial" w:hAnsi="Arial"/>
                <w:sz w:val="16"/>
                <w:szCs w:val="16"/>
                <w:color w:val="auto"/>
              </w:rPr>
              <w:t>Two or More Races or Ethnicities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-2170430</wp:posOffset>
            </wp:positionV>
            <wp:extent cx="6740525" cy="27260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40525" cy="2726055"/>
                    </a:xfrm>
                    <a:prstGeom prst="rect">
                      <a:avLst/>
                    </a:prstGeom>
                    <a:noFill/>
                  </pic:spPr>
                </pic:pic>
              </a:graphicData>
            </a:graphic>
          </wp:anchor>
        </w:drawing>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6"/>
          <w:szCs w:val="16"/>
          <w:color w:val="auto"/>
        </w:rPr>
        <w:t>LGBTQ+</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Did Not Disclose Demographic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6740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p>
      <w:pPr>
        <w:spacing w:after="0" w:line="244"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9"/>
          <w:szCs w:val="19"/>
          <w:color w:val="auto"/>
          <w:vertAlign w:val="superscript"/>
        </w:rPr>
        <w:t>16 </w:t>
      </w:r>
      <w:r>
        <w:rPr>
          <w:sz w:val="20"/>
          <w:szCs w:val="20"/>
          <w:color w:val="auto"/>
        </w:rPr>
        <w:tab/>
      </w:r>
      <w:r>
        <w:rPr>
          <w:rFonts w:ascii="Arial" w:cs="Arial" w:eastAsia="Arial" w:hAnsi="Arial"/>
          <w:sz w:val="13"/>
          <w:szCs w:val="13"/>
          <w:color w:val="auto"/>
        </w:rPr>
        <w:t xml:space="preserve">    </w:t>
      </w:r>
      <w:r>
        <w:rPr>
          <w:sz w:val="1"/>
          <w:szCs w:val="1"/>
          <w:color w:val="auto"/>
        </w:rPr>
        <w:drawing>
          <wp:inline distT="0" distB="0" distL="0" distR="0">
            <wp:extent cx="396240" cy="18986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-198120</wp:posOffset>
            </wp:positionV>
            <wp:extent cx="8255"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Proposal 1: Election of Directors</w:t>
      </w:r>
    </w:p>
    <w:p>
      <w:pPr>
        <w:spacing w:after="0" w:line="175" w:lineRule="exact"/>
        <w:rPr>
          <w:sz w:val="20"/>
          <w:szCs w:val="20"/>
          <w:color w:val="auto"/>
        </w:rPr>
      </w:pPr>
    </w:p>
    <w:p>
      <w:pPr>
        <w:spacing w:after="0"/>
        <w:tabs>
          <w:tab w:leader="none" w:pos="5400" w:val="left"/>
        </w:tabs>
        <w:rPr>
          <w:sz w:val="20"/>
          <w:szCs w:val="20"/>
          <w:color w:val="auto"/>
        </w:rPr>
      </w:pPr>
      <w:r>
        <w:rPr>
          <w:rFonts w:ascii="Arial" w:cs="Arial" w:eastAsia="Arial" w:hAnsi="Arial"/>
          <w:sz w:val="21"/>
          <w:szCs w:val="21"/>
          <w:b w:val="1"/>
          <w:bCs w:val="1"/>
          <w:color w:val="auto"/>
        </w:rPr>
        <w:t>Director Qualifications and Experience</w:t>
      </w:r>
      <w:r>
        <w:rPr>
          <w:sz w:val="20"/>
          <w:szCs w:val="20"/>
          <w:color w:val="auto"/>
        </w:rPr>
        <w:tab/>
      </w:r>
      <w:r>
        <w:rPr>
          <w:rFonts w:ascii="Arial" w:cs="Arial" w:eastAsia="Arial" w:hAnsi="Arial"/>
          <w:sz w:val="20"/>
          <w:szCs w:val="20"/>
          <w:b w:val="1"/>
          <w:bCs w:val="1"/>
          <w:color w:val="auto"/>
        </w:rPr>
        <w:t>Board Diversity</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Out of 9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6550660" cy="1602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50660" cy="1602740"/>
                    </a:xfrm>
                    <a:prstGeom prst="rect">
                      <a:avLst/>
                    </a:prstGeom>
                    <a:noFill/>
                  </pic:spPr>
                </pic:pic>
              </a:graphicData>
            </a:graphic>
          </wp:anchor>
        </w:drawing>
      </w:r>
    </w:p>
    <w:p>
      <w:pPr>
        <w:spacing w:after="0" w:line="272" w:lineRule="exact"/>
        <w:rPr>
          <w:sz w:val="20"/>
          <w:szCs w:val="20"/>
          <w:color w:val="auto"/>
        </w:rPr>
      </w:pPr>
    </w:p>
    <w:tbl>
      <w:tblPr>
        <w:tblLayout w:type="fixed"/>
        <w:tblInd w:w="200" w:type="dxa"/>
        <w:tblCellMar>
          <w:top w:w="0" w:type="dxa"/>
          <w:left w:w="0" w:type="dxa"/>
          <w:bottom w:w="0" w:type="dxa"/>
          <w:right w:w="0" w:type="dxa"/>
        </w:tblCellMar>
      </w:tblPr>
      <w:tr>
        <w:trPr>
          <w:trHeight w:val="250"/>
        </w:trPr>
        <w:tc>
          <w:tcPr>
            <w:tcW w:w="440" w:type="dxa"/>
            <w:vAlign w:val="bottom"/>
            <w:vMerge w:val="restart"/>
          </w:tcPr>
          <w:p>
            <w:pPr>
              <w:jc w:val="right"/>
              <w:spacing w:after="0"/>
              <w:rPr>
                <w:sz w:val="20"/>
                <w:szCs w:val="20"/>
                <w:color w:val="auto"/>
              </w:rPr>
            </w:pPr>
            <w:r>
              <w:rPr>
                <w:rFonts w:ascii="Arial" w:cs="Arial" w:eastAsia="Arial" w:hAnsi="Arial"/>
                <w:sz w:val="52"/>
                <w:szCs w:val="52"/>
                <w:b w:val="1"/>
                <w:bCs w:val="1"/>
                <w:color w:val="0A9E50"/>
                <w:w w:val="96"/>
              </w:rPr>
              <w:t>9</w:t>
            </w:r>
          </w:p>
        </w:tc>
        <w:tc>
          <w:tcPr>
            <w:tcW w:w="2160" w:type="dxa"/>
            <w:vAlign w:val="bottom"/>
          </w:tcPr>
          <w:p>
            <w:pPr>
              <w:ind w:left="14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75"/>
        </w:trPr>
        <w:tc>
          <w:tcPr>
            <w:tcW w:w="440" w:type="dxa"/>
            <w:vAlign w:val="bottom"/>
            <w:vMerge w:val="continue"/>
          </w:tcPr>
          <w:p>
            <w:pPr>
              <w:spacing w:after="0"/>
              <w:rPr>
                <w:sz w:val="23"/>
                <w:szCs w:val="23"/>
                <w:color w:val="auto"/>
              </w:rPr>
            </w:pPr>
          </w:p>
        </w:tc>
        <w:tc>
          <w:tcPr>
            <w:tcW w:w="2160" w:type="dxa"/>
            <w:vAlign w:val="bottom"/>
          </w:tcPr>
          <w:p>
            <w:pPr>
              <w:ind w:left="500"/>
              <w:spacing w:after="0"/>
              <w:rPr>
                <w:sz w:val="20"/>
                <w:szCs w:val="20"/>
                <w:color w:val="auto"/>
              </w:rPr>
            </w:pPr>
            <w:r>
              <w:rPr>
                <w:rFonts w:ascii="Arial" w:cs="Arial" w:eastAsia="Arial" w:hAnsi="Arial"/>
                <w:sz w:val="17"/>
                <w:szCs w:val="17"/>
                <w:color w:val="auto"/>
              </w:rPr>
              <w:t>Executive Leadership</w:t>
            </w:r>
          </w:p>
        </w:tc>
        <w:tc>
          <w:tcPr>
            <w:tcW w:w="0" w:type="dxa"/>
            <w:vAlign w:val="bottom"/>
          </w:tcPr>
          <w:p>
            <w:pPr>
              <w:spacing w:after="0"/>
              <w:rPr>
                <w:sz w:val="1"/>
                <w:szCs w:val="1"/>
                <w:color w:val="auto"/>
              </w:rPr>
            </w:pPr>
          </w:p>
        </w:tc>
      </w:tr>
      <w:tr>
        <w:trPr>
          <w:trHeight w:val="194"/>
        </w:trPr>
        <w:tc>
          <w:tcPr>
            <w:tcW w:w="440" w:type="dxa"/>
            <w:vAlign w:val="bottom"/>
            <w:vMerge w:val="continue"/>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302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ind w:left="1140" w:hanging="931"/>
        <w:spacing w:after="0"/>
        <w:tabs>
          <w:tab w:leader="none" w:pos="1140" w:val="left"/>
        </w:tabs>
        <w:numPr>
          <w:ilvl w:val="0"/>
          <w:numId w:val="12"/>
        </w:numPr>
        <w:rPr>
          <w:rFonts w:ascii="Arial" w:cs="Arial" w:eastAsia="Arial" w:hAnsi="Arial"/>
          <w:sz w:val="52"/>
          <w:szCs w:val="52"/>
          <w:b w:val="1"/>
          <w:bCs w:val="1"/>
          <w:color w:val="0A9E50"/>
        </w:rPr>
      </w:pPr>
      <w:r>
        <w:rPr>
          <w:rFonts w:ascii="Arial" w:cs="Arial" w:eastAsia="Arial" w:hAnsi="Arial"/>
          <w:sz w:val="17"/>
          <w:szCs w:val="17"/>
          <w:color w:val="auto"/>
        </w:rPr>
        <w:t>Transformations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32302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176" w:lineRule="exact"/>
        <w:rPr>
          <w:sz w:val="20"/>
          <w:szCs w:val="20"/>
          <w:color w:val="auto"/>
        </w:rPr>
      </w:pPr>
    </w:p>
    <w:p>
      <w:pPr>
        <w:ind w:left="1140" w:hanging="931"/>
        <w:spacing w:after="0"/>
        <w:tabs>
          <w:tab w:leader="none" w:pos="1140" w:val="left"/>
        </w:tabs>
        <w:numPr>
          <w:ilvl w:val="0"/>
          <w:numId w:val="13"/>
        </w:numPr>
        <w:rPr>
          <w:rFonts w:ascii="Arial" w:cs="Arial" w:eastAsia="Arial" w:hAnsi="Arial"/>
          <w:sz w:val="52"/>
          <w:szCs w:val="52"/>
          <w:b w:val="1"/>
          <w:bCs w:val="1"/>
          <w:color w:val="0A9E50"/>
        </w:rPr>
      </w:pPr>
      <w:r>
        <w:rPr>
          <w:rFonts w:ascii="Arial" w:cs="Arial" w:eastAsia="Arial" w:hAnsi="Arial"/>
          <w:sz w:val="17"/>
          <w:szCs w:val="17"/>
          <w:color w:val="auto"/>
        </w:rPr>
        <w:t>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32302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176" w:lineRule="exact"/>
        <w:rPr>
          <w:sz w:val="20"/>
          <w:szCs w:val="20"/>
          <w:color w:val="auto"/>
        </w:rPr>
      </w:pPr>
    </w:p>
    <w:p>
      <w:pPr>
        <w:ind w:left="1140" w:hanging="931"/>
        <w:spacing w:after="0"/>
        <w:tabs>
          <w:tab w:leader="none" w:pos="1140" w:val="left"/>
        </w:tabs>
        <w:numPr>
          <w:ilvl w:val="0"/>
          <w:numId w:val="14"/>
        </w:numPr>
        <w:rPr>
          <w:rFonts w:ascii="Arial" w:cs="Arial" w:eastAsia="Arial" w:hAnsi="Arial"/>
          <w:sz w:val="52"/>
          <w:szCs w:val="52"/>
          <w:b w:val="1"/>
          <w:bCs w:val="1"/>
          <w:color w:val="0A9E50"/>
        </w:rPr>
      </w:pPr>
      <w:r>
        <w:rPr>
          <w:rFonts w:ascii="Arial" w:cs="Arial" w:eastAsia="Arial" w:hAnsi="Arial"/>
          <w:sz w:val="17"/>
          <w:szCs w:val="17"/>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32302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140" w:right="7640" w:hanging="931"/>
        <w:spacing w:after="0" w:line="180" w:lineRule="auto"/>
        <w:tabs>
          <w:tab w:leader="none" w:pos="1140" w:val="left"/>
        </w:tabs>
        <w:numPr>
          <w:ilvl w:val="0"/>
          <w:numId w:val="15"/>
        </w:numPr>
        <w:rPr>
          <w:rFonts w:ascii="Arial" w:cs="Arial" w:eastAsia="Arial" w:hAnsi="Arial"/>
          <w:sz w:val="34"/>
          <w:szCs w:val="34"/>
          <w:b w:val="1"/>
          <w:bCs w:val="1"/>
          <w:color w:val="0A9E50"/>
        </w:rPr>
      </w:pPr>
      <w:r>
        <w:rPr>
          <w:rFonts w:ascii="Arial" w:cs="Arial" w:eastAsia="Arial" w:hAnsi="Arial"/>
          <w:sz w:val="15"/>
          <w:szCs w:val="15"/>
          <w:color w:val="auto"/>
        </w:rPr>
        <w:t>Technology, Digitization, and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6426835" cy="11398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26835" cy="1139825"/>
                    </a:xfrm>
                    <a:prstGeom prst="rect">
                      <a:avLst/>
                    </a:prstGeom>
                    <a:noFill/>
                  </pic:spPr>
                </pic:pic>
              </a:graphicData>
            </a:graphic>
          </wp:anchor>
        </w:drawing>
      </w:r>
    </w:p>
    <w:p>
      <w:pPr>
        <w:spacing w:after="0" w:line="73" w:lineRule="exact"/>
        <w:rPr>
          <w:sz w:val="20"/>
          <w:szCs w:val="20"/>
          <w:color w:val="auto"/>
        </w:rPr>
      </w:pPr>
    </w:p>
    <w:p>
      <w:pPr>
        <w:ind w:left="1140" w:hanging="931"/>
        <w:spacing w:after="0"/>
        <w:tabs>
          <w:tab w:leader="none" w:pos="1140" w:val="left"/>
        </w:tabs>
        <w:numPr>
          <w:ilvl w:val="0"/>
          <w:numId w:val="16"/>
        </w:numPr>
        <w:rPr>
          <w:rFonts w:ascii="Arial" w:cs="Arial" w:eastAsia="Arial" w:hAnsi="Arial"/>
          <w:sz w:val="52"/>
          <w:szCs w:val="52"/>
          <w:b w:val="1"/>
          <w:bCs w:val="1"/>
          <w:color w:val="0A9E50"/>
        </w:rPr>
      </w:pPr>
      <w:r>
        <w:rPr>
          <w:rFonts w:ascii="Arial" w:cs="Arial" w:eastAsia="Arial" w:hAnsi="Arial"/>
          <w:sz w:val="17"/>
          <w:szCs w:val="17"/>
          <w:color w:val="auto"/>
        </w:rPr>
        <w:t>Financial Acumen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32302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176" w:lineRule="exact"/>
        <w:rPr>
          <w:sz w:val="20"/>
          <w:szCs w:val="20"/>
          <w:color w:val="auto"/>
        </w:rPr>
      </w:pPr>
    </w:p>
    <w:p>
      <w:pPr>
        <w:ind w:left="1140" w:hanging="931"/>
        <w:spacing w:after="0"/>
        <w:tabs>
          <w:tab w:leader="none" w:pos="1140" w:val="left"/>
        </w:tabs>
        <w:numPr>
          <w:ilvl w:val="0"/>
          <w:numId w:val="17"/>
        </w:numPr>
        <w:rPr>
          <w:rFonts w:ascii="Arial" w:cs="Arial" w:eastAsia="Arial" w:hAnsi="Arial"/>
          <w:sz w:val="52"/>
          <w:szCs w:val="52"/>
          <w:b w:val="1"/>
          <w:bCs w:val="1"/>
          <w:color w:val="0A9E50"/>
        </w:rPr>
      </w:pPr>
      <w:r>
        <w:rPr>
          <w:rFonts w:ascii="Arial" w:cs="Arial" w:eastAsia="Arial" w:hAnsi="Arial"/>
          <w:sz w:val="17"/>
          <w:szCs w:val="17"/>
          <w:color w:val="auto"/>
        </w:rPr>
        <w:t>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32302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176" w:lineRule="exact"/>
        <w:rPr>
          <w:sz w:val="20"/>
          <w:szCs w:val="20"/>
          <w:color w:val="auto"/>
        </w:rPr>
      </w:pPr>
    </w:p>
    <w:p>
      <w:pPr>
        <w:ind w:left="1140" w:hanging="931"/>
        <w:spacing w:after="0"/>
        <w:tabs>
          <w:tab w:leader="none" w:pos="1140" w:val="left"/>
        </w:tabs>
        <w:numPr>
          <w:ilvl w:val="0"/>
          <w:numId w:val="18"/>
        </w:numPr>
        <w:rPr>
          <w:rFonts w:ascii="Arial" w:cs="Arial" w:eastAsia="Arial" w:hAnsi="Arial"/>
          <w:sz w:val="52"/>
          <w:szCs w:val="52"/>
          <w:b w:val="1"/>
          <w:bCs w:val="1"/>
          <w:color w:val="0A9E50"/>
        </w:rPr>
      </w:pPr>
      <w:r>
        <w:rPr>
          <w:rFonts w:ascii="Arial" w:cs="Arial" w:eastAsia="Arial" w:hAnsi="Arial"/>
          <w:sz w:val="17"/>
          <w:szCs w:val="17"/>
          <w:color w:val="auto"/>
        </w:rPr>
        <w:t>Risk Management</w:t>
      </w:r>
    </w:p>
    <w:p>
      <w:pPr>
        <w:spacing w:after="0" w:line="195" w:lineRule="exact"/>
        <w:rPr>
          <w:rFonts w:ascii="Arial" w:cs="Arial" w:eastAsia="Arial" w:hAnsi="Arial"/>
          <w:sz w:val="52"/>
          <w:szCs w:val="52"/>
          <w:b w:val="1"/>
          <w:bCs w:val="1"/>
          <w:color w:val="0A9E50"/>
        </w:rPr>
      </w:pPr>
    </w:p>
    <w:p>
      <w:pPr>
        <w:ind w:left="1140" w:hanging="931"/>
        <w:spacing w:after="0"/>
        <w:tabs>
          <w:tab w:leader="none" w:pos="1140" w:val="left"/>
        </w:tabs>
        <w:numPr>
          <w:ilvl w:val="0"/>
          <w:numId w:val="18"/>
        </w:numPr>
        <w:rPr>
          <w:rFonts w:ascii="Arial" w:cs="Arial" w:eastAsia="Arial" w:hAnsi="Arial"/>
          <w:sz w:val="52"/>
          <w:szCs w:val="52"/>
          <w:b w:val="1"/>
          <w:bCs w:val="1"/>
          <w:color w:val="0A9E50"/>
        </w:rPr>
      </w:pPr>
      <w:r>
        <w:rPr>
          <w:rFonts w:ascii="Arial" w:cs="Arial" w:eastAsia="Arial" w:hAnsi="Arial"/>
          <w:sz w:val="17"/>
          <w:szCs w:val="17"/>
          <w:color w:val="auto"/>
        </w:rPr>
        <w:t>Legal or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-745490</wp:posOffset>
            </wp:positionV>
            <wp:extent cx="6426835" cy="8921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26835" cy="892175"/>
                    </a:xfrm>
                    <a:prstGeom prst="rect">
                      <a:avLst/>
                    </a:prstGeom>
                    <a:noFill/>
                  </pic:spPr>
                </pic:pic>
              </a:graphicData>
            </a:graphic>
          </wp:anchor>
        </w:drawing>
      </w:r>
    </w:p>
    <w:p>
      <w:pPr>
        <w:spacing w:after="0" w:line="176" w:lineRule="exact"/>
        <w:rPr>
          <w:sz w:val="20"/>
          <w:szCs w:val="20"/>
          <w:color w:val="auto"/>
        </w:rPr>
      </w:pPr>
    </w:p>
    <w:p>
      <w:pPr>
        <w:ind w:left="1140" w:hanging="931"/>
        <w:spacing w:after="0"/>
        <w:tabs>
          <w:tab w:leader="none" w:pos="1140" w:val="left"/>
        </w:tabs>
        <w:numPr>
          <w:ilvl w:val="0"/>
          <w:numId w:val="19"/>
        </w:numPr>
        <w:rPr>
          <w:rFonts w:ascii="Arial" w:cs="Arial" w:eastAsia="Arial" w:hAnsi="Arial"/>
          <w:sz w:val="52"/>
          <w:szCs w:val="52"/>
          <w:b w:val="1"/>
          <w:bCs w:val="1"/>
          <w:color w:val="0A9E50"/>
        </w:rPr>
      </w:pPr>
      <w:r>
        <w:rPr>
          <w:rFonts w:ascii="Arial" w:cs="Arial" w:eastAsia="Arial" w:hAnsi="Arial"/>
          <w:sz w:val="17"/>
          <w:szCs w:val="17"/>
          <w:color w:val="auto"/>
        </w:rPr>
        <w:t>ESG &amp;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32302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72" w:lineRule="exact"/>
        <w:rPr>
          <w:sz w:val="20"/>
          <w:szCs w:val="20"/>
          <w:color w:val="auto"/>
        </w:rPr>
      </w:pPr>
    </w:p>
    <w:p>
      <w:pPr>
        <w:ind w:left="1140" w:hanging="931"/>
        <w:spacing w:after="0"/>
        <w:tabs>
          <w:tab w:leader="none" w:pos="1140" w:val="left"/>
        </w:tabs>
        <w:numPr>
          <w:ilvl w:val="0"/>
          <w:numId w:val="20"/>
        </w:numPr>
        <w:rPr>
          <w:rFonts w:ascii="Arial" w:cs="Arial" w:eastAsia="Arial" w:hAnsi="Arial"/>
          <w:sz w:val="52"/>
          <w:szCs w:val="52"/>
          <w:b w:val="1"/>
          <w:bCs w:val="1"/>
          <w:color w:val="0A9E50"/>
        </w:rPr>
      </w:pPr>
      <w:r>
        <w:rPr>
          <w:rFonts w:ascii="Arial" w:cs="Arial" w:eastAsia="Arial" w:hAnsi="Arial"/>
          <w:sz w:val="17"/>
          <w:szCs w:val="17"/>
          <w:color w:val="auto"/>
        </w:rPr>
        <w:t>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608965</wp:posOffset>
            </wp:positionV>
            <wp:extent cx="5749290" cy="16357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49290" cy="1635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203835</wp:posOffset>
            </wp:positionV>
            <wp:extent cx="32302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8780"/>
        <w:spacing w:after="0"/>
        <w:tabs>
          <w:tab w:leader="none" w:pos="1002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6308725</wp:posOffset>
            </wp:positionH>
            <wp:positionV relativeFrom="paragraph">
              <wp:posOffset>-184150</wp:posOffset>
            </wp:positionV>
            <wp:extent cx="8255" cy="2228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Proposal 1: Election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Biographical Information About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242570</wp:posOffset>
            </wp:positionV>
            <wp:extent cx="5831840" cy="15862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31840" cy="1586230"/>
                    </a:xfrm>
                    <a:prstGeom prst="rect">
                      <a:avLst/>
                    </a:prstGeom>
                    <a:noFill/>
                  </pic:spPr>
                </pic:pic>
              </a:graphicData>
            </a:graphic>
          </wp:anchor>
        </w:drawing>
      </w:r>
    </w:p>
    <w:p>
      <w:pPr>
        <w:sectPr>
          <w:pgSz w:w="11900" w:h="16838" w:orient="portrait"/>
          <w:cols w:equalWidth="0" w:num="1">
            <w:col w:w="10580"/>
          </w:cols>
          <w:pgMar w:left="640" w:top="296"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1899920" cy="8591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99920" cy="859155"/>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Specific Experience and Skills</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Transformations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Acumen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Risk Management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Legal/Corporate Governance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Mergers &amp; Acquisitions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229870</wp:posOffset>
            </wp:positionV>
            <wp:extent cx="1586230" cy="15862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862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1899920" cy="1437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99920" cy="1437640"/>
                    </a:xfrm>
                    <a:prstGeom prst="rect">
                      <a:avLst/>
                    </a:prstGeom>
                    <a:noFill/>
                  </pic:spPr>
                </pic:pic>
              </a:graphicData>
            </a:graphic>
          </wp:anchor>
        </w:drawing>
      </w:r>
    </w:p>
    <w:p>
      <w:pPr>
        <w:spacing w:after="0" w:line="1" w:lineRule="exact"/>
        <w:rPr>
          <w:sz w:val="20"/>
          <w:szCs w:val="20"/>
          <w:color w:val="auto"/>
        </w:rPr>
      </w:pPr>
    </w:p>
    <w:p>
      <w:pPr>
        <w:ind w:left="140" w:right="60"/>
        <w:spacing w:after="0" w:line="246" w:lineRule="auto"/>
        <w:rPr>
          <w:sz w:val="20"/>
          <w:szCs w:val="20"/>
          <w:color w:val="auto"/>
        </w:rPr>
      </w:pPr>
      <w:r>
        <w:rPr>
          <w:rFonts w:ascii="Arial" w:cs="Arial" w:eastAsia="Arial" w:hAnsi="Arial"/>
          <w:sz w:val="16"/>
          <w:szCs w:val="16"/>
          <w:b w:val="1"/>
          <w:bCs w:val="1"/>
          <w:color w:val="auto"/>
        </w:rPr>
        <w:t xml:space="preserve">Specific Experience and Skills </w:t>
      </w: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Transformations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Innovation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w:t>
      </w:r>
    </w:p>
    <w:p>
      <w:pPr>
        <w:spacing w:after="0" w:line="9" w:lineRule="exact"/>
        <w:rPr>
          <w:sz w:val="20"/>
          <w:szCs w:val="20"/>
          <w:color w:val="auto"/>
        </w:rPr>
      </w:pPr>
    </w:p>
    <w:p>
      <w:pPr>
        <w:ind w:left="140" w:right="52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Technology/Digitization/</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 Cybersecurity</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Acumen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Risk Management</w:t>
      </w:r>
    </w:p>
    <w:p>
      <w:pPr>
        <w:spacing w:after="0" w:line="9" w:lineRule="exact"/>
        <w:rPr>
          <w:sz w:val="20"/>
          <w:szCs w:val="20"/>
          <w:color w:val="auto"/>
        </w:rPr>
      </w:pPr>
    </w:p>
    <w:p>
      <w:pPr>
        <w:ind w:left="140" w:right="14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Legal/Corporate Governance</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ESG/Sustainability</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Mergers &amp; Acquisitions</w:t>
      </w:r>
    </w:p>
    <w:p>
      <w:pPr>
        <w:spacing w:after="0" w:line="59" w:lineRule="exact"/>
        <w:rPr>
          <w:sz w:val="20"/>
          <w:szCs w:val="20"/>
          <w:color w:val="auto"/>
        </w:rPr>
      </w:pPr>
    </w:p>
    <w:p>
      <w:pPr>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None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ind w:left="160" w:right="440" w:hanging="155"/>
        <w:spacing w:after="0" w:line="277"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Vice President, Business Development, General Counsel and Corporate Secretary, Lear</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Corporation (2008 - 2020)</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Wayne State University Law School, JD cum laude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Michigan State University, BA (High Honors), Finance</w:t>
      </w:r>
    </w:p>
    <w:p>
      <w:pPr>
        <w:spacing w:after="0" w:line="73"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Mr. Larkin is an attorney with 28 years of experience in a business law practice. In 2022 he served as chair of the Governance and Nominating Committee and in May 2023 he was appointed to serve as Chairman of the Board. He retired in January 2020 as a member of the senior management team of a global manufacturing company with responsibility for legal affairs, internal audit, and global business development for mergers, acquisitions, and joint ventures. Mr. Larkin currently serves on the board of three not-for-profit organizations and one for-profit private corporation. He brings to the Board a valuable combination of complex problem-solving skills, legal and governance expertise, and 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438785</wp:posOffset>
            </wp:positionV>
            <wp:extent cx="3808095" cy="528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0809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None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President and Chief Executive Officer, Kelly Services, Inc. (2019 - present)</w:t>
      </w:r>
    </w:p>
    <w:p>
      <w:pPr>
        <w:spacing w:after="0" w:line="9" w:lineRule="exact"/>
        <w:rPr>
          <w:sz w:val="20"/>
          <w:szCs w:val="20"/>
          <w:color w:val="auto"/>
        </w:rPr>
      </w:pPr>
    </w:p>
    <w:p>
      <w:pPr>
        <w:ind w:left="160" w:right="180" w:hanging="155"/>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Vice President, President of Global Staffing and General Manager of IT, Global Service, and</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Global Business Services, Kelly Services, Inc. (2017 - 2019)</w:t>
      </w:r>
    </w:p>
    <w:p>
      <w:pPr>
        <w:spacing w:after="0" w:line="1" w:lineRule="exact"/>
        <w:rPr>
          <w:sz w:val="20"/>
          <w:szCs w:val="20"/>
          <w:color w:val="auto"/>
        </w:rPr>
      </w:pPr>
    </w:p>
    <w:p>
      <w:pPr>
        <w:ind w:left="160" w:right="400" w:hanging="155"/>
        <w:spacing w:after="0" w:line="277"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Senior Vice President, General Counsel, Chief Administrative Officer and Assistant Secretary, Kelly</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Services, Inc. (2015 - 2017)</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ind w:right="3240"/>
        <w:spacing w:after="0" w:line="278"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National Law Center at George Washington University, JD</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University of Michigan, BA</w:t>
      </w:r>
    </w:p>
    <w:p>
      <w:pPr>
        <w:spacing w:after="0" w:line="28"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Mr. Quigley was appointed President and Chief Executive Officer of Kelly in October 2019. He has more than 20 years of experience in a variety of roles at Kelly and has served as an officer of the Company since 2004. Prior to joining Kelly, Mr. Quigley held a variety of roles at Lucent Technologies and AT&amp;T Corporation. Mr. Quigley also serves on the Boards of the American Staffing Association, Detroit Regional Chamber, Business Leaders for Michigan, and the Detroit Economic Club. He brings to the Board his leadership experience and extensive knowledge of the Company’s business.</w:t>
      </w:r>
    </w:p>
    <w:p>
      <w:pPr>
        <w:spacing w:after="0" w:line="1004" w:lineRule="exact"/>
        <w:rPr>
          <w:sz w:val="20"/>
          <w:szCs w:val="20"/>
          <w:color w:val="auto"/>
        </w:rPr>
      </w:pPr>
    </w:p>
    <w:p>
      <w:pPr>
        <w:sectPr>
          <w:pgSz w:w="11900" w:h="16838" w:orient="portrait"/>
          <w:cols w:equalWidth="0" w:num="2">
            <w:col w:w="2460" w:space="720"/>
            <w:col w:w="7400"/>
          </w:cols>
          <w:pgMar w:left="640" w:top="296" w:right="679" w:bottom="1440" w:gutter="0" w:footer="0" w:header="0"/>
          <w:type w:val="continuous"/>
        </w:sectPr>
      </w:pPr>
    </w:p>
    <w:p>
      <w:pPr>
        <w:spacing w:after="0" w:line="49"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9"/>
          <w:szCs w:val="19"/>
          <w:color w:val="auto"/>
          <w:vertAlign w:val="superscript"/>
        </w:rPr>
        <w:t>18 </w:t>
      </w:r>
      <w:r>
        <w:rPr>
          <w:sz w:val="20"/>
          <w:szCs w:val="20"/>
          <w:color w:val="auto"/>
        </w:rPr>
        <w:tab/>
      </w:r>
      <w:r>
        <w:rPr>
          <w:rFonts w:ascii="Arial" w:cs="Arial" w:eastAsia="Arial" w:hAnsi="Arial"/>
          <w:sz w:val="13"/>
          <w:szCs w:val="13"/>
          <w:color w:val="auto"/>
        </w:rPr>
        <w:t xml:space="preserve">    </w:t>
      </w:r>
      <w:r>
        <w:rPr>
          <w:sz w:val="1"/>
          <w:szCs w:val="1"/>
          <w:color w:val="auto"/>
        </w:rPr>
        <w:drawing>
          <wp:inline distT="0" distB="0" distL="0" distR="0">
            <wp:extent cx="396240" cy="18986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3"/>
          <w:szCs w:val="13"/>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-198120</wp:posOffset>
            </wp:positionV>
            <wp:extent cx="8255" cy="2228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580"/>
          </w:cols>
          <w:pgMar w:left="640" w:top="296" w:right="67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403860</wp:posOffset>
            </wp:positionH>
            <wp:positionV relativeFrom="page">
              <wp:posOffset>377825</wp:posOffset>
            </wp:positionV>
            <wp:extent cx="1586230" cy="15862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5862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1899920" cy="132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99920" cy="1321435"/>
                    </a:xfrm>
                    <a:prstGeom prst="rect">
                      <a:avLst/>
                    </a:prstGeom>
                    <a:noFill/>
                  </pic:spPr>
                </pic:pic>
              </a:graphicData>
            </a:graphic>
          </wp:anchor>
        </w:drawing>
      </w:r>
    </w:p>
    <w:p>
      <w:pPr>
        <w:spacing w:after="0" w:line="1" w:lineRule="exact"/>
        <w:rPr>
          <w:sz w:val="20"/>
          <w:szCs w:val="20"/>
          <w:color w:val="auto"/>
        </w:rPr>
      </w:pPr>
    </w:p>
    <w:p>
      <w:pPr>
        <w:ind w:left="140" w:right="60"/>
        <w:spacing w:after="0" w:line="246" w:lineRule="auto"/>
        <w:rPr>
          <w:sz w:val="20"/>
          <w:szCs w:val="20"/>
          <w:color w:val="auto"/>
        </w:rPr>
      </w:pPr>
      <w:r>
        <w:rPr>
          <w:rFonts w:ascii="Arial" w:cs="Arial" w:eastAsia="Arial" w:hAnsi="Arial"/>
          <w:sz w:val="16"/>
          <w:szCs w:val="16"/>
          <w:b w:val="1"/>
          <w:bCs w:val="1"/>
          <w:color w:val="auto"/>
        </w:rPr>
        <w:t xml:space="preserve">Specific Experience and Skills </w:t>
      </w: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Transformations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Innovation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w:t>
      </w:r>
    </w:p>
    <w:p>
      <w:pPr>
        <w:spacing w:after="0" w:line="9" w:lineRule="exact"/>
        <w:rPr>
          <w:sz w:val="20"/>
          <w:szCs w:val="20"/>
          <w:color w:val="auto"/>
        </w:rPr>
      </w:pPr>
    </w:p>
    <w:p>
      <w:pPr>
        <w:ind w:left="140" w:right="52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Technology/Digitization/</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 Cybersecurity</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Acumen</w:t>
      </w:r>
    </w:p>
    <w:p>
      <w:pPr>
        <w:spacing w:after="0" w:line="9" w:lineRule="exact"/>
        <w:rPr>
          <w:sz w:val="20"/>
          <w:szCs w:val="20"/>
          <w:color w:val="auto"/>
        </w:rPr>
      </w:pPr>
    </w:p>
    <w:p>
      <w:pPr>
        <w:ind w:left="140" w:right="14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Legal/Corporate Governance</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ESG/Sustainability</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Mergers &amp; Acquisitions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37" w:lineRule="auto"/>
        <w:rPr>
          <w:sz w:val="20"/>
          <w:szCs w:val="20"/>
          <w:color w:val="auto"/>
        </w:rPr>
      </w:pPr>
      <w:r>
        <w:rPr>
          <w:rFonts w:ascii="Arial" w:cs="Arial" w:eastAsia="Arial" w:hAnsi="Arial"/>
          <w:sz w:val="16"/>
          <w:szCs w:val="16"/>
          <w:color w:val="auto"/>
        </w:rPr>
        <w:t> </w:t>
      </w:r>
    </w:p>
    <w:p>
      <w:pPr>
        <w:spacing w:after="0" w:line="238" w:lineRule="auto"/>
        <w:rPr>
          <w:sz w:val="20"/>
          <w:szCs w:val="20"/>
          <w:color w:val="auto"/>
        </w:rPr>
      </w:pPr>
      <w:r>
        <w:rPr>
          <w:rFonts w:ascii="Arial" w:cs="Arial" w:eastAsia="Arial" w:hAnsi="Arial"/>
          <w:sz w:val="16"/>
          <w:szCs w:val="16"/>
          <w:color w:val="auto"/>
        </w:rPr>
        <w:t> </w:t>
      </w:r>
    </w:p>
    <w:p>
      <w:pPr>
        <w:spacing w:after="0" w:line="237" w:lineRule="auto"/>
        <w:rPr>
          <w:sz w:val="20"/>
          <w:szCs w:val="20"/>
          <w:color w:val="auto"/>
        </w:rPr>
      </w:pPr>
      <w:r>
        <w:rPr>
          <w:rFonts w:ascii="Arial" w:cs="Arial" w:eastAsia="Arial" w:hAnsi="Arial"/>
          <w:sz w:val="16"/>
          <w:szCs w:val="16"/>
          <w:color w:val="auto"/>
        </w:rPr>
        <w:t> </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1586230" cy="15862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862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1899920" cy="10902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99920" cy="1090295"/>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Specific Experience and Skills</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Innovation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w:t>
      </w:r>
    </w:p>
    <w:p>
      <w:pPr>
        <w:spacing w:after="0" w:line="9" w:lineRule="exact"/>
        <w:rPr>
          <w:sz w:val="20"/>
          <w:szCs w:val="20"/>
          <w:color w:val="auto"/>
        </w:rPr>
      </w:pPr>
    </w:p>
    <w:p>
      <w:pPr>
        <w:ind w:left="140" w:right="52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Technology/Digitization/</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 Cybersecurity</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Acumen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Risk Management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Mergers &amp; Acquisitions</w:t>
      </w:r>
    </w:p>
    <w:p>
      <w:pPr>
        <w:spacing w:after="0" w:line="59" w:lineRule="exact"/>
        <w:rPr>
          <w:sz w:val="20"/>
          <w:szCs w:val="20"/>
          <w:color w:val="auto"/>
        </w:rPr>
      </w:pPr>
    </w:p>
    <w:p>
      <w:pPr>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-193675</wp:posOffset>
            </wp:positionV>
            <wp:extent cx="7179310" cy="539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3808095" cy="528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0809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Compensation and Talent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Corporate Governance and Nominating (Chair)</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NAACP Legal Defense and Education Fund (1998 -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Cintas Corporation (2006 -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Abt Associates (2020 -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Board Chair, Cardinal Spellman High School Board (2022 -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Trustee, Cardinal Spellman High School Board (2010 - 2022)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Senior Partner and other executive positions, Booz &amp; Co. (1981 - 2016)</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Harvard Business School,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Massachusetts Institute of Technology, MS, Chemical Engineering</w:t>
      </w:r>
    </w:p>
    <w:p>
      <w:pPr>
        <w:spacing w:after="0" w:line="9" w:lineRule="exact"/>
        <w:rPr>
          <w:sz w:val="20"/>
          <w:szCs w:val="20"/>
          <w:color w:val="auto"/>
        </w:rPr>
      </w:pPr>
    </w:p>
    <w:p>
      <w:pPr>
        <w:ind w:left="160" w:right="480" w:hanging="155"/>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Massachusetts Institute of Technology, BS, Management Science (Concentration in Organizational</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Psychology)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Massachusetts Institute of Technology, BS, Chemical Engineering</w:t>
      </w:r>
    </w:p>
    <w:p>
      <w:pPr>
        <w:spacing w:after="0" w:line="73"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Mr. Adolph joined our Board in March 2018 with over 35 years of experience in growth strategy, mergers and acquisitions, and technology-driven industry changes. He also has governance experience through his past service on the board of Booz &amp; Co. and current service on the boards of Cintas Corp., where he chairs the compensation committee, and the NAACP Legal Defense and Education Fund, where he served as co-chair from 2011 to 2021. Mr. Adolph is a founding board member of Black Economic Alliance and served as a director from 2017 to 2020. He also serves on the board of Abt Associates. His extensive business expertise, strategic perspective, and strong leadership skills make him a valued contributor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3808095" cy="528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0809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None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President and Chief Executive Officer, Kelly Services, Inc. (2017-2019)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Vice President and Chief Operating Officer, Kelly Services, Inc. (2009 - 2017)</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Oakland University,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Wayne State University, BSBA</w:t>
      </w:r>
    </w:p>
    <w:p>
      <w:pPr>
        <w:spacing w:after="0" w:line="73"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Mr. Corona served as President and Chief Executive Officer of Kelly from May 2017 until his retirement in September 2019. He had more than 20 years of experience in a variety of executive roles with Kelly, including eight years as Executive Vice President and Chief Operating Officer. Prior to joining Kelly in 1994, he held management roles at Digital Equipment Professional Services Group and Burroughs Corporation. Mr. Corona also serves on the boards of several not-for-profit organizations. He brings to the Board significant knowledge of the Company and executive leadership experience.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600"/>
        <w:spacing w:after="0"/>
        <w:tabs>
          <w:tab w:leader="none" w:pos="68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-184150</wp:posOffset>
            </wp:positionV>
            <wp:extent cx="8255" cy="2228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2">
            <w:col w:w="2460" w:space="720"/>
            <w:col w:w="7440"/>
          </w:cols>
          <w:pgMar w:left="640" w:top="296" w:right="6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1586230" cy="15862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862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1899920" cy="10902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99920" cy="1090295"/>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Specific Experience and Skills</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Transformations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Innovation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Expert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Risk Management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Legal/Corporate Governance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268605</wp:posOffset>
            </wp:positionV>
            <wp:extent cx="1586230" cy="15862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862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1899920" cy="1437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99920" cy="1437640"/>
                    </a:xfrm>
                    <a:prstGeom prst="rect">
                      <a:avLst/>
                    </a:prstGeom>
                    <a:noFill/>
                  </pic:spPr>
                </pic:pic>
              </a:graphicData>
            </a:graphic>
          </wp:anchor>
        </w:drawing>
      </w:r>
    </w:p>
    <w:p>
      <w:pPr>
        <w:spacing w:after="0" w:line="1" w:lineRule="exact"/>
        <w:rPr>
          <w:sz w:val="20"/>
          <w:szCs w:val="20"/>
          <w:color w:val="auto"/>
        </w:rPr>
      </w:pPr>
    </w:p>
    <w:p>
      <w:pPr>
        <w:ind w:left="140" w:right="60"/>
        <w:spacing w:after="0" w:line="246" w:lineRule="auto"/>
        <w:rPr>
          <w:sz w:val="20"/>
          <w:szCs w:val="20"/>
          <w:color w:val="auto"/>
        </w:rPr>
      </w:pPr>
      <w:r>
        <w:rPr>
          <w:rFonts w:ascii="Arial" w:cs="Arial" w:eastAsia="Arial" w:hAnsi="Arial"/>
          <w:sz w:val="16"/>
          <w:szCs w:val="16"/>
          <w:b w:val="1"/>
          <w:bCs w:val="1"/>
          <w:color w:val="auto"/>
        </w:rPr>
        <w:t xml:space="preserve">Specific Experience and Skills </w:t>
      </w: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Transformations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Innovation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w:t>
      </w:r>
    </w:p>
    <w:p>
      <w:pPr>
        <w:spacing w:after="0" w:line="9" w:lineRule="exact"/>
        <w:rPr>
          <w:sz w:val="20"/>
          <w:szCs w:val="20"/>
          <w:color w:val="auto"/>
        </w:rPr>
      </w:pPr>
    </w:p>
    <w:p>
      <w:pPr>
        <w:ind w:left="140" w:right="52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Technology/Digitization/</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 Cybersecurity</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Acumen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Risk Management</w:t>
      </w:r>
    </w:p>
    <w:p>
      <w:pPr>
        <w:spacing w:after="0" w:line="9" w:lineRule="exact"/>
        <w:rPr>
          <w:sz w:val="20"/>
          <w:szCs w:val="20"/>
          <w:color w:val="auto"/>
        </w:rPr>
      </w:pPr>
    </w:p>
    <w:p>
      <w:pPr>
        <w:ind w:left="140" w:right="14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Legal/Corporate Governance</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ESG/Sustainability</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Mergers &amp; Acquisitions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rPr>
          <w:sz w:val="20"/>
          <w:szCs w:val="20"/>
          <w:color w:val="auto"/>
        </w:rPr>
      </w:pPr>
      <w:r>
        <w:rPr>
          <w:rFonts w:ascii="Arial" w:cs="Arial" w:eastAsia="Arial" w:hAnsi="Arial"/>
          <w:sz w:val="16"/>
          <w:szCs w:val="16"/>
          <w:color w:val="auto"/>
        </w:rPr>
        <w:t> </w:t>
      </w:r>
    </w:p>
    <w:p>
      <w:pPr>
        <w:spacing w:after="0" w:line="64"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20 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-925195</wp:posOffset>
            </wp:positionV>
            <wp:extent cx="7179310" cy="539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-635635</wp:posOffset>
            </wp:positionV>
            <wp:extent cx="3808095" cy="528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08095" cy="5289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Compensation and Talent Management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Corporate Governance and Nominating</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Huntington Bancshares Incorporated (2017 –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First Merit Corporation (2013 –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President and Chief Executive Officer, Meadowbrook Insurance Group, Inc. (2002 – 2016)</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Detroit College of Law, JD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Wayne State University, BA, Psychology</w:t>
      </w:r>
    </w:p>
    <w:p>
      <w:pPr>
        <w:spacing w:after="0" w:line="73"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Mr. Cubbin is an attorney with 31 years of experience in insurance law. In 2016, he retired as President and Chief Executive Officer following a 30-year career with Meadowbrook Insurance Group. He previously served on the board of directors of three large publicly held companies. Mr. Cubbin is an experienced director with broad-ranging experience in legal, insurance, management, accounting, actuarial, investment, underwriting, reinsurance, and claims. The Board determined that Mr. Cubbin qualifies as an “audit committee financial expert” within the meaning of applicable SEC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3808095" cy="528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0809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Audit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Corporate Governance and Nominating</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Vice President and Chief Information Officer, United Services Automobile Association (USAA)</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(2022 – present)</w:t>
      </w:r>
    </w:p>
    <w:p>
      <w:pPr>
        <w:ind w:left="160" w:right="820" w:hanging="155"/>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Senior Executive Vice President, Chief Operations and Technology Officer, Regions Financial</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Corporation (2017 –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Innovation Depot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Regions Bank (2019 –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Techbridge, Inc. (2016 - 2020)</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Columbia University, MS, Technology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University of Nebraska at Omaha, MBA, International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Osmania University, BS, Electronics and Communications Engineering</w:t>
      </w:r>
    </w:p>
    <w:p>
      <w:pPr>
        <w:spacing w:after="0" w:line="73"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Ms. Duggirala joined our Board in January 2022 with more than 24 years of leadership experience with global organizations. She is a renowned digital transformation and technology strategist with skills in large-scale strategic product delivery, technical innovation, and complex financial management. She brings to the Board a wealth of knowledge in integrations, strategic planning, product development, operations, engineering, data management, and cybersecurity. Ms. Duggirala has significant cybersecurity experience from working in a variety of information technology and data analytics roles, including Chief Operations and Technology Officer at Regions Bank and Chief Technology Officer at other large fintech firms. In 2022, Ms. Duggirala received the esteemed Outstanding 50 Asian Americans in Business Award.</w:t>
      </w:r>
    </w:p>
    <w:p>
      <w:pPr>
        <w:sectPr>
          <w:pgSz w:w="11900" w:h="16838" w:orient="portrait"/>
          <w:cols w:equalWidth="0" w:num="2">
            <w:col w:w="2460" w:space="720"/>
            <w:col w:w="7400"/>
          </w:cols>
          <w:pgMar w:left="640" w:top="296" w:right="67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403860</wp:posOffset>
            </wp:positionH>
            <wp:positionV relativeFrom="page">
              <wp:posOffset>377825</wp:posOffset>
            </wp:positionV>
            <wp:extent cx="1586230" cy="15862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5862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1899920" cy="132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99920" cy="1321435"/>
                    </a:xfrm>
                    <a:prstGeom prst="rect">
                      <a:avLst/>
                    </a:prstGeom>
                    <a:noFill/>
                  </pic:spPr>
                </pic:pic>
              </a:graphicData>
            </a:graphic>
          </wp:anchor>
        </w:drawing>
      </w:r>
    </w:p>
    <w:p>
      <w:pPr>
        <w:spacing w:after="0" w:line="1" w:lineRule="exact"/>
        <w:rPr>
          <w:sz w:val="20"/>
          <w:szCs w:val="20"/>
          <w:color w:val="auto"/>
        </w:rPr>
      </w:pPr>
    </w:p>
    <w:p>
      <w:pPr>
        <w:ind w:left="140" w:right="60"/>
        <w:spacing w:after="0" w:line="246" w:lineRule="auto"/>
        <w:rPr>
          <w:sz w:val="20"/>
          <w:szCs w:val="20"/>
          <w:color w:val="auto"/>
        </w:rPr>
      </w:pPr>
      <w:r>
        <w:rPr>
          <w:rFonts w:ascii="Arial" w:cs="Arial" w:eastAsia="Arial" w:hAnsi="Arial"/>
          <w:sz w:val="16"/>
          <w:szCs w:val="16"/>
          <w:b w:val="1"/>
          <w:bCs w:val="1"/>
          <w:color w:val="auto"/>
        </w:rPr>
        <w:t xml:space="preserve">Specific Experience and Skills </w:t>
      </w: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Transformations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Innovation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w:t>
      </w:r>
    </w:p>
    <w:p>
      <w:pPr>
        <w:spacing w:after="0" w:line="9" w:lineRule="exact"/>
        <w:rPr>
          <w:sz w:val="20"/>
          <w:szCs w:val="20"/>
          <w:color w:val="auto"/>
        </w:rPr>
      </w:pPr>
    </w:p>
    <w:p>
      <w:pPr>
        <w:ind w:left="140" w:right="52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Technology/Digitization/</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 Cybersecurity</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Acumen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Risk Management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ESG/Sustainability</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384810</wp:posOffset>
            </wp:positionV>
            <wp:extent cx="1586230" cy="15862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862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1899920" cy="132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99920" cy="1321435"/>
                    </a:xfrm>
                    <a:prstGeom prst="rect">
                      <a:avLst/>
                    </a:prstGeom>
                    <a:noFill/>
                  </pic:spPr>
                </pic:pic>
              </a:graphicData>
            </a:graphic>
          </wp:anchor>
        </w:drawing>
      </w:r>
    </w:p>
    <w:p>
      <w:pPr>
        <w:spacing w:after="0" w:line="1" w:lineRule="exact"/>
        <w:rPr>
          <w:sz w:val="20"/>
          <w:szCs w:val="20"/>
          <w:color w:val="auto"/>
        </w:rPr>
      </w:pPr>
    </w:p>
    <w:p>
      <w:pPr>
        <w:ind w:left="140" w:right="60"/>
        <w:spacing w:after="0" w:line="246" w:lineRule="auto"/>
        <w:rPr>
          <w:sz w:val="20"/>
          <w:szCs w:val="20"/>
          <w:color w:val="auto"/>
        </w:rPr>
      </w:pPr>
      <w:r>
        <w:rPr>
          <w:rFonts w:ascii="Arial" w:cs="Arial" w:eastAsia="Arial" w:hAnsi="Arial"/>
          <w:sz w:val="16"/>
          <w:szCs w:val="16"/>
          <w:b w:val="1"/>
          <w:bCs w:val="1"/>
          <w:color w:val="auto"/>
        </w:rPr>
        <w:t xml:space="preserve">Specific Experience and Skills </w:t>
      </w: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Transformations</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w:t>
      </w:r>
    </w:p>
    <w:p>
      <w:pPr>
        <w:spacing w:after="0" w:line="9" w:lineRule="exact"/>
        <w:rPr>
          <w:sz w:val="20"/>
          <w:szCs w:val="20"/>
          <w:color w:val="auto"/>
        </w:rPr>
      </w:pPr>
    </w:p>
    <w:p>
      <w:pPr>
        <w:ind w:left="140" w:right="520"/>
        <w:spacing w:after="0" w:line="252"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Technology/Digitization/</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 Cybersecurity</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Acumen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Expert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Risk Management</w:t>
      </w:r>
    </w:p>
    <w:p>
      <w:pPr>
        <w:spacing w:after="0" w:line="9" w:lineRule="exact"/>
        <w:rPr>
          <w:sz w:val="20"/>
          <w:szCs w:val="20"/>
          <w:color w:val="auto"/>
        </w:rPr>
      </w:pPr>
    </w:p>
    <w:p>
      <w:pPr>
        <w:ind w:left="140" w:right="140"/>
        <w:spacing w:after="0" w:line="277"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Legal/Corporate Governance</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 xml:space="preserve">  Mergers &amp; Acquisitions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-193675</wp:posOffset>
            </wp:positionV>
            <wp:extent cx="7179310" cy="539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3808095" cy="528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0809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Compensation and Talent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Corporate Governance and Nominating</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President and CEO, IMJ Consulting, LLC (2023 -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Chief People and Diversity Officer, Zendesk, Inc. (2018 - 2022)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Senior Vice President and Chief Human Resources Officer, Plantronics, Inc. (2015 - 2018)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Entrepreneurship for All (EforAll) (2020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Member of CNBC’s Workforce Executive Council (2021 – present)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John F. Kennedy University, MA, Organizational Development and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University of California, BA, Social Sciences (Emphasis in Human Resources Management)</w:t>
      </w:r>
    </w:p>
    <w:p>
      <w:pPr>
        <w:spacing w:after="0" w:line="73" w:lineRule="exact"/>
        <w:rPr>
          <w:sz w:val="20"/>
          <w:szCs w:val="20"/>
          <w:color w:val="auto"/>
        </w:rPr>
      </w:pPr>
    </w:p>
    <w:p>
      <w:pPr>
        <w:ind w:right="240"/>
        <w:spacing w:after="0" w:line="280" w:lineRule="auto"/>
        <w:rPr>
          <w:sz w:val="20"/>
          <w:szCs w:val="20"/>
          <w:color w:val="auto"/>
        </w:rPr>
      </w:pPr>
      <w:r>
        <w:rPr>
          <w:rFonts w:ascii="Arial" w:cs="Arial" w:eastAsia="Arial" w:hAnsi="Arial"/>
          <w:sz w:val="14"/>
          <w:szCs w:val="14"/>
          <w:color w:val="auto"/>
        </w:rPr>
        <w:t>Ms. Johnson joined our Board in January 2022 with more than 30 years of experience in strategy transformation, human capital management, and operational excellence in multiple industries. She is an accomplished human capital transformational leader championing initiatives that transform the mindsets and behaviors that shape a culture. Ms. Johnson has extensive human capital management experience acquired from her previous HR leadership roles with several large organizations. Her expertise in organizational development and management provides the Board with a fundamental view on employee experience, talent acquisition, development, and diversity, equity, and inclusion. Ms. Johnson was recognized by The California Diversity Council as one of California’s Most Powerful &amp; Influential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317500</wp:posOffset>
            </wp:positionV>
            <wp:extent cx="3808095" cy="528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08095"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Audit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Compensation and Talent Management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President and CEO, Murphy Consulting, Inc. (2008 -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Certified Public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Member of AICPA’s Governing Council (2000 -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Member of NACD Advisory Councils on Audit Committee Issues and Risk Oversight (2012 -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Detroit Legal News Company (2012 - present)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University of Michigan, BBA, Accounting</w:t>
      </w:r>
    </w:p>
    <w:p>
      <w:pPr>
        <w:spacing w:after="0" w:line="73" w:lineRule="exact"/>
        <w:rPr>
          <w:sz w:val="20"/>
          <w:szCs w:val="20"/>
          <w:color w:val="auto"/>
        </w:rPr>
      </w:pPr>
    </w:p>
    <w:p>
      <w:pPr>
        <w:ind w:right="80"/>
        <w:spacing w:after="0"/>
        <w:rPr>
          <w:sz w:val="20"/>
          <w:szCs w:val="20"/>
          <w:color w:val="auto"/>
        </w:rPr>
      </w:pPr>
      <w:r>
        <w:rPr>
          <w:rFonts w:ascii="Arial" w:cs="Arial" w:eastAsia="Arial" w:hAnsi="Arial"/>
          <w:sz w:val="16"/>
          <w:szCs w:val="16"/>
          <w:color w:val="auto"/>
        </w:rPr>
        <w:t>Ms. Murphy is a certified public accountant, former chair of the American Institute of Certified Public Accountants, and former Group Managing Partner of Plante &amp; Moran, LLP, a national accounting firm. The Board determined that Ms. Murphy qualifies as an “audit committee financial expert” within the meaning of applicable SEC regulations and has the leadership skills to chair the Audit Committee. She brings to the Board analytical capability, understanding of the economics and strategic elements of business, and expertise in enterprise risk management and cyber security. In honor of her dedication to the highest standards of director education and ongoing learning, Ms. Murphy has received both the NACD Directorship Certification and the American Institute of Certified Public Accountants’ (AICPA) Cybersecurity Fundamentals for Finance and Accounting Professionals certification.</w:t>
      </w:r>
    </w:p>
    <w:p>
      <w:pPr>
        <w:spacing w:after="0" w:line="6" w:lineRule="exact"/>
        <w:rPr>
          <w:sz w:val="20"/>
          <w:szCs w:val="20"/>
          <w:color w:val="auto"/>
        </w:rPr>
      </w:pPr>
    </w:p>
    <w:p>
      <w:pPr>
        <w:ind w:left="5600"/>
        <w:spacing w:after="0"/>
        <w:tabs>
          <w:tab w:leader="none" w:pos="68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4289425</wp:posOffset>
            </wp:positionH>
            <wp:positionV relativeFrom="paragraph">
              <wp:posOffset>-213995</wp:posOffset>
            </wp:positionV>
            <wp:extent cx="8255" cy="2228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2">
            <w:col w:w="2460" w:space="720"/>
            <w:col w:w="7440"/>
          </w:cols>
          <w:pgMar w:left="640" w:top="296" w:right="6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1586230" cy="15862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8623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0"/>
          <w:szCs w:val="1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1899920" cy="974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99920" cy="974725"/>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Specific Experience and Skills</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Executive Leadership</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Transformations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Innovation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Financial Acumen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Legal/Corporate Governance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Mergers &amp; Acquisitions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22 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-925195</wp:posOffset>
            </wp:positionV>
            <wp:extent cx="7179310" cy="539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-635635</wp:posOffset>
            </wp:positionV>
            <wp:extent cx="3808095" cy="528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08095" cy="5289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None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Managing Director, Apjohn Group, LLC (2001 -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General Partner, Apjohn Ventures Fund (2003 -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General Partner, Apjohn Ventures Annex Fund (2010 - 2022)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Rockwell Automation, Inc. (2008 -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MASCO Corporation (2012 - present)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Director, Sierra Oncology Inc. (2015 - 2019)</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University of Michigan, MBA,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University of Arizona, BA, Economics</w:t>
      </w:r>
    </w:p>
    <w:p>
      <w:pPr>
        <w:spacing w:after="0" w:line="73"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Mr. Parfet served as Chairman of the Board from 2018 – 2023 and served as the Board’s Lead Director from 2012 – 2018. He currently leads a business development company and a venture capital firm focused on the development of emerging medicines. He also serves as a director of two large publicly held companies and is a director and Trustee of several charitable and civic organizations. Mr. Parfet brings to the Board extensive financial and operating experience as an executive with responsibilities for numerous global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-2021205</wp:posOffset>
            </wp:positionH>
            <wp:positionV relativeFrom="paragraph">
              <wp:posOffset>222885</wp:posOffset>
            </wp:positionV>
            <wp:extent cx="6773545" cy="5124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73545" cy="512445"/>
                    </a:xfrm>
                    <a:prstGeom prst="rect">
                      <a:avLst/>
                    </a:prstGeom>
                    <a:noFill/>
                  </pic:spPr>
                </pic:pic>
              </a:graphicData>
            </a:graphic>
          </wp:anchor>
        </w:drawing>
      </w:r>
    </w:p>
    <w:p>
      <w:pPr>
        <w:sectPr>
          <w:pgSz w:w="11900" w:h="16838" w:orient="portrait"/>
          <w:cols w:equalWidth="0" w:num="2">
            <w:col w:w="2460" w:space="720"/>
            <w:col w:w="7360"/>
          </w:cols>
          <w:pgMar w:left="640" w:top="296" w:right="719" w:bottom="1440" w:gutter="0" w:footer="0" w:header="0"/>
        </w:sectPr>
      </w:pPr>
    </w:p>
    <w:bookmarkStart w:id="24" w:name="page25"/>
    <w:bookmarkEnd w:id="24"/>
    <w:p>
      <w:pP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Compliance with Nasdaq Independence Standards for Non-Controlled Companies</w:t>
      </w:r>
    </w:p>
    <w:p>
      <w:pPr>
        <w:spacing w:after="0" w:line="72"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Nasdaq, where the Company’s common stock is listed, established exemptions from its governance requirements for “controlled companies,” defined as companies in which a single person, entity, or group holds more than 50% of the voting power for the election of its directors. The Company is a “controlled company” because Trust K, discussed below, has the power to vote approximately 94.5% of the Company’s outstanding shares of Class B Common Stock.</w:t>
      </w:r>
    </w:p>
    <w:p>
      <w:pPr>
        <w:spacing w:after="0" w:line="52"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In keeping with the Company’s historic recognition of the importance of having a majority of independent directors, the Company elected to comply voluntarily with all the Nasdaq listing standards that otherwise do not apply to controlled companies. Thus, a majority of the Board are independent directors and all members of the three Board Committees, Audit, Compensation and Talent Management, and Corporate Governance and Nominating, are independent.</w:t>
      </w:r>
    </w:p>
    <w:p>
      <w:pPr>
        <w:spacing w:after="0" w:line="39"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Prior to his death in October 2018, Terence E. Adderley, our former Chairman, was the trustee of Trust K. Upon his death, Trust K became irrevocable and, in accordance with the provisions of the trust, Andrew H. Curoe, David M. Hempstead, and William U. Parfet were appointed as successor trustees (the “co-trustees”). The co-trustees act by a majority vote when making investment decisions with respect to the voting shares held by Trust K. The co-trustees, acting as a majority, have sole voting and investment authority over Trust K and cannot be removed or replaced by the beneficiaries of Trust K.</w:t>
      </w:r>
    </w:p>
    <w:p>
      <w:pPr>
        <w:spacing w:after="0" w:line="40"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William U. Parfet, a co-trustee, is the brother of Donald R. Parfet, director and former Chairman of the Board. In determining that Donald R. Parfet is an independent director, the Board considered, among other things, that Donald R. Parfet and William U. Parfet are financially independent of one another, that the co-trustees are required to act by majority vote and that none of the co-trustees serves as an officer or director of the Company or has any personal financial interest in Trust K that could benefit from actions taken by the Board.</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Role of the Board of Directors</w:t>
      </w:r>
    </w:p>
    <w:p>
      <w:pPr>
        <w:spacing w:after="0" w:line="85"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The Board bears responsibility for the oversight of management on behalf of shareholders to ensure long-term value creation. The Board oversees and provides guidance for the Company’s business, property, and affairs. On an ongoing basis, the Board oversees management’s development and implementation of the Company’s strategy and business planning process, and monitors performance relative to the achievement of those plans. The Board sets the tone at the top to support a corporate culture that emphasizes ethical standards, professionalism, integrity, and compliance. The Board and its committees consider long-range strategic issues and material risks facing the Company, together with management’s actions to address and mitigate these risks; oversee corporate policies and processes to promote and maintain the integrity of the Company’s financial reporting and controls, legal and ethical compliance, and relationships with customers and suppliers; review the Company’s environmental, social and governance (“ESG”) and sustainability practices and strategies; and provide oversight relative to the compensation of senior management, leadership development, and management succession planning.</w:t>
      </w:r>
    </w:p>
    <w:p>
      <w:pPr>
        <w:spacing w:after="0" w:line="41"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As part of its oversight of the strategic direction of the Company, senior leadership presents to the Board at the beginning of each year the annual business plans for each business unit and the consolidated annual business plan for the Company as a whole. At each subsequent meeting throughout the year, management shares quarterly performance results for each business unit and the whole Company, and the Board benchmarks these outcomes to the annual plans. Each year, the Board engages in a two-day offsite strategic planning meeting with management where it conducts a comprehensive review and discussion of the Company’s strategic direction and goals over the short-, medium-, and long-term, as well as management’s plans to achieve such goals. At least twice each year, the business unit presidents provide an in-depth review and update of their businesses to the Board, which includes a review of the strategic goals of the business and business performance relative to business strategy.</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Leadership and Governance Structure</w:t>
      </w:r>
    </w:p>
    <w:p>
      <w:pPr>
        <w:spacing w:after="0" w:line="72" w:lineRule="exact"/>
        <w:rPr>
          <w:sz w:val="20"/>
          <w:szCs w:val="20"/>
          <w:color w:val="auto"/>
        </w:rPr>
      </w:pPr>
    </w:p>
    <w:p>
      <w:pPr>
        <w:jc w:val="both"/>
        <w:ind w:right="320"/>
        <w:spacing w:after="0" w:line="245" w:lineRule="auto"/>
        <w:rPr>
          <w:sz w:val="20"/>
          <w:szCs w:val="20"/>
          <w:color w:val="auto"/>
        </w:rPr>
      </w:pPr>
      <w:r>
        <w:rPr>
          <w:rFonts w:ascii="Arial" w:cs="Arial" w:eastAsia="Arial" w:hAnsi="Arial"/>
          <w:sz w:val="16"/>
          <w:szCs w:val="16"/>
          <w:color w:val="auto"/>
        </w:rPr>
        <w:t>The Company’s Board structure affords independent Board leadership and the flexibility to ensure a diverse, independent and effective Board. At the present time, the roles of the Chairman of the Board and the Chief Executive Officer are separate, with the Chairman being an independent director, which provides independent Board leadership and allows the Chief Executive Officer to concentrate on the Company’s business. Terrence B. Larkin serves as Chairman of the Board and Peter W. Quigley serves as Chief Executive Officer.</w:t>
      </w:r>
    </w:p>
    <w:p>
      <w:pPr>
        <w:ind w:left="8780"/>
        <w:spacing w:after="0"/>
        <w:tabs>
          <w:tab w:leader="none" w:pos="1002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6308725</wp:posOffset>
            </wp:positionH>
            <wp:positionV relativeFrom="paragraph">
              <wp:posOffset>-222250</wp:posOffset>
            </wp:positionV>
            <wp:extent cx="8255" cy="2228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560"/>
          </w:cols>
          <w:pgMar w:left="640" w:top="423" w:right="69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137"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Chairman of the Board’s duties include consulting with and advising our Chief Executive Officer, presiding over meetings of the Board and, together with our Chief Executive Officer, presiding over meetings of shareholders. The Chairman of the Board’s duties also include providing effective leadership to the Board including ongoing monitoring of its performance, compliance with governance requirements and best practices, serving as liaison among the Chief Executive Officer and the independent directors, establishing the annual schedule for Board meetings (in consultation with the Chief Executive Officer), developing and approving agendas for Board meetings, working with the Chief Executive Officer to ensure that information flows to the Board to facilitate understanding of, and discussion regarding, matters of interest or concern to the Board, approving the information sent to the Board for meetings, establishing the schedule and agendas for and presiding over meetings of the independent directors in executive session, providing feedback to the Chief Executive Officer on those executive sessions, authority to call and preside over special meetings of the Board, and facilitating discussions among directors on key issues outside of Board meetings.</w:t>
      </w:r>
    </w:p>
    <w:p>
      <w:pPr>
        <w:spacing w:after="0" w:line="4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the event that the Chairman of the Board is not an independent director, the Company’s Corporate Governance Principles provide that the independent directors will elect one of their number to serve as Lead Director and fulfill many of the Chairman of the Board’s current responsibilities.</w:t>
      </w:r>
    </w:p>
    <w:p>
      <w:pPr>
        <w:spacing w:after="0" w:line="36"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The Chief Executive Officer is responsible for managing the business and affairs of the Company, subject to the oversight of the Board. The Chief Executive Officer’s duties include: providing leadership to the Company’s management team; developing and presenting to the Board the Company’s strategy and long-term plans, medium-term plans and annual budgets, and within this framework, the performance of the business; complying with legal and corporate governance requirements, making recommendations on the appointment and compensation of executive officers, management development, and succession planning; representing the Company externally; consulting with the Chairman of the Board about developments in the Company; and communicating with all directors about key issues outside of Board meetings.</w:t>
      </w: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Committees of the Board</w:t>
      </w:r>
    </w:p>
    <w:p>
      <w:pPr>
        <w:spacing w:after="0" w:line="72"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 xml:space="preserve">The Board has established three standing committees: Audit Committee, Compensation and Talent Management Committee, and Corporate Governance and Nominating Committee. Each committee functions under a written charter adopted by the Board, which is available on the Company’s website at </w:t>
      </w:r>
      <w:r>
        <w:rPr>
          <w:rFonts w:ascii="Arial" w:cs="Arial" w:eastAsia="Arial" w:hAnsi="Arial"/>
          <w:sz w:val="16"/>
          <w:szCs w:val="16"/>
          <w:i w:val="1"/>
          <w:iCs w:val="1"/>
          <w:color w:val="auto"/>
        </w:rPr>
        <w:t xml:space="preserve">kellyservices.com </w:t>
      </w:r>
      <w:r>
        <w:rPr>
          <w:rFonts w:ascii="Arial" w:cs="Arial" w:eastAsia="Arial" w:hAnsi="Arial"/>
          <w:sz w:val="16"/>
          <w:szCs w:val="16"/>
          <w:color w:val="auto"/>
        </w:rPr>
        <w:t>or to any shareholder who requests a copy. The members, responsibilities, and the number of meetings each of these committees held</w:t>
      </w:r>
      <w:r>
        <w:rPr>
          <w:rFonts w:ascii="Arial" w:cs="Arial" w:eastAsia="Arial" w:hAnsi="Arial"/>
          <w:sz w:val="16"/>
          <w:szCs w:val="16"/>
          <w:i w:val="1"/>
          <w:iCs w:val="1"/>
          <w:color w:val="auto"/>
        </w:rPr>
        <w:t xml:space="preserve"> </w:t>
      </w:r>
      <w:r>
        <w:rPr>
          <w:rFonts w:ascii="Arial" w:cs="Arial" w:eastAsia="Arial" w:hAnsi="Arial"/>
          <w:sz w:val="16"/>
          <w:szCs w:val="16"/>
          <w:color w:val="auto"/>
        </w:rPr>
        <w:t>in 2023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198120</wp:posOffset>
            </wp:positionV>
            <wp:extent cx="6690995" cy="387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90995" cy="387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1980" w:type="dxa"/>
            <w:vAlign w:val="bottom"/>
          </w:tcPr>
          <w:p>
            <w:pPr>
              <w:spacing w:after="0"/>
              <w:rPr>
                <w:sz w:val="20"/>
                <w:szCs w:val="20"/>
                <w:color w:val="auto"/>
              </w:rPr>
            </w:pPr>
            <w:r>
              <w:rPr>
                <w:rFonts w:ascii="Arial" w:cs="Arial" w:eastAsia="Arial" w:hAnsi="Arial"/>
                <w:sz w:val="16"/>
                <w:szCs w:val="16"/>
                <w:b w:val="1"/>
                <w:bCs w:val="1"/>
                <w:color w:val="auto"/>
              </w:rPr>
              <w:t>Audit Committee</w:t>
            </w:r>
          </w:p>
        </w:tc>
        <w:tc>
          <w:tcPr>
            <w:tcW w:w="1300" w:type="dxa"/>
            <w:vAlign w:val="bottom"/>
          </w:tcPr>
          <w:p>
            <w:pPr>
              <w:spacing w:after="0"/>
              <w:rPr>
                <w:sz w:val="16"/>
                <w:szCs w:val="16"/>
                <w:color w:val="auto"/>
              </w:rPr>
            </w:pPr>
          </w:p>
        </w:tc>
        <w:tc>
          <w:tcPr>
            <w:tcW w:w="2720" w:type="dxa"/>
            <w:vAlign w:val="bottom"/>
          </w:tcPr>
          <w:p>
            <w:pPr>
              <w:ind w:left="440"/>
              <w:spacing w:after="0"/>
              <w:rPr>
                <w:sz w:val="20"/>
                <w:szCs w:val="20"/>
                <w:color w:val="auto"/>
              </w:rPr>
            </w:pPr>
            <w:r>
              <w:rPr>
                <w:rFonts w:ascii="Arial" w:cs="Arial" w:eastAsia="Arial" w:hAnsi="Arial"/>
                <w:sz w:val="16"/>
                <w:szCs w:val="16"/>
                <w:b w:val="1"/>
                <w:bCs w:val="1"/>
                <w:color w:val="auto"/>
              </w:rPr>
              <w:t>Compensation and Talent</w:t>
            </w:r>
          </w:p>
        </w:tc>
        <w:tc>
          <w:tcPr>
            <w:tcW w:w="920" w:type="dxa"/>
            <w:vAlign w:val="bottom"/>
          </w:tcPr>
          <w:p>
            <w:pPr>
              <w:spacing w:after="0"/>
              <w:rPr>
                <w:sz w:val="16"/>
                <w:szCs w:val="16"/>
                <w:color w:val="auto"/>
              </w:rPr>
            </w:pPr>
          </w:p>
        </w:tc>
        <w:tc>
          <w:tcPr>
            <w:tcW w:w="2420" w:type="dxa"/>
            <w:vAlign w:val="bottom"/>
          </w:tcPr>
          <w:p>
            <w:pPr>
              <w:ind w:left="400"/>
              <w:spacing w:after="0"/>
              <w:rPr>
                <w:sz w:val="20"/>
                <w:szCs w:val="20"/>
                <w:color w:val="auto"/>
              </w:rPr>
            </w:pPr>
            <w:r>
              <w:rPr>
                <w:rFonts w:ascii="Arial" w:cs="Arial" w:eastAsia="Arial" w:hAnsi="Arial"/>
                <w:sz w:val="16"/>
                <w:szCs w:val="16"/>
                <w:b w:val="1"/>
                <w:bCs w:val="1"/>
                <w:color w:val="auto"/>
                <w:w w:val="96"/>
              </w:rPr>
              <w:t>Corporate Governance and</w:t>
            </w:r>
          </w:p>
        </w:tc>
        <w:tc>
          <w:tcPr>
            <w:tcW w:w="0" w:type="dxa"/>
            <w:vAlign w:val="bottom"/>
          </w:tcPr>
          <w:p>
            <w:pPr>
              <w:spacing w:after="0"/>
              <w:rPr>
                <w:sz w:val="1"/>
                <w:szCs w:val="1"/>
                <w:color w:val="auto"/>
              </w:rPr>
            </w:pPr>
          </w:p>
        </w:tc>
      </w:tr>
      <w:tr>
        <w:trPr>
          <w:trHeight w:val="184"/>
        </w:trPr>
        <w:tc>
          <w:tcPr>
            <w:tcW w:w="1980" w:type="dxa"/>
            <w:vAlign w:val="bottom"/>
          </w:tcPr>
          <w:p>
            <w:pPr>
              <w:spacing w:after="0"/>
              <w:rPr>
                <w:sz w:val="20"/>
                <w:szCs w:val="20"/>
                <w:color w:val="auto"/>
              </w:rPr>
            </w:pPr>
            <w:r>
              <w:rPr>
                <w:rFonts w:ascii="Arial" w:cs="Arial" w:eastAsia="Arial" w:hAnsi="Arial"/>
                <w:sz w:val="16"/>
                <w:szCs w:val="16"/>
                <w:color w:val="auto"/>
              </w:rPr>
              <w:t>All Independent</w:t>
            </w:r>
          </w:p>
        </w:tc>
        <w:tc>
          <w:tcPr>
            <w:tcW w:w="1300" w:type="dxa"/>
            <w:vAlign w:val="bottom"/>
            <w:vMerge w:val="restart"/>
          </w:tcPr>
          <w:p>
            <w:pPr>
              <w:ind w:left="740"/>
              <w:spacing w:after="0"/>
              <w:rPr>
                <w:sz w:val="20"/>
                <w:szCs w:val="20"/>
                <w:color w:val="auto"/>
              </w:rPr>
            </w:pPr>
            <w:r>
              <w:rPr>
                <w:rFonts w:ascii="Arial" w:cs="Arial" w:eastAsia="Arial" w:hAnsi="Arial"/>
                <w:sz w:val="16"/>
                <w:szCs w:val="16"/>
                <w:color w:val="auto"/>
              </w:rPr>
              <w:t xml:space="preserve">   </w:t>
            </w:r>
          </w:p>
        </w:tc>
        <w:tc>
          <w:tcPr>
            <w:tcW w:w="2720" w:type="dxa"/>
            <w:vAlign w:val="bottom"/>
          </w:tcPr>
          <w:p>
            <w:pPr>
              <w:ind w:left="440"/>
              <w:spacing w:after="0"/>
              <w:rPr>
                <w:sz w:val="20"/>
                <w:szCs w:val="20"/>
                <w:color w:val="auto"/>
              </w:rPr>
            </w:pPr>
            <w:r>
              <w:rPr>
                <w:rFonts w:ascii="Arial" w:cs="Arial" w:eastAsia="Arial" w:hAnsi="Arial"/>
                <w:sz w:val="16"/>
                <w:szCs w:val="16"/>
                <w:b w:val="1"/>
                <w:bCs w:val="1"/>
                <w:color w:val="auto"/>
              </w:rPr>
              <w:t>Management Committee</w:t>
            </w:r>
          </w:p>
        </w:tc>
        <w:tc>
          <w:tcPr>
            <w:tcW w:w="920" w:type="dxa"/>
            <w:vAlign w:val="bottom"/>
            <w:vMerge w:val="restart"/>
          </w:tcPr>
          <w:p>
            <w:pPr>
              <w:ind w:left="400"/>
              <w:spacing w:after="0"/>
              <w:rPr>
                <w:sz w:val="20"/>
                <w:szCs w:val="20"/>
                <w:color w:val="auto"/>
              </w:rPr>
            </w:pPr>
            <w:r>
              <w:rPr>
                <w:rFonts w:ascii="Arial" w:cs="Arial" w:eastAsia="Arial" w:hAnsi="Arial"/>
                <w:sz w:val="16"/>
                <w:szCs w:val="16"/>
                <w:color w:val="auto"/>
              </w:rPr>
              <w:t xml:space="preserve">   </w:t>
            </w:r>
          </w:p>
        </w:tc>
        <w:tc>
          <w:tcPr>
            <w:tcW w:w="2420" w:type="dxa"/>
            <w:vAlign w:val="bottom"/>
          </w:tcPr>
          <w:p>
            <w:pPr>
              <w:ind w:left="400"/>
              <w:spacing w:after="0"/>
              <w:rPr>
                <w:sz w:val="20"/>
                <w:szCs w:val="20"/>
                <w:color w:val="auto"/>
              </w:rPr>
            </w:pPr>
            <w:r>
              <w:rPr>
                <w:rFonts w:ascii="Arial" w:cs="Arial" w:eastAsia="Arial" w:hAnsi="Arial"/>
                <w:sz w:val="16"/>
                <w:szCs w:val="16"/>
                <w:b w:val="1"/>
                <w:bCs w:val="1"/>
                <w:color w:val="auto"/>
              </w:rPr>
              <w:t>Nominating Committee</w:t>
            </w:r>
          </w:p>
        </w:tc>
        <w:tc>
          <w:tcPr>
            <w:tcW w:w="0" w:type="dxa"/>
            <w:vAlign w:val="bottom"/>
          </w:tcPr>
          <w:p>
            <w:pPr>
              <w:spacing w:after="0"/>
              <w:rPr>
                <w:sz w:val="1"/>
                <w:szCs w:val="1"/>
                <w:color w:val="auto"/>
              </w:rPr>
            </w:pPr>
          </w:p>
        </w:tc>
      </w:tr>
      <w:tr>
        <w:trPr>
          <w:trHeight w:val="114"/>
        </w:trPr>
        <w:tc>
          <w:tcPr>
            <w:tcW w:w="19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2720" w:type="dxa"/>
            <w:vAlign w:val="bottom"/>
            <w:vMerge w:val="restart"/>
          </w:tcPr>
          <w:p>
            <w:pPr>
              <w:ind w:left="440"/>
              <w:spacing w:after="0"/>
              <w:rPr>
                <w:sz w:val="20"/>
                <w:szCs w:val="20"/>
                <w:color w:val="auto"/>
              </w:rPr>
            </w:pPr>
            <w:r>
              <w:rPr>
                <w:rFonts w:ascii="Arial" w:cs="Arial" w:eastAsia="Arial" w:hAnsi="Arial"/>
                <w:sz w:val="16"/>
                <w:szCs w:val="16"/>
                <w:color w:val="auto"/>
              </w:rPr>
              <w:t>All Independent</w:t>
            </w:r>
          </w:p>
        </w:tc>
        <w:tc>
          <w:tcPr>
            <w:tcW w:w="92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Arial" w:cs="Arial" w:eastAsia="Arial" w:hAnsi="Arial"/>
                <w:sz w:val="16"/>
                <w:szCs w:val="16"/>
                <w:color w:val="auto"/>
              </w:rPr>
              <w:t>All Independent</w:t>
            </w:r>
          </w:p>
        </w:tc>
        <w:tc>
          <w:tcPr>
            <w:tcW w:w="0" w:type="dxa"/>
            <w:vAlign w:val="bottom"/>
          </w:tcPr>
          <w:p>
            <w:pPr>
              <w:spacing w:after="0"/>
              <w:rPr>
                <w:sz w:val="1"/>
                <w:szCs w:val="1"/>
                <w:color w:val="auto"/>
              </w:rPr>
            </w:pPr>
          </w:p>
        </w:tc>
      </w:tr>
      <w:tr>
        <w:trPr>
          <w:trHeight w:val="91"/>
        </w:trPr>
        <w:tc>
          <w:tcPr>
            <w:tcW w:w="19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72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24 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580"/>
          </w:cols>
          <w:pgMar w:left="640" w:top="296" w:right="679" w:bottom="1440" w:gutter="0" w:footer="0" w:header="0"/>
        </w:sectPr>
      </w:pPr>
    </w:p>
    <w:bookmarkStart w:id="26" w:name="page27"/>
    <w:bookmarkEnd w:id="26"/>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0A9E50"/>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67405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60" w:type="dxa"/>
            <w:vAlign w:val="bottom"/>
          </w:tcPr>
          <w:p>
            <w:pPr>
              <w:spacing w:after="0"/>
              <w:rPr>
                <w:sz w:val="20"/>
                <w:szCs w:val="20"/>
                <w:color w:val="auto"/>
              </w:rPr>
            </w:pPr>
            <w:r>
              <w:rPr>
                <w:rFonts w:ascii="Arial" w:cs="Arial" w:eastAsia="Arial" w:hAnsi="Arial"/>
                <w:sz w:val="16"/>
                <w:szCs w:val="16"/>
                <w:b w:val="1"/>
                <w:bCs w:val="1"/>
                <w:color w:val="auto"/>
              </w:rPr>
              <w:t>Key Responsibilities: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200" w:type="dxa"/>
            <w:vAlign w:val="bottom"/>
            <w:shd w:val="clear" w:color="auto" w:fill="EDEDED"/>
          </w:tcPr>
          <w:p>
            <w:pPr>
              <w:spacing w:after="0"/>
              <w:rPr>
                <w:sz w:val="20"/>
                <w:szCs w:val="20"/>
                <w:color w:val="auto"/>
              </w:rPr>
            </w:pPr>
          </w:p>
        </w:tc>
        <w:tc>
          <w:tcPr>
            <w:tcW w:w="1740" w:type="dxa"/>
            <w:vAlign w:val="bottom"/>
            <w:shd w:val="clear" w:color="auto" w:fill="EDEDED"/>
          </w:tcPr>
          <w:p>
            <w:pPr>
              <w:spacing w:after="0"/>
              <w:rPr>
                <w:sz w:val="20"/>
                <w:szCs w:val="20"/>
                <w:color w:val="auto"/>
              </w:rPr>
            </w:pPr>
          </w:p>
        </w:tc>
        <w:tc>
          <w:tcPr>
            <w:tcW w:w="340" w:type="dxa"/>
            <w:vAlign w:val="bottom"/>
            <w:shd w:val="clear" w:color="auto" w:fill="EDEDED"/>
          </w:tcPr>
          <w:p>
            <w:pPr>
              <w:spacing w:after="0"/>
              <w:rPr>
                <w:sz w:val="20"/>
                <w:szCs w:val="20"/>
                <w:color w:val="auto"/>
              </w:rPr>
            </w:pPr>
          </w:p>
        </w:tc>
        <w:tc>
          <w:tcPr>
            <w:tcW w:w="20" w:type="dxa"/>
            <w:vAlign w:val="bottom"/>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38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Oversees and reports to the Board with respect to the quality, integrity, and effectiveness of the</w:t>
            </w:r>
          </w:p>
        </w:tc>
        <w:tc>
          <w:tcPr>
            <w:tcW w:w="160" w:type="dxa"/>
            <w:vAlign w:val="bottom"/>
            <w:vMerge w:val="restart"/>
          </w:tcPr>
          <w:p>
            <w:pPr>
              <w:ind w:left="60"/>
              <w:spacing w:after="0"/>
              <w:rPr>
                <w:sz w:val="20"/>
                <w:szCs w:val="20"/>
                <w:color w:val="auto"/>
              </w:rPr>
            </w:pPr>
            <w:r>
              <w:rPr>
                <w:rFonts w:ascii="Arial" w:cs="Arial" w:eastAsia="Arial" w:hAnsi="Arial"/>
                <w:sz w:val="11"/>
                <w:szCs w:val="11"/>
                <w:color w:val="auto"/>
                <w:w w:val="72"/>
              </w:rPr>
              <w:t> </w:t>
            </w:r>
          </w:p>
        </w:tc>
        <w:tc>
          <w:tcPr>
            <w:tcW w:w="240" w:type="dxa"/>
            <w:vAlign w:val="bottom"/>
            <w:vMerge w:val="restart"/>
          </w:tcPr>
          <w:p>
            <w:pPr>
              <w:ind w:left="60"/>
              <w:spacing w:after="0"/>
              <w:rPr>
                <w:sz w:val="20"/>
                <w:szCs w:val="20"/>
                <w:color w:val="auto"/>
              </w:rPr>
            </w:pPr>
            <w:r>
              <w:rPr>
                <w:rFonts w:ascii="Arial" w:cs="Arial" w:eastAsia="Arial" w:hAnsi="Arial"/>
                <w:sz w:val="16"/>
                <w:szCs w:val="16"/>
                <w:color w:val="auto"/>
                <w:w w:val="99"/>
              </w:rPr>
              <w:t> </w:t>
            </w:r>
          </w:p>
        </w:tc>
        <w:tc>
          <w:tcPr>
            <w:tcW w:w="100" w:type="dxa"/>
            <w:vAlign w:val="bottom"/>
            <w:shd w:val="clear" w:color="auto" w:fill="EDEDED"/>
          </w:tcPr>
          <w:p>
            <w:pPr>
              <w:spacing w:after="0"/>
              <w:rPr>
                <w:sz w:val="16"/>
                <w:szCs w:val="16"/>
                <w:color w:val="auto"/>
              </w:rPr>
            </w:pPr>
          </w:p>
        </w:tc>
        <w:tc>
          <w:tcPr>
            <w:tcW w:w="200" w:type="dxa"/>
            <w:vAlign w:val="bottom"/>
            <w:vMerge w:val="restart"/>
            <w:shd w:val="clear" w:color="auto" w:fill="EDEDED"/>
          </w:tcPr>
          <w:p>
            <w:pPr>
              <w:spacing w:after="0"/>
              <w:rPr>
                <w:sz w:val="20"/>
                <w:szCs w:val="20"/>
                <w:color w:val="auto"/>
              </w:rPr>
            </w:pPr>
            <w:r>
              <w:rPr>
                <w:rFonts w:ascii="Arial" w:cs="Arial" w:eastAsia="Arial" w:hAnsi="Arial"/>
                <w:sz w:val="16"/>
                <w:szCs w:val="16"/>
                <w:color w:val="auto"/>
              </w:rPr>
              <w:t> </w:t>
            </w:r>
          </w:p>
        </w:tc>
        <w:tc>
          <w:tcPr>
            <w:tcW w:w="2080" w:type="dxa"/>
            <w:vAlign w:val="bottom"/>
            <w:gridSpan w:val="2"/>
            <w:vMerge w:val="restart"/>
            <w:shd w:val="clear" w:color="auto" w:fill="EDEDED"/>
          </w:tcPr>
          <w:p>
            <w:pPr>
              <w:ind w:left="120"/>
              <w:spacing w:after="0"/>
              <w:rPr>
                <w:sz w:val="20"/>
                <w:szCs w:val="20"/>
                <w:color w:val="auto"/>
              </w:rPr>
            </w:pPr>
            <w:r>
              <w:rPr>
                <w:rFonts w:ascii="Arial" w:cs="Arial" w:eastAsia="Arial" w:hAnsi="Arial"/>
                <w:sz w:val="16"/>
                <w:szCs w:val="16"/>
                <w:b w:val="1"/>
                <w:bCs w:val="1"/>
                <w:color w:val="auto"/>
                <w:w w:val="96"/>
              </w:rPr>
              <w:t xml:space="preserve">Members: </w:t>
            </w:r>
            <w:r>
              <w:rPr>
                <w:rFonts w:ascii="Arial" w:cs="Arial" w:eastAsia="Arial" w:hAnsi="Arial"/>
                <w:sz w:val="16"/>
                <w:szCs w:val="16"/>
                <w:b w:val="1"/>
                <w:bCs w:val="1"/>
                <w:color w:val="0A9E50"/>
                <w:w w:val="96"/>
              </w:rPr>
              <w:t>All Independent</w:t>
            </w:r>
          </w:p>
        </w:tc>
        <w:tc>
          <w:tcPr>
            <w:tcW w:w="20" w:type="dxa"/>
            <w:vAlign w:val="bottom"/>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380" w:type="dxa"/>
            <w:vAlign w:val="bottom"/>
            <w:vMerge w:val="restart"/>
            <w:shd w:val="clear" w:color="auto" w:fill="EDEDED"/>
          </w:tcPr>
          <w:p>
            <w:pPr>
              <w:jc w:val="center"/>
              <w:spacing w:after="0"/>
              <w:rPr>
                <w:sz w:val="20"/>
                <w:szCs w:val="20"/>
                <w:color w:val="auto"/>
              </w:rPr>
            </w:pPr>
            <w:r>
              <w:rPr>
                <w:rFonts w:ascii="Arial" w:cs="Arial" w:eastAsia="Arial" w:hAnsi="Arial"/>
                <w:sz w:val="4"/>
                <w:szCs w:val="4"/>
                <w:color w:val="auto"/>
                <w:w w:val="98"/>
              </w:rPr>
              <w:t> </w:t>
            </w:r>
          </w:p>
        </w:tc>
        <w:tc>
          <w:tcPr>
            <w:tcW w:w="0" w:type="dxa"/>
            <w:vAlign w:val="bottom"/>
          </w:tcPr>
          <w:p>
            <w:pPr>
              <w:spacing w:after="0"/>
              <w:rPr>
                <w:sz w:val="1"/>
                <w:szCs w:val="1"/>
                <w:color w:val="auto"/>
              </w:rPr>
            </w:pPr>
          </w:p>
        </w:tc>
      </w:tr>
      <w:tr>
        <w:trPr>
          <w:trHeight w:val="135"/>
        </w:trPr>
        <w:tc>
          <w:tcPr>
            <w:tcW w:w="7160" w:type="dxa"/>
            <w:vAlign w:val="bottom"/>
            <w:vMerge w:val="restart"/>
          </w:tcPr>
          <w:p>
            <w:pPr>
              <w:ind w:left="160"/>
              <w:spacing w:after="0" w:line="182" w:lineRule="exact"/>
              <w:rPr>
                <w:sz w:val="20"/>
                <w:szCs w:val="20"/>
                <w:color w:val="auto"/>
              </w:rPr>
            </w:pPr>
            <w:r>
              <w:rPr>
                <w:rFonts w:ascii="Arial" w:cs="Arial" w:eastAsia="Arial" w:hAnsi="Arial"/>
                <w:sz w:val="16"/>
                <w:szCs w:val="16"/>
                <w:color w:val="auto"/>
              </w:rPr>
              <w:t>Company’s financial statements, accounting, and financial reporting processes, and audits of the</w:t>
            </w:r>
          </w:p>
        </w:tc>
        <w:tc>
          <w:tcPr>
            <w:tcW w:w="1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00" w:type="dxa"/>
            <w:vAlign w:val="bottom"/>
            <w:shd w:val="clear" w:color="auto" w:fill="EDEDED"/>
          </w:tcPr>
          <w:p>
            <w:pPr>
              <w:spacing w:after="0"/>
              <w:rPr>
                <w:sz w:val="11"/>
                <w:szCs w:val="11"/>
                <w:color w:val="auto"/>
              </w:rPr>
            </w:pPr>
          </w:p>
        </w:tc>
        <w:tc>
          <w:tcPr>
            <w:tcW w:w="200" w:type="dxa"/>
            <w:vAlign w:val="bottom"/>
            <w:vMerge w:val="continue"/>
            <w:shd w:val="clear" w:color="auto" w:fill="EDEDED"/>
          </w:tcPr>
          <w:p>
            <w:pPr>
              <w:spacing w:after="0"/>
              <w:rPr>
                <w:sz w:val="11"/>
                <w:szCs w:val="11"/>
                <w:color w:val="auto"/>
              </w:rPr>
            </w:pPr>
          </w:p>
        </w:tc>
        <w:tc>
          <w:tcPr>
            <w:tcW w:w="2080" w:type="dxa"/>
            <w:vAlign w:val="bottom"/>
            <w:gridSpan w:val="2"/>
            <w:vMerge w:val="continue"/>
            <w:shd w:val="clear" w:color="auto" w:fill="EDEDED"/>
          </w:tcPr>
          <w:p>
            <w:pPr>
              <w:spacing w:after="0"/>
              <w:rPr>
                <w:sz w:val="11"/>
                <w:szCs w:val="11"/>
                <w:color w:val="auto"/>
              </w:rPr>
            </w:pPr>
          </w:p>
        </w:tc>
        <w:tc>
          <w:tcPr>
            <w:tcW w:w="20" w:type="dxa"/>
            <w:vAlign w:val="bottom"/>
            <w:shd w:val="clear" w:color="auto" w:fill="EDEDED"/>
          </w:tcPr>
          <w:p>
            <w:pPr>
              <w:spacing w:after="0"/>
              <w:rPr>
                <w:sz w:val="11"/>
                <w:szCs w:val="11"/>
                <w:color w:val="auto"/>
              </w:rPr>
            </w:pPr>
          </w:p>
        </w:tc>
        <w:tc>
          <w:tcPr>
            <w:tcW w:w="280" w:type="dxa"/>
            <w:vAlign w:val="bottom"/>
            <w:shd w:val="clear" w:color="auto" w:fill="EDEDED"/>
          </w:tcPr>
          <w:p>
            <w:pPr>
              <w:spacing w:after="0"/>
              <w:rPr>
                <w:sz w:val="11"/>
                <w:szCs w:val="11"/>
                <w:color w:val="auto"/>
              </w:rPr>
            </w:pPr>
          </w:p>
        </w:tc>
        <w:tc>
          <w:tcPr>
            <w:tcW w:w="38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71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shd w:val="clear" w:color="auto" w:fill="EDEDED"/>
          </w:tcPr>
          <w:p>
            <w:pPr>
              <w:spacing w:after="0"/>
              <w:rPr>
                <w:sz w:val="4"/>
                <w:szCs w:val="4"/>
                <w:color w:val="auto"/>
              </w:rPr>
            </w:pPr>
          </w:p>
        </w:tc>
        <w:tc>
          <w:tcPr>
            <w:tcW w:w="200" w:type="dxa"/>
            <w:vAlign w:val="bottom"/>
            <w:shd w:val="clear" w:color="auto" w:fill="EDEDED"/>
          </w:tcPr>
          <w:p>
            <w:pPr>
              <w:spacing w:after="0"/>
              <w:rPr>
                <w:sz w:val="4"/>
                <w:szCs w:val="4"/>
                <w:color w:val="auto"/>
              </w:rPr>
            </w:pPr>
          </w:p>
        </w:tc>
        <w:tc>
          <w:tcPr>
            <w:tcW w:w="1740" w:type="dxa"/>
            <w:vAlign w:val="bottom"/>
            <w:shd w:val="clear" w:color="auto" w:fill="EDEDED"/>
          </w:tcPr>
          <w:p>
            <w:pPr>
              <w:spacing w:after="0"/>
              <w:rPr>
                <w:sz w:val="4"/>
                <w:szCs w:val="4"/>
                <w:color w:val="auto"/>
              </w:rPr>
            </w:pPr>
          </w:p>
        </w:tc>
        <w:tc>
          <w:tcPr>
            <w:tcW w:w="340" w:type="dxa"/>
            <w:vAlign w:val="bottom"/>
            <w:shd w:val="clear" w:color="auto" w:fill="EDEDED"/>
          </w:tcPr>
          <w:p>
            <w:pPr>
              <w:spacing w:after="0"/>
              <w:rPr>
                <w:sz w:val="4"/>
                <w:szCs w:val="4"/>
                <w:color w:val="auto"/>
              </w:rPr>
            </w:pPr>
          </w:p>
        </w:tc>
        <w:tc>
          <w:tcPr>
            <w:tcW w:w="20" w:type="dxa"/>
            <w:vAlign w:val="bottom"/>
            <w:shd w:val="clear" w:color="auto" w:fill="EDEDED"/>
          </w:tcPr>
          <w:p>
            <w:pPr>
              <w:spacing w:after="0"/>
              <w:rPr>
                <w:sz w:val="4"/>
                <w:szCs w:val="4"/>
                <w:color w:val="auto"/>
              </w:rPr>
            </w:pPr>
          </w:p>
        </w:tc>
        <w:tc>
          <w:tcPr>
            <w:tcW w:w="280" w:type="dxa"/>
            <w:vAlign w:val="bottom"/>
            <w:shd w:val="clear" w:color="auto" w:fill="EDEDED"/>
          </w:tcPr>
          <w:p>
            <w:pPr>
              <w:spacing w:after="0"/>
              <w:rPr>
                <w:sz w:val="4"/>
                <w:szCs w:val="4"/>
                <w:color w:val="auto"/>
              </w:rPr>
            </w:pPr>
          </w:p>
        </w:tc>
        <w:tc>
          <w:tcPr>
            <w:tcW w:w="380" w:type="dxa"/>
            <w:vAlign w:val="bottom"/>
            <w:shd w:val="clear" w:color="auto" w:fill="EDEDED"/>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160" w:type="dxa"/>
            <w:vAlign w:val="bottom"/>
          </w:tcPr>
          <w:p>
            <w:pPr>
              <w:ind w:left="160"/>
              <w:spacing w:after="0" w:line="182" w:lineRule="exact"/>
              <w:rPr>
                <w:sz w:val="20"/>
                <w:szCs w:val="20"/>
                <w:color w:val="auto"/>
              </w:rPr>
            </w:pPr>
            <w:r>
              <w:rPr>
                <w:rFonts w:ascii="Arial" w:cs="Arial" w:eastAsia="Arial" w:hAnsi="Arial"/>
                <w:sz w:val="16"/>
                <w:szCs w:val="16"/>
                <w:color w:val="auto"/>
              </w:rPr>
              <w:t>financial statements and internal controls over financial reporting</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174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Leslie A. Murphy</w:t>
            </w:r>
          </w:p>
        </w:tc>
        <w:tc>
          <w:tcPr>
            <w:tcW w:w="340" w:type="dxa"/>
            <w:vAlign w:val="bottom"/>
            <w:shd w:val="clear" w:color="auto" w:fill="EDEDED"/>
          </w:tcPr>
          <w:p>
            <w:pPr>
              <w:spacing w:after="0"/>
              <w:rPr>
                <w:sz w:val="15"/>
                <w:szCs w:val="15"/>
                <w:color w:val="auto"/>
              </w:rPr>
            </w:pPr>
          </w:p>
        </w:tc>
        <w:tc>
          <w:tcPr>
            <w:tcW w:w="2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38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160" w:type="dxa"/>
            <w:vAlign w:val="bottom"/>
            <w:vMerge w:val="restart"/>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Appoints, compensates, and evaluates the qualifications, independence, and performance of the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1740" w:type="dxa"/>
            <w:vAlign w:val="bottom"/>
            <w:shd w:val="clear" w:color="auto" w:fill="EDEDED"/>
          </w:tcPr>
          <w:p>
            <w:pPr>
              <w:ind w:left="260"/>
              <w:spacing w:after="0"/>
              <w:rPr>
                <w:sz w:val="20"/>
                <w:szCs w:val="20"/>
                <w:color w:val="auto"/>
              </w:rPr>
            </w:pPr>
            <w:r>
              <w:rPr>
                <w:rFonts w:ascii="Arial" w:cs="Arial" w:eastAsia="Arial" w:hAnsi="Arial"/>
                <w:sz w:val="16"/>
                <w:szCs w:val="16"/>
                <w:color w:val="auto"/>
              </w:rPr>
              <w:t>(Chair)</w:t>
            </w:r>
          </w:p>
        </w:tc>
        <w:tc>
          <w:tcPr>
            <w:tcW w:w="340" w:type="dxa"/>
            <w:vAlign w:val="bottom"/>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280" w:type="dxa"/>
            <w:vAlign w:val="bottom"/>
            <w:shd w:val="clear" w:color="auto" w:fill="EDEDED"/>
          </w:tcPr>
          <w:p>
            <w:pPr>
              <w:spacing w:after="0"/>
              <w:rPr>
                <w:sz w:val="17"/>
                <w:szCs w:val="17"/>
                <w:color w:val="auto"/>
              </w:rPr>
            </w:pPr>
          </w:p>
        </w:tc>
        <w:tc>
          <w:tcPr>
            <w:tcW w:w="3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71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shd w:val="clear" w:color="auto" w:fill="EDEDED"/>
          </w:tcPr>
          <w:p>
            <w:pPr>
              <w:spacing w:after="0"/>
              <w:rPr>
                <w:sz w:val="4"/>
                <w:szCs w:val="4"/>
                <w:color w:val="auto"/>
              </w:rPr>
            </w:pPr>
          </w:p>
        </w:tc>
        <w:tc>
          <w:tcPr>
            <w:tcW w:w="200" w:type="dxa"/>
            <w:vAlign w:val="bottom"/>
            <w:shd w:val="clear" w:color="auto" w:fill="EDEDED"/>
          </w:tcPr>
          <w:p>
            <w:pPr>
              <w:spacing w:after="0"/>
              <w:rPr>
                <w:sz w:val="4"/>
                <w:szCs w:val="4"/>
                <w:color w:val="auto"/>
              </w:rPr>
            </w:pPr>
          </w:p>
        </w:tc>
        <w:tc>
          <w:tcPr>
            <w:tcW w:w="1740" w:type="dxa"/>
            <w:vAlign w:val="bottom"/>
            <w:shd w:val="clear" w:color="auto" w:fill="EDEDED"/>
          </w:tcPr>
          <w:p>
            <w:pPr>
              <w:spacing w:after="0"/>
              <w:rPr>
                <w:sz w:val="4"/>
                <w:szCs w:val="4"/>
                <w:color w:val="auto"/>
              </w:rPr>
            </w:pPr>
          </w:p>
        </w:tc>
        <w:tc>
          <w:tcPr>
            <w:tcW w:w="340" w:type="dxa"/>
            <w:vAlign w:val="bottom"/>
            <w:shd w:val="clear" w:color="auto" w:fill="EDEDED"/>
          </w:tcPr>
          <w:p>
            <w:pPr>
              <w:spacing w:after="0"/>
              <w:rPr>
                <w:sz w:val="4"/>
                <w:szCs w:val="4"/>
                <w:color w:val="auto"/>
              </w:rPr>
            </w:pPr>
          </w:p>
        </w:tc>
        <w:tc>
          <w:tcPr>
            <w:tcW w:w="20" w:type="dxa"/>
            <w:vAlign w:val="bottom"/>
            <w:shd w:val="clear" w:color="auto" w:fill="EDEDED"/>
          </w:tcPr>
          <w:p>
            <w:pPr>
              <w:spacing w:after="0"/>
              <w:rPr>
                <w:sz w:val="4"/>
                <w:szCs w:val="4"/>
                <w:color w:val="auto"/>
              </w:rPr>
            </w:pPr>
          </w:p>
        </w:tc>
        <w:tc>
          <w:tcPr>
            <w:tcW w:w="280" w:type="dxa"/>
            <w:vAlign w:val="bottom"/>
            <w:shd w:val="clear" w:color="auto" w:fill="EDEDED"/>
          </w:tcPr>
          <w:p>
            <w:pPr>
              <w:spacing w:after="0"/>
              <w:rPr>
                <w:sz w:val="4"/>
                <w:szCs w:val="4"/>
                <w:color w:val="auto"/>
              </w:rPr>
            </w:pPr>
          </w:p>
        </w:tc>
        <w:tc>
          <w:tcPr>
            <w:tcW w:w="380" w:type="dxa"/>
            <w:vAlign w:val="bottom"/>
            <w:shd w:val="clear" w:color="auto" w:fill="EDEDED"/>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7160" w:type="dxa"/>
            <w:vAlign w:val="bottom"/>
          </w:tcPr>
          <w:p>
            <w:pPr>
              <w:ind w:left="160"/>
              <w:spacing w:after="0"/>
              <w:rPr>
                <w:sz w:val="20"/>
                <w:szCs w:val="20"/>
                <w:color w:val="auto"/>
              </w:rPr>
            </w:pPr>
            <w:r>
              <w:rPr>
                <w:rFonts w:ascii="Arial" w:cs="Arial" w:eastAsia="Arial" w:hAnsi="Arial"/>
                <w:sz w:val="16"/>
                <w:szCs w:val="16"/>
                <w:color w:val="auto"/>
              </w:rPr>
              <w:t>independent auditor</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174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Gerald S. Adolph</w:t>
            </w:r>
          </w:p>
        </w:tc>
        <w:tc>
          <w:tcPr>
            <w:tcW w:w="340" w:type="dxa"/>
            <w:vAlign w:val="bottom"/>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280" w:type="dxa"/>
            <w:vAlign w:val="bottom"/>
            <w:shd w:val="clear" w:color="auto" w:fill="EDEDED"/>
          </w:tcPr>
          <w:p>
            <w:pPr>
              <w:spacing w:after="0"/>
              <w:rPr>
                <w:sz w:val="17"/>
                <w:szCs w:val="17"/>
                <w:color w:val="auto"/>
              </w:rPr>
            </w:pPr>
          </w:p>
        </w:tc>
        <w:tc>
          <w:tcPr>
            <w:tcW w:w="3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Oversees the performance of the internal audit function, including the Chief Audit Executive (“CAE”)</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74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Robert S. Cubbin</w:t>
            </w:r>
          </w:p>
        </w:tc>
        <w:tc>
          <w:tcPr>
            <w:tcW w:w="3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280" w:type="dxa"/>
            <w:vAlign w:val="bottom"/>
            <w:shd w:val="clear" w:color="auto" w:fill="EDEDED"/>
          </w:tcPr>
          <w:p>
            <w:pPr>
              <w:spacing w:after="0"/>
              <w:rPr>
                <w:sz w:val="22"/>
                <w:szCs w:val="22"/>
                <w:color w:val="auto"/>
              </w:rPr>
            </w:pPr>
          </w:p>
        </w:tc>
        <w:tc>
          <w:tcPr>
            <w:tcW w:w="380" w:type="dxa"/>
            <w:vAlign w:val="bottom"/>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Oversees the Company’s Enterprise Risk Management Program</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74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Amala Duggirala</w:t>
            </w:r>
          </w:p>
        </w:tc>
        <w:tc>
          <w:tcPr>
            <w:tcW w:w="3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280" w:type="dxa"/>
            <w:vAlign w:val="bottom"/>
            <w:shd w:val="clear" w:color="auto" w:fill="EDEDED"/>
          </w:tcPr>
          <w:p>
            <w:pPr>
              <w:spacing w:after="0"/>
              <w:rPr>
                <w:sz w:val="22"/>
                <w:szCs w:val="22"/>
                <w:color w:val="auto"/>
              </w:rPr>
            </w:pPr>
          </w:p>
        </w:tc>
        <w:tc>
          <w:tcPr>
            <w:tcW w:w="380" w:type="dxa"/>
            <w:vAlign w:val="bottom"/>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and discusses with management the Company’s major financial, security, and cybersecurity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200" w:type="dxa"/>
            <w:vAlign w:val="bottom"/>
            <w:shd w:val="clear" w:color="auto" w:fill="EDEDED"/>
          </w:tcPr>
          <w:p>
            <w:pPr>
              <w:spacing w:after="0"/>
              <w:rPr>
                <w:sz w:val="20"/>
                <w:szCs w:val="20"/>
                <w:color w:val="auto"/>
              </w:rPr>
            </w:pPr>
          </w:p>
        </w:tc>
        <w:tc>
          <w:tcPr>
            <w:tcW w:w="1740" w:type="dxa"/>
            <w:vAlign w:val="bottom"/>
            <w:vMerge w:val="restart"/>
            <w:shd w:val="clear" w:color="auto" w:fill="EDEDED"/>
          </w:tcPr>
          <w:p>
            <w:pPr>
              <w:ind w:left="120"/>
              <w:spacing w:after="0"/>
              <w:rPr>
                <w:sz w:val="20"/>
                <w:szCs w:val="20"/>
                <w:color w:val="auto"/>
              </w:rPr>
            </w:pPr>
            <w:r>
              <w:rPr>
                <w:rFonts w:ascii="Arial" w:cs="Arial" w:eastAsia="Arial" w:hAnsi="Arial"/>
                <w:sz w:val="16"/>
                <w:szCs w:val="16"/>
                <w:b w:val="1"/>
                <w:bCs w:val="1"/>
                <w:color w:val="auto"/>
              </w:rPr>
              <w:t>Meetings in 2023:</w:t>
            </w:r>
          </w:p>
        </w:tc>
        <w:tc>
          <w:tcPr>
            <w:tcW w:w="340" w:type="dxa"/>
            <w:vAlign w:val="bottom"/>
            <w:shd w:val="clear" w:color="auto" w:fill="EDEDED"/>
          </w:tcPr>
          <w:p>
            <w:pPr>
              <w:spacing w:after="0"/>
              <w:rPr>
                <w:sz w:val="20"/>
                <w:szCs w:val="20"/>
                <w:color w:val="auto"/>
              </w:rPr>
            </w:pPr>
          </w:p>
        </w:tc>
        <w:tc>
          <w:tcPr>
            <w:tcW w:w="20" w:type="dxa"/>
            <w:vAlign w:val="bottom"/>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38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7160" w:type="dxa"/>
            <w:vAlign w:val="bottom"/>
          </w:tcPr>
          <w:p>
            <w:pPr>
              <w:ind w:left="160"/>
              <w:spacing w:after="0" w:line="155" w:lineRule="exact"/>
              <w:rPr>
                <w:sz w:val="20"/>
                <w:szCs w:val="20"/>
                <w:color w:val="auto"/>
              </w:rPr>
            </w:pPr>
            <w:r>
              <w:rPr>
                <w:rFonts w:ascii="Arial" w:cs="Arial" w:eastAsia="Arial" w:hAnsi="Arial"/>
                <w:sz w:val="16"/>
                <w:szCs w:val="16"/>
                <w:color w:val="auto"/>
              </w:rPr>
              <w:t>risk exposures, artificial intelligence and the steps management take to monitor and control such</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shd w:val="clear" w:color="auto" w:fill="EDEDED"/>
          </w:tcPr>
          <w:p>
            <w:pPr>
              <w:spacing w:after="0"/>
              <w:rPr>
                <w:sz w:val="13"/>
                <w:szCs w:val="13"/>
                <w:color w:val="auto"/>
              </w:rPr>
            </w:pPr>
          </w:p>
        </w:tc>
        <w:tc>
          <w:tcPr>
            <w:tcW w:w="200" w:type="dxa"/>
            <w:vAlign w:val="bottom"/>
            <w:shd w:val="clear" w:color="auto" w:fill="EDEDED"/>
          </w:tcPr>
          <w:p>
            <w:pPr>
              <w:spacing w:after="0"/>
              <w:rPr>
                <w:sz w:val="13"/>
                <w:szCs w:val="13"/>
                <w:color w:val="auto"/>
              </w:rPr>
            </w:pPr>
          </w:p>
        </w:tc>
        <w:tc>
          <w:tcPr>
            <w:tcW w:w="1740" w:type="dxa"/>
            <w:vAlign w:val="bottom"/>
            <w:vMerge w:val="continue"/>
            <w:shd w:val="clear" w:color="auto" w:fill="EDEDED"/>
          </w:tcPr>
          <w:p>
            <w:pPr>
              <w:spacing w:after="0"/>
              <w:rPr>
                <w:sz w:val="13"/>
                <w:szCs w:val="13"/>
                <w:color w:val="auto"/>
              </w:rPr>
            </w:pPr>
          </w:p>
        </w:tc>
        <w:tc>
          <w:tcPr>
            <w:tcW w:w="340" w:type="dxa"/>
            <w:vAlign w:val="bottom"/>
            <w:shd w:val="clear" w:color="auto" w:fill="EDEDED"/>
          </w:tcPr>
          <w:p>
            <w:pPr>
              <w:spacing w:after="0"/>
              <w:rPr>
                <w:sz w:val="13"/>
                <w:szCs w:val="13"/>
                <w:color w:val="auto"/>
              </w:rPr>
            </w:pPr>
          </w:p>
        </w:tc>
        <w:tc>
          <w:tcPr>
            <w:tcW w:w="20" w:type="dxa"/>
            <w:vAlign w:val="bottom"/>
            <w:shd w:val="clear" w:color="auto" w:fill="EDEDED"/>
          </w:tcPr>
          <w:p>
            <w:pPr>
              <w:spacing w:after="0"/>
              <w:rPr>
                <w:sz w:val="13"/>
                <w:szCs w:val="13"/>
                <w:color w:val="auto"/>
              </w:rPr>
            </w:pPr>
          </w:p>
        </w:tc>
        <w:tc>
          <w:tcPr>
            <w:tcW w:w="280" w:type="dxa"/>
            <w:vAlign w:val="bottom"/>
            <w:shd w:val="clear" w:color="auto" w:fill="EDEDED"/>
          </w:tcPr>
          <w:p>
            <w:pPr>
              <w:spacing w:after="0"/>
              <w:rPr>
                <w:sz w:val="13"/>
                <w:szCs w:val="13"/>
                <w:color w:val="auto"/>
              </w:rPr>
            </w:pPr>
          </w:p>
        </w:tc>
        <w:tc>
          <w:tcPr>
            <w:tcW w:w="38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160" w:type="dxa"/>
            <w:vAlign w:val="bottom"/>
            <w:vMerge w:val="restart"/>
          </w:tcPr>
          <w:p>
            <w:pPr>
              <w:ind w:left="160"/>
              <w:spacing w:after="0"/>
              <w:rPr>
                <w:sz w:val="20"/>
                <w:szCs w:val="20"/>
                <w:color w:val="auto"/>
              </w:rPr>
            </w:pPr>
            <w:r>
              <w:rPr>
                <w:rFonts w:ascii="Arial" w:cs="Arial" w:eastAsia="Arial" w:hAnsi="Arial"/>
                <w:sz w:val="16"/>
                <w:szCs w:val="16"/>
                <w:color w:val="auto"/>
              </w:rPr>
              <w:t>exposures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1740" w:type="dxa"/>
            <w:vAlign w:val="bottom"/>
            <w:shd w:val="clear" w:color="auto" w:fill="EDEDED"/>
          </w:tcPr>
          <w:p>
            <w:pPr>
              <w:ind w:left="120"/>
              <w:spacing w:after="0" w:line="183" w:lineRule="exact"/>
              <w:rPr>
                <w:sz w:val="20"/>
                <w:szCs w:val="20"/>
                <w:color w:val="auto"/>
              </w:rPr>
            </w:pPr>
            <w:r>
              <w:rPr>
                <w:rFonts w:ascii="Arial" w:cs="Arial" w:eastAsia="Arial" w:hAnsi="Arial"/>
                <w:sz w:val="21"/>
                <w:szCs w:val="21"/>
                <w:b w:val="1"/>
                <w:bCs w:val="1"/>
                <w:color w:val="0A9E50"/>
              </w:rPr>
              <w:t>4</w:t>
            </w:r>
          </w:p>
        </w:tc>
        <w:tc>
          <w:tcPr>
            <w:tcW w:w="340" w:type="dxa"/>
            <w:vAlign w:val="bottom"/>
            <w:shd w:val="clear" w:color="auto" w:fill="EDEDED"/>
          </w:tcPr>
          <w:p>
            <w:pPr>
              <w:spacing w:after="0"/>
              <w:rPr>
                <w:sz w:val="15"/>
                <w:szCs w:val="15"/>
                <w:color w:val="auto"/>
              </w:rPr>
            </w:pPr>
          </w:p>
        </w:tc>
        <w:tc>
          <w:tcPr>
            <w:tcW w:w="2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38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71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shd w:val="clear" w:color="auto" w:fill="EDEDED"/>
          </w:tcPr>
          <w:p>
            <w:pPr>
              <w:spacing w:after="0"/>
              <w:rPr>
                <w:sz w:val="4"/>
                <w:szCs w:val="4"/>
                <w:color w:val="auto"/>
              </w:rPr>
            </w:pPr>
          </w:p>
        </w:tc>
        <w:tc>
          <w:tcPr>
            <w:tcW w:w="200" w:type="dxa"/>
            <w:vAlign w:val="bottom"/>
            <w:shd w:val="clear" w:color="auto" w:fill="EDEDED"/>
          </w:tcPr>
          <w:p>
            <w:pPr>
              <w:spacing w:after="0"/>
              <w:rPr>
                <w:sz w:val="4"/>
                <w:szCs w:val="4"/>
                <w:color w:val="auto"/>
              </w:rPr>
            </w:pPr>
          </w:p>
        </w:tc>
        <w:tc>
          <w:tcPr>
            <w:tcW w:w="1740" w:type="dxa"/>
            <w:vAlign w:val="bottom"/>
            <w:shd w:val="clear" w:color="auto" w:fill="EDEDED"/>
          </w:tcPr>
          <w:p>
            <w:pPr>
              <w:spacing w:after="0"/>
              <w:rPr>
                <w:sz w:val="4"/>
                <w:szCs w:val="4"/>
                <w:color w:val="auto"/>
              </w:rPr>
            </w:pPr>
          </w:p>
        </w:tc>
        <w:tc>
          <w:tcPr>
            <w:tcW w:w="340" w:type="dxa"/>
            <w:vAlign w:val="bottom"/>
            <w:shd w:val="clear" w:color="auto" w:fill="EDEDED"/>
          </w:tcPr>
          <w:p>
            <w:pPr>
              <w:spacing w:after="0"/>
              <w:rPr>
                <w:sz w:val="4"/>
                <w:szCs w:val="4"/>
                <w:color w:val="auto"/>
              </w:rPr>
            </w:pPr>
          </w:p>
        </w:tc>
        <w:tc>
          <w:tcPr>
            <w:tcW w:w="20" w:type="dxa"/>
            <w:vAlign w:val="bottom"/>
            <w:shd w:val="clear" w:color="auto" w:fill="EDEDED"/>
          </w:tcPr>
          <w:p>
            <w:pPr>
              <w:spacing w:after="0"/>
              <w:rPr>
                <w:sz w:val="4"/>
                <w:szCs w:val="4"/>
                <w:color w:val="auto"/>
              </w:rPr>
            </w:pPr>
          </w:p>
        </w:tc>
        <w:tc>
          <w:tcPr>
            <w:tcW w:w="280" w:type="dxa"/>
            <w:vAlign w:val="bottom"/>
            <w:shd w:val="clear" w:color="auto" w:fill="EDEDED"/>
          </w:tcPr>
          <w:p>
            <w:pPr>
              <w:spacing w:after="0"/>
              <w:rPr>
                <w:sz w:val="4"/>
                <w:szCs w:val="4"/>
                <w:color w:val="auto"/>
              </w:rPr>
            </w:pPr>
          </w:p>
        </w:tc>
        <w:tc>
          <w:tcPr>
            <w:tcW w:w="380" w:type="dxa"/>
            <w:vAlign w:val="bottom"/>
            <w:shd w:val="clear" w:color="auto" w:fill="EDEDED"/>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Monitors the Company’s compliance with legal and regulatory requirements</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740" w:type="dxa"/>
            <w:vAlign w:val="bottom"/>
            <w:shd w:val="clear" w:color="auto" w:fill="EDEDED"/>
          </w:tcPr>
          <w:p>
            <w:pPr>
              <w:spacing w:after="0"/>
              <w:rPr>
                <w:sz w:val="22"/>
                <w:szCs w:val="22"/>
                <w:color w:val="auto"/>
              </w:rPr>
            </w:pPr>
          </w:p>
        </w:tc>
        <w:tc>
          <w:tcPr>
            <w:tcW w:w="3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280" w:type="dxa"/>
            <w:vAlign w:val="bottom"/>
            <w:shd w:val="clear" w:color="auto" w:fill="EDEDED"/>
          </w:tcPr>
          <w:p>
            <w:pPr>
              <w:spacing w:after="0"/>
              <w:rPr>
                <w:sz w:val="22"/>
                <w:szCs w:val="22"/>
                <w:color w:val="auto"/>
              </w:rPr>
            </w:pPr>
          </w:p>
        </w:tc>
        <w:tc>
          <w:tcPr>
            <w:tcW w:w="380" w:type="dxa"/>
            <w:vAlign w:val="bottom"/>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Oversees sustainability/ESG disclosures, controls, processes, and assurance</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740" w:type="dxa"/>
            <w:vAlign w:val="bottom"/>
            <w:shd w:val="clear" w:color="auto" w:fill="EDEDED"/>
          </w:tcPr>
          <w:p>
            <w:pPr>
              <w:spacing w:after="0"/>
              <w:rPr>
                <w:sz w:val="22"/>
                <w:szCs w:val="22"/>
                <w:color w:val="auto"/>
              </w:rPr>
            </w:pPr>
          </w:p>
        </w:tc>
        <w:tc>
          <w:tcPr>
            <w:tcW w:w="3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280" w:type="dxa"/>
            <w:vAlign w:val="bottom"/>
            <w:shd w:val="clear" w:color="auto" w:fill="EDEDED"/>
          </w:tcPr>
          <w:p>
            <w:pPr>
              <w:spacing w:after="0"/>
              <w:rPr>
                <w:sz w:val="22"/>
                <w:szCs w:val="22"/>
                <w:color w:val="auto"/>
              </w:rPr>
            </w:pPr>
          </w:p>
        </w:tc>
        <w:tc>
          <w:tcPr>
            <w:tcW w:w="380" w:type="dxa"/>
            <w:vAlign w:val="bottom"/>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and approves related party transactions</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740" w:type="dxa"/>
            <w:vAlign w:val="bottom"/>
            <w:shd w:val="clear" w:color="auto" w:fill="EDEDED"/>
          </w:tcPr>
          <w:p>
            <w:pPr>
              <w:spacing w:after="0"/>
              <w:rPr>
                <w:sz w:val="22"/>
                <w:szCs w:val="22"/>
                <w:color w:val="auto"/>
              </w:rPr>
            </w:pPr>
          </w:p>
        </w:tc>
        <w:tc>
          <w:tcPr>
            <w:tcW w:w="3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280" w:type="dxa"/>
            <w:vAlign w:val="bottom"/>
            <w:shd w:val="clear" w:color="auto" w:fill="EDEDED"/>
          </w:tcPr>
          <w:p>
            <w:pPr>
              <w:spacing w:after="0"/>
              <w:rPr>
                <w:sz w:val="22"/>
                <w:szCs w:val="22"/>
                <w:color w:val="auto"/>
              </w:rPr>
            </w:pPr>
          </w:p>
        </w:tc>
        <w:tc>
          <w:tcPr>
            <w:tcW w:w="380" w:type="dxa"/>
            <w:vAlign w:val="bottom"/>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Serves as the Company’s Qualified Legal Compliance Committee with respect to reports of potential</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200" w:type="dxa"/>
            <w:vAlign w:val="bottom"/>
            <w:shd w:val="clear" w:color="auto" w:fill="EDEDED"/>
          </w:tcPr>
          <w:p>
            <w:pPr>
              <w:spacing w:after="0"/>
              <w:rPr>
                <w:sz w:val="20"/>
                <w:szCs w:val="20"/>
                <w:color w:val="auto"/>
              </w:rPr>
            </w:pPr>
          </w:p>
        </w:tc>
        <w:tc>
          <w:tcPr>
            <w:tcW w:w="1740" w:type="dxa"/>
            <w:vAlign w:val="bottom"/>
            <w:shd w:val="clear" w:color="auto" w:fill="EDEDED"/>
          </w:tcPr>
          <w:p>
            <w:pPr>
              <w:spacing w:after="0"/>
              <w:rPr>
                <w:sz w:val="20"/>
                <w:szCs w:val="20"/>
                <w:color w:val="auto"/>
              </w:rPr>
            </w:pPr>
          </w:p>
        </w:tc>
        <w:tc>
          <w:tcPr>
            <w:tcW w:w="340" w:type="dxa"/>
            <w:vAlign w:val="bottom"/>
            <w:shd w:val="clear" w:color="auto" w:fill="EDEDED"/>
          </w:tcPr>
          <w:p>
            <w:pPr>
              <w:spacing w:after="0"/>
              <w:rPr>
                <w:sz w:val="20"/>
                <w:szCs w:val="20"/>
                <w:color w:val="auto"/>
              </w:rPr>
            </w:pPr>
          </w:p>
        </w:tc>
        <w:tc>
          <w:tcPr>
            <w:tcW w:w="20" w:type="dxa"/>
            <w:vAlign w:val="bottom"/>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38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160" w:type="dxa"/>
            <w:vAlign w:val="bottom"/>
          </w:tcPr>
          <w:p>
            <w:pPr>
              <w:ind w:left="160"/>
              <w:spacing w:after="0" w:line="182" w:lineRule="exact"/>
              <w:rPr>
                <w:sz w:val="20"/>
                <w:szCs w:val="20"/>
                <w:color w:val="auto"/>
              </w:rPr>
            </w:pPr>
            <w:r>
              <w:rPr>
                <w:rFonts w:ascii="Arial" w:cs="Arial" w:eastAsia="Arial" w:hAnsi="Arial"/>
                <w:sz w:val="16"/>
                <w:szCs w:val="16"/>
                <w:color w:val="auto"/>
                <w:w w:val="98"/>
              </w:rPr>
              <w:t>material violations by the Company or its officers, directors, employees, or agents, of applicable U.S.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1740" w:type="dxa"/>
            <w:vAlign w:val="bottom"/>
            <w:shd w:val="clear" w:color="auto" w:fill="EDEDED"/>
          </w:tcPr>
          <w:p>
            <w:pPr>
              <w:spacing w:after="0"/>
              <w:rPr>
                <w:sz w:val="15"/>
                <w:szCs w:val="15"/>
                <w:color w:val="auto"/>
              </w:rPr>
            </w:pPr>
          </w:p>
        </w:tc>
        <w:tc>
          <w:tcPr>
            <w:tcW w:w="340" w:type="dxa"/>
            <w:vAlign w:val="bottom"/>
            <w:shd w:val="clear" w:color="auto" w:fill="EDEDED"/>
          </w:tcPr>
          <w:p>
            <w:pPr>
              <w:spacing w:after="0"/>
              <w:rPr>
                <w:sz w:val="15"/>
                <w:szCs w:val="15"/>
                <w:color w:val="auto"/>
              </w:rPr>
            </w:pPr>
          </w:p>
        </w:tc>
        <w:tc>
          <w:tcPr>
            <w:tcW w:w="2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38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60" w:type="dxa"/>
            <w:vAlign w:val="bottom"/>
          </w:tcPr>
          <w:p>
            <w:pPr>
              <w:ind w:left="160"/>
              <w:spacing w:after="0" w:line="182" w:lineRule="exact"/>
              <w:rPr>
                <w:sz w:val="20"/>
                <w:szCs w:val="20"/>
                <w:color w:val="auto"/>
              </w:rPr>
            </w:pPr>
            <w:r>
              <w:rPr>
                <w:rFonts w:ascii="Arial" w:cs="Arial" w:eastAsia="Arial" w:hAnsi="Arial"/>
                <w:sz w:val="16"/>
                <w:szCs w:val="16"/>
                <w:color w:val="auto"/>
                <w:w w:val="98"/>
              </w:rPr>
              <w:t>federal or state law or fiduciary duty arising under such law, and of the Company’s policies including</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1740" w:type="dxa"/>
            <w:vAlign w:val="bottom"/>
            <w:shd w:val="clear" w:color="auto" w:fill="EDEDED"/>
          </w:tcPr>
          <w:p>
            <w:pPr>
              <w:spacing w:after="0"/>
              <w:rPr>
                <w:sz w:val="15"/>
                <w:szCs w:val="15"/>
                <w:color w:val="auto"/>
              </w:rPr>
            </w:pPr>
          </w:p>
        </w:tc>
        <w:tc>
          <w:tcPr>
            <w:tcW w:w="340" w:type="dxa"/>
            <w:vAlign w:val="bottom"/>
            <w:shd w:val="clear" w:color="auto" w:fill="EDEDED"/>
          </w:tcPr>
          <w:p>
            <w:pPr>
              <w:spacing w:after="0"/>
              <w:rPr>
                <w:sz w:val="15"/>
                <w:szCs w:val="15"/>
                <w:color w:val="auto"/>
              </w:rPr>
            </w:pPr>
          </w:p>
        </w:tc>
        <w:tc>
          <w:tcPr>
            <w:tcW w:w="2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38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160" w:type="dxa"/>
            <w:vAlign w:val="bottom"/>
          </w:tcPr>
          <w:p>
            <w:pPr>
              <w:ind w:left="160"/>
              <w:spacing w:after="0"/>
              <w:rPr>
                <w:sz w:val="20"/>
                <w:szCs w:val="20"/>
                <w:color w:val="auto"/>
              </w:rPr>
            </w:pPr>
            <w:r>
              <w:rPr>
                <w:rFonts w:ascii="Arial" w:cs="Arial" w:eastAsia="Arial" w:hAnsi="Arial"/>
                <w:sz w:val="16"/>
                <w:szCs w:val="16"/>
                <w:color w:val="auto"/>
              </w:rPr>
              <w:t>the Code of Business Conduct and Ethics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1740" w:type="dxa"/>
            <w:vAlign w:val="bottom"/>
            <w:shd w:val="clear" w:color="auto" w:fill="EDEDED"/>
          </w:tcPr>
          <w:p>
            <w:pPr>
              <w:spacing w:after="0"/>
              <w:rPr>
                <w:sz w:val="17"/>
                <w:szCs w:val="17"/>
                <w:color w:val="auto"/>
              </w:rPr>
            </w:pPr>
          </w:p>
        </w:tc>
        <w:tc>
          <w:tcPr>
            <w:tcW w:w="340" w:type="dxa"/>
            <w:vAlign w:val="bottom"/>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280" w:type="dxa"/>
            <w:vAlign w:val="bottom"/>
            <w:shd w:val="clear" w:color="auto" w:fill="EDEDED"/>
          </w:tcPr>
          <w:p>
            <w:pPr>
              <w:spacing w:after="0"/>
              <w:rPr>
                <w:sz w:val="17"/>
                <w:szCs w:val="17"/>
                <w:color w:val="auto"/>
              </w:rPr>
            </w:pPr>
          </w:p>
        </w:tc>
        <w:tc>
          <w:tcPr>
            <w:tcW w:w="3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and approves Internal Audit’s budget and resource plan</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740" w:type="dxa"/>
            <w:vAlign w:val="bottom"/>
            <w:shd w:val="clear" w:color="auto" w:fill="EDEDED"/>
          </w:tcPr>
          <w:p>
            <w:pPr>
              <w:spacing w:after="0"/>
              <w:rPr>
                <w:sz w:val="22"/>
                <w:szCs w:val="22"/>
                <w:color w:val="auto"/>
              </w:rPr>
            </w:pPr>
          </w:p>
        </w:tc>
        <w:tc>
          <w:tcPr>
            <w:tcW w:w="3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280" w:type="dxa"/>
            <w:vAlign w:val="bottom"/>
            <w:shd w:val="clear" w:color="auto" w:fill="EDEDED"/>
          </w:tcPr>
          <w:p>
            <w:pPr>
              <w:spacing w:after="0"/>
              <w:rPr>
                <w:sz w:val="22"/>
                <w:szCs w:val="22"/>
                <w:color w:val="auto"/>
              </w:rPr>
            </w:pPr>
          </w:p>
        </w:tc>
        <w:tc>
          <w:tcPr>
            <w:tcW w:w="380" w:type="dxa"/>
            <w:vAlign w:val="bottom"/>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Regularly holds separate sessions with Kelly’s management, internal audit, and its independent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200" w:type="dxa"/>
            <w:vAlign w:val="bottom"/>
            <w:shd w:val="clear" w:color="auto" w:fill="EDEDED"/>
          </w:tcPr>
          <w:p>
            <w:pPr>
              <w:spacing w:after="0"/>
              <w:rPr>
                <w:sz w:val="20"/>
                <w:szCs w:val="20"/>
                <w:color w:val="auto"/>
              </w:rPr>
            </w:pPr>
          </w:p>
        </w:tc>
        <w:tc>
          <w:tcPr>
            <w:tcW w:w="1740" w:type="dxa"/>
            <w:vAlign w:val="bottom"/>
            <w:shd w:val="clear" w:color="auto" w:fill="EDEDED"/>
          </w:tcPr>
          <w:p>
            <w:pPr>
              <w:spacing w:after="0"/>
              <w:rPr>
                <w:sz w:val="20"/>
                <w:szCs w:val="20"/>
                <w:color w:val="auto"/>
              </w:rPr>
            </w:pPr>
          </w:p>
        </w:tc>
        <w:tc>
          <w:tcPr>
            <w:tcW w:w="340" w:type="dxa"/>
            <w:vAlign w:val="bottom"/>
            <w:shd w:val="clear" w:color="auto" w:fill="EDEDED"/>
          </w:tcPr>
          <w:p>
            <w:pPr>
              <w:spacing w:after="0"/>
              <w:rPr>
                <w:sz w:val="20"/>
                <w:szCs w:val="20"/>
                <w:color w:val="auto"/>
              </w:rPr>
            </w:pPr>
          </w:p>
        </w:tc>
        <w:tc>
          <w:tcPr>
            <w:tcW w:w="20" w:type="dxa"/>
            <w:vAlign w:val="bottom"/>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38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160" w:type="dxa"/>
            <w:vAlign w:val="bottom"/>
          </w:tcPr>
          <w:p>
            <w:pPr>
              <w:ind w:left="160"/>
              <w:spacing w:after="0"/>
              <w:rPr>
                <w:sz w:val="20"/>
                <w:szCs w:val="20"/>
                <w:color w:val="auto"/>
              </w:rPr>
            </w:pPr>
            <w:r>
              <w:rPr>
                <w:rFonts w:ascii="Arial" w:cs="Arial" w:eastAsia="Arial" w:hAnsi="Arial"/>
                <w:sz w:val="16"/>
                <w:szCs w:val="16"/>
                <w:color w:val="auto"/>
              </w:rPr>
              <w:t>auditor</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1740" w:type="dxa"/>
            <w:vAlign w:val="bottom"/>
            <w:shd w:val="clear" w:color="auto" w:fill="EDEDED"/>
          </w:tcPr>
          <w:p>
            <w:pPr>
              <w:spacing w:after="0"/>
              <w:rPr>
                <w:sz w:val="17"/>
                <w:szCs w:val="17"/>
                <w:color w:val="auto"/>
              </w:rPr>
            </w:pPr>
          </w:p>
        </w:tc>
        <w:tc>
          <w:tcPr>
            <w:tcW w:w="340" w:type="dxa"/>
            <w:vAlign w:val="bottom"/>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280" w:type="dxa"/>
            <w:vAlign w:val="bottom"/>
            <w:shd w:val="clear" w:color="auto" w:fill="EDEDED"/>
          </w:tcPr>
          <w:p>
            <w:pPr>
              <w:spacing w:after="0"/>
              <w:rPr>
                <w:sz w:val="17"/>
                <w:szCs w:val="17"/>
                <w:color w:val="auto"/>
              </w:rPr>
            </w:pPr>
          </w:p>
        </w:tc>
        <w:tc>
          <w:tcPr>
            <w:tcW w:w="3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7160" w:type="dxa"/>
            <w:vAlign w:val="bottom"/>
          </w:tcPr>
          <w:p>
            <w:pPr>
              <w:spacing w:after="0"/>
              <w:rPr>
                <w:sz w:val="20"/>
                <w:szCs w:val="20"/>
                <w:color w:val="auto"/>
              </w:rPr>
            </w:pPr>
            <w:r>
              <w:rPr>
                <w:rFonts w:ascii="Arial" w:cs="Arial" w:eastAsia="Arial" w:hAnsi="Arial"/>
                <w:sz w:val="16"/>
                <w:szCs w:val="16"/>
                <w:color w:val="auto"/>
              </w:rPr>
              <w:t>The Board unanimously determined that each member of the Audit Committee meets Nasdaq’s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74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2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38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160" w:type="dxa"/>
            <w:vAlign w:val="bottom"/>
          </w:tcPr>
          <w:p>
            <w:pPr>
              <w:spacing w:after="0"/>
              <w:rPr>
                <w:sz w:val="20"/>
                <w:szCs w:val="20"/>
                <w:color w:val="auto"/>
              </w:rPr>
            </w:pPr>
            <w:r>
              <w:rPr>
                <w:rFonts w:ascii="Arial" w:cs="Arial" w:eastAsia="Arial" w:hAnsi="Arial"/>
                <w:sz w:val="16"/>
                <w:szCs w:val="16"/>
                <w:color w:val="auto"/>
              </w:rPr>
              <w:t>“financial sophistication” requirements and that Mr. Cubbin and Ms. Murphy each has the financial</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shd w:val="clear" w:color="auto" w:fill="EDEDED"/>
          </w:tcPr>
          <w:p>
            <w:pPr>
              <w:spacing w:after="0"/>
              <w:rPr>
                <w:sz w:val="16"/>
                <w:szCs w:val="16"/>
                <w:color w:val="auto"/>
              </w:rPr>
            </w:pPr>
          </w:p>
        </w:tc>
        <w:tc>
          <w:tcPr>
            <w:tcW w:w="200" w:type="dxa"/>
            <w:vAlign w:val="bottom"/>
            <w:shd w:val="clear" w:color="auto" w:fill="EDEDED"/>
          </w:tcPr>
          <w:p>
            <w:pPr>
              <w:spacing w:after="0"/>
              <w:rPr>
                <w:sz w:val="16"/>
                <w:szCs w:val="16"/>
                <w:color w:val="auto"/>
              </w:rPr>
            </w:pPr>
          </w:p>
        </w:tc>
        <w:tc>
          <w:tcPr>
            <w:tcW w:w="1740" w:type="dxa"/>
            <w:vAlign w:val="bottom"/>
            <w:shd w:val="clear" w:color="auto" w:fill="EDEDED"/>
          </w:tcPr>
          <w:p>
            <w:pPr>
              <w:spacing w:after="0"/>
              <w:rPr>
                <w:sz w:val="16"/>
                <w:szCs w:val="16"/>
                <w:color w:val="auto"/>
              </w:rPr>
            </w:pPr>
          </w:p>
        </w:tc>
        <w:tc>
          <w:tcPr>
            <w:tcW w:w="340" w:type="dxa"/>
            <w:vAlign w:val="bottom"/>
            <w:shd w:val="clear" w:color="auto" w:fill="EDEDED"/>
          </w:tcPr>
          <w:p>
            <w:pPr>
              <w:spacing w:after="0"/>
              <w:rPr>
                <w:sz w:val="16"/>
                <w:szCs w:val="16"/>
                <w:color w:val="auto"/>
              </w:rPr>
            </w:pPr>
          </w:p>
        </w:tc>
        <w:tc>
          <w:tcPr>
            <w:tcW w:w="20" w:type="dxa"/>
            <w:vAlign w:val="bottom"/>
            <w:shd w:val="clear" w:color="auto" w:fill="EDEDED"/>
          </w:tcPr>
          <w:p>
            <w:pPr>
              <w:spacing w:after="0"/>
              <w:rPr>
                <w:sz w:val="16"/>
                <w:szCs w:val="16"/>
                <w:color w:val="auto"/>
              </w:rPr>
            </w:pPr>
          </w:p>
        </w:tc>
        <w:tc>
          <w:tcPr>
            <w:tcW w:w="280" w:type="dxa"/>
            <w:vAlign w:val="bottom"/>
            <w:shd w:val="clear" w:color="auto" w:fill="EDEDED"/>
          </w:tcPr>
          <w:p>
            <w:pPr>
              <w:spacing w:after="0"/>
              <w:rPr>
                <w:sz w:val="16"/>
                <w:szCs w:val="16"/>
                <w:color w:val="auto"/>
              </w:rPr>
            </w:pPr>
          </w:p>
        </w:tc>
        <w:tc>
          <w:tcPr>
            <w:tcW w:w="38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160" w:type="dxa"/>
            <w:vAlign w:val="bottom"/>
          </w:tcPr>
          <w:p>
            <w:pPr>
              <w:spacing w:after="0" w:line="170" w:lineRule="exact"/>
              <w:rPr>
                <w:sz w:val="20"/>
                <w:szCs w:val="20"/>
                <w:color w:val="auto"/>
              </w:rPr>
            </w:pPr>
            <w:r>
              <w:rPr>
                <w:rFonts w:ascii="Arial" w:cs="Arial" w:eastAsia="Arial" w:hAnsi="Arial"/>
                <w:sz w:val="16"/>
                <w:szCs w:val="16"/>
                <w:color w:val="auto"/>
              </w:rPr>
              <w:t>education and experience to qualify as an “Audit Committee financial expert” within the meaning of</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160" w:type="dxa"/>
            <w:vAlign w:val="bottom"/>
          </w:tcPr>
          <w:p>
            <w:pPr>
              <w:spacing w:after="0"/>
              <w:rPr>
                <w:sz w:val="20"/>
                <w:szCs w:val="20"/>
                <w:color w:val="auto"/>
              </w:rPr>
            </w:pPr>
            <w:r>
              <w:rPr>
                <w:rFonts w:ascii="Arial" w:cs="Arial" w:eastAsia="Arial" w:hAnsi="Arial"/>
                <w:sz w:val="16"/>
                <w:szCs w:val="16"/>
                <w:color w:val="auto"/>
              </w:rPr>
              <w:t>SEC regulations.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3"/>
        </w:trPr>
        <w:tc>
          <w:tcPr>
            <w:tcW w:w="7160" w:type="dxa"/>
            <w:vAlign w:val="bottom"/>
          </w:tcPr>
          <w:p>
            <w:pPr>
              <w:spacing w:after="0"/>
              <w:rPr>
                <w:sz w:val="20"/>
                <w:szCs w:val="20"/>
                <w:color w:val="auto"/>
              </w:rPr>
            </w:pPr>
            <w:r>
              <w:rPr>
                <w:rFonts w:ascii="Arial" w:cs="Arial" w:eastAsia="Arial" w:hAnsi="Arial"/>
                <w:sz w:val="21"/>
                <w:szCs w:val="21"/>
                <w:b w:val="1"/>
                <w:bCs w:val="1"/>
                <w:color w:val="0A9E50"/>
              </w:rPr>
              <w:t>Compensation and Talent Management Committee</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7160" w:type="dxa"/>
            <w:vAlign w:val="bottom"/>
            <w:tcBorders>
              <w:bottom w:val="single" w:sz="8" w:color="7F7F7F"/>
            </w:tcBorders>
          </w:tcPr>
          <w:p>
            <w:pPr>
              <w:spacing w:after="0"/>
              <w:rPr>
                <w:sz w:val="6"/>
                <w:szCs w:val="6"/>
                <w:color w:val="auto"/>
              </w:rPr>
            </w:pPr>
          </w:p>
        </w:tc>
        <w:tc>
          <w:tcPr>
            <w:tcW w:w="160" w:type="dxa"/>
            <w:vAlign w:val="bottom"/>
            <w:tcBorders>
              <w:bottom w:val="single" w:sz="8" w:color="7F7F7F"/>
            </w:tcBorders>
          </w:tcPr>
          <w:p>
            <w:pPr>
              <w:spacing w:after="0"/>
              <w:rPr>
                <w:sz w:val="6"/>
                <w:szCs w:val="6"/>
                <w:color w:val="auto"/>
              </w:rPr>
            </w:pPr>
          </w:p>
        </w:tc>
        <w:tc>
          <w:tcPr>
            <w:tcW w:w="240" w:type="dxa"/>
            <w:vAlign w:val="bottom"/>
            <w:tcBorders>
              <w:bottom w:val="single" w:sz="8" w:color="7F7F7F"/>
            </w:tcBorders>
          </w:tcPr>
          <w:p>
            <w:pPr>
              <w:spacing w:after="0"/>
              <w:rPr>
                <w:sz w:val="6"/>
                <w:szCs w:val="6"/>
                <w:color w:val="auto"/>
              </w:rPr>
            </w:pPr>
          </w:p>
        </w:tc>
        <w:tc>
          <w:tcPr>
            <w:tcW w:w="100" w:type="dxa"/>
            <w:vAlign w:val="bottom"/>
            <w:tcBorders>
              <w:bottom w:val="single" w:sz="8" w:color="7F7F7F"/>
            </w:tcBorders>
          </w:tcPr>
          <w:p>
            <w:pPr>
              <w:spacing w:after="0"/>
              <w:rPr>
                <w:sz w:val="6"/>
                <w:szCs w:val="6"/>
                <w:color w:val="auto"/>
              </w:rPr>
            </w:pPr>
          </w:p>
        </w:tc>
        <w:tc>
          <w:tcPr>
            <w:tcW w:w="200" w:type="dxa"/>
            <w:vAlign w:val="bottom"/>
            <w:tcBorders>
              <w:bottom w:val="single" w:sz="8" w:color="7F7F7F"/>
            </w:tcBorders>
          </w:tcPr>
          <w:p>
            <w:pPr>
              <w:spacing w:after="0"/>
              <w:rPr>
                <w:sz w:val="6"/>
                <w:szCs w:val="6"/>
                <w:color w:val="auto"/>
              </w:rPr>
            </w:pPr>
          </w:p>
        </w:tc>
        <w:tc>
          <w:tcPr>
            <w:tcW w:w="1740" w:type="dxa"/>
            <w:vAlign w:val="bottom"/>
            <w:tcBorders>
              <w:bottom w:val="single" w:sz="8" w:color="7F7F7F"/>
            </w:tcBorders>
          </w:tcPr>
          <w:p>
            <w:pPr>
              <w:spacing w:after="0"/>
              <w:rPr>
                <w:sz w:val="6"/>
                <w:szCs w:val="6"/>
                <w:color w:val="auto"/>
              </w:rPr>
            </w:pPr>
          </w:p>
        </w:tc>
        <w:tc>
          <w:tcPr>
            <w:tcW w:w="340" w:type="dxa"/>
            <w:vAlign w:val="bottom"/>
            <w:tcBorders>
              <w:bottom w:val="single" w:sz="8" w:color="7F7F7F"/>
            </w:tcBorders>
          </w:tcPr>
          <w:p>
            <w:pPr>
              <w:spacing w:after="0"/>
              <w:rPr>
                <w:sz w:val="6"/>
                <w:szCs w:val="6"/>
                <w:color w:val="auto"/>
              </w:rPr>
            </w:pPr>
          </w:p>
        </w:tc>
        <w:tc>
          <w:tcPr>
            <w:tcW w:w="20" w:type="dxa"/>
            <w:vAlign w:val="bottom"/>
            <w:tcBorders>
              <w:bottom w:val="single" w:sz="8" w:color="7F7F7F"/>
            </w:tcBorders>
          </w:tcPr>
          <w:p>
            <w:pPr>
              <w:spacing w:after="0"/>
              <w:rPr>
                <w:sz w:val="6"/>
                <w:szCs w:val="6"/>
                <w:color w:val="auto"/>
              </w:rPr>
            </w:pPr>
          </w:p>
        </w:tc>
        <w:tc>
          <w:tcPr>
            <w:tcW w:w="280" w:type="dxa"/>
            <w:vAlign w:val="bottom"/>
            <w:tcBorders>
              <w:bottom w:val="single" w:sz="8" w:color="7F7F7F"/>
            </w:tcBorders>
          </w:tcPr>
          <w:p>
            <w:pPr>
              <w:spacing w:after="0"/>
              <w:rPr>
                <w:sz w:val="6"/>
                <w:szCs w:val="6"/>
                <w:color w:val="auto"/>
              </w:rPr>
            </w:pPr>
          </w:p>
        </w:tc>
        <w:tc>
          <w:tcPr>
            <w:tcW w:w="38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7160" w:type="dxa"/>
            <w:vAlign w:val="bottom"/>
            <w:vMerge w:val="restart"/>
          </w:tcPr>
          <w:p>
            <w:pPr>
              <w:spacing w:after="0"/>
              <w:rPr>
                <w:sz w:val="20"/>
                <w:szCs w:val="20"/>
                <w:color w:val="auto"/>
              </w:rPr>
            </w:pPr>
            <w:r>
              <w:rPr>
                <w:rFonts w:ascii="Arial" w:cs="Arial" w:eastAsia="Arial" w:hAnsi="Arial"/>
                <w:sz w:val="16"/>
                <w:szCs w:val="16"/>
                <w:b w:val="1"/>
                <w:bCs w:val="1"/>
                <w:color w:val="auto"/>
              </w:rPr>
              <w:t>Key Responsibilities: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160" w:type="dxa"/>
            <w:vAlign w:val="bottom"/>
            <w:vMerge w:val="restart"/>
          </w:tcPr>
          <w:p>
            <w:pPr>
              <w:ind w:left="60"/>
              <w:spacing w:after="0"/>
              <w:rPr>
                <w:sz w:val="20"/>
                <w:szCs w:val="20"/>
                <w:color w:val="auto"/>
              </w:rPr>
            </w:pPr>
            <w:r>
              <w:rPr>
                <w:rFonts w:ascii="Arial" w:cs="Arial" w:eastAsia="Arial" w:hAnsi="Arial"/>
                <w:sz w:val="11"/>
                <w:szCs w:val="11"/>
                <w:color w:val="auto"/>
                <w:w w:val="72"/>
              </w:rPr>
              <w:t> </w:t>
            </w:r>
          </w:p>
        </w:tc>
        <w:tc>
          <w:tcPr>
            <w:tcW w:w="240" w:type="dxa"/>
            <w:vAlign w:val="bottom"/>
            <w:vMerge w:val="restart"/>
          </w:tcPr>
          <w:p>
            <w:pPr>
              <w:ind w:left="60"/>
              <w:spacing w:after="0"/>
              <w:rPr>
                <w:sz w:val="20"/>
                <w:szCs w:val="20"/>
                <w:color w:val="auto"/>
              </w:rPr>
            </w:pPr>
            <w:r>
              <w:rPr>
                <w:rFonts w:ascii="Arial" w:cs="Arial" w:eastAsia="Arial" w:hAnsi="Arial"/>
                <w:sz w:val="16"/>
                <w:szCs w:val="16"/>
                <w:color w:val="auto"/>
                <w:w w:val="99"/>
              </w:rPr>
              <w:t> </w:t>
            </w:r>
          </w:p>
        </w:tc>
        <w:tc>
          <w:tcPr>
            <w:tcW w:w="100" w:type="dxa"/>
            <w:vAlign w:val="bottom"/>
            <w:shd w:val="clear" w:color="auto" w:fill="EDEDED"/>
          </w:tcPr>
          <w:p>
            <w:pPr>
              <w:spacing w:after="0"/>
              <w:rPr>
                <w:sz w:val="15"/>
                <w:szCs w:val="15"/>
                <w:color w:val="auto"/>
              </w:rPr>
            </w:pPr>
          </w:p>
        </w:tc>
        <w:tc>
          <w:tcPr>
            <w:tcW w:w="200" w:type="dxa"/>
            <w:vAlign w:val="bottom"/>
            <w:vMerge w:val="restart"/>
            <w:shd w:val="clear" w:color="auto" w:fill="EDEDED"/>
          </w:tcPr>
          <w:p>
            <w:pPr>
              <w:spacing w:after="0"/>
              <w:rPr>
                <w:sz w:val="20"/>
                <w:szCs w:val="20"/>
                <w:color w:val="auto"/>
              </w:rPr>
            </w:pPr>
            <w:r>
              <w:rPr>
                <w:rFonts w:ascii="Arial" w:cs="Arial" w:eastAsia="Arial" w:hAnsi="Arial"/>
                <w:sz w:val="16"/>
                <w:szCs w:val="16"/>
                <w:color w:val="auto"/>
              </w:rPr>
              <w:t> </w:t>
            </w:r>
          </w:p>
        </w:tc>
        <w:tc>
          <w:tcPr>
            <w:tcW w:w="2080" w:type="dxa"/>
            <w:vAlign w:val="bottom"/>
            <w:gridSpan w:val="2"/>
            <w:vMerge w:val="restart"/>
            <w:shd w:val="clear" w:color="auto" w:fill="EDEDED"/>
          </w:tcPr>
          <w:p>
            <w:pPr>
              <w:ind w:left="120"/>
              <w:spacing w:after="0"/>
              <w:rPr>
                <w:sz w:val="20"/>
                <w:szCs w:val="20"/>
                <w:color w:val="auto"/>
              </w:rPr>
            </w:pPr>
            <w:r>
              <w:rPr>
                <w:rFonts w:ascii="Arial" w:cs="Arial" w:eastAsia="Arial" w:hAnsi="Arial"/>
                <w:sz w:val="16"/>
                <w:szCs w:val="16"/>
                <w:b w:val="1"/>
                <w:bCs w:val="1"/>
                <w:color w:val="auto"/>
                <w:w w:val="96"/>
              </w:rPr>
              <w:t xml:space="preserve">Members: </w:t>
            </w:r>
            <w:r>
              <w:rPr>
                <w:rFonts w:ascii="Arial" w:cs="Arial" w:eastAsia="Arial" w:hAnsi="Arial"/>
                <w:sz w:val="16"/>
                <w:szCs w:val="16"/>
                <w:b w:val="1"/>
                <w:bCs w:val="1"/>
                <w:color w:val="0A9E50"/>
                <w:w w:val="96"/>
              </w:rPr>
              <w:t>All Independent</w:t>
            </w:r>
          </w:p>
        </w:tc>
        <w:tc>
          <w:tcPr>
            <w:tcW w:w="2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380" w:type="dxa"/>
            <w:vAlign w:val="bottom"/>
            <w:vMerge w:val="restart"/>
            <w:shd w:val="clear" w:color="auto" w:fill="EDEDED"/>
          </w:tcPr>
          <w:p>
            <w:pPr>
              <w:jc w:val="center"/>
              <w:spacing w:after="0"/>
              <w:rPr>
                <w:sz w:val="20"/>
                <w:szCs w:val="20"/>
                <w:color w:val="auto"/>
              </w:rPr>
            </w:pPr>
            <w:r>
              <w:rPr>
                <w:rFonts w:ascii="Arial" w:cs="Arial" w:eastAsia="Arial" w:hAnsi="Arial"/>
                <w:sz w:val="4"/>
                <w:szCs w:val="4"/>
                <w:color w:val="auto"/>
                <w:w w:val="98"/>
              </w:rPr>
              <w:t> </w:t>
            </w:r>
          </w:p>
        </w:tc>
        <w:tc>
          <w:tcPr>
            <w:tcW w:w="0" w:type="dxa"/>
            <w:vAlign w:val="bottom"/>
          </w:tcPr>
          <w:p>
            <w:pPr>
              <w:spacing w:after="0"/>
              <w:rPr>
                <w:sz w:val="1"/>
                <w:szCs w:val="1"/>
                <w:color w:val="auto"/>
              </w:rPr>
            </w:pPr>
          </w:p>
        </w:tc>
      </w:tr>
      <w:tr>
        <w:trPr>
          <w:trHeight w:val="201"/>
        </w:trPr>
        <w:tc>
          <w:tcPr>
            <w:tcW w:w="7160" w:type="dxa"/>
            <w:vAlign w:val="bottom"/>
            <w:vMerge w:val="restart"/>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Develops the Company’s compensation philosophy</w:t>
            </w:r>
          </w:p>
        </w:tc>
        <w:tc>
          <w:tcPr>
            <w:tcW w:w="1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200" w:type="dxa"/>
            <w:vAlign w:val="bottom"/>
            <w:vMerge w:val="continue"/>
            <w:shd w:val="clear" w:color="auto" w:fill="EDEDED"/>
          </w:tcPr>
          <w:p>
            <w:pPr>
              <w:spacing w:after="0"/>
              <w:rPr>
                <w:sz w:val="17"/>
                <w:szCs w:val="17"/>
                <w:color w:val="auto"/>
              </w:rPr>
            </w:pPr>
          </w:p>
        </w:tc>
        <w:tc>
          <w:tcPr>
            <w:tcW w:w="2080" w:type="dxa"/>
            <w:vAlign w:val="bottom"/>
            <w:gridSpan w:val="2"/>
            <w:vMerge w:val="continue"/>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280" w:type="dxa"/>
            <w:vAlign w:val="bottom"/>
            <w:shd w:val="clear" w:color="auto" w:fill="EDEDED"/>
          </w:tcPr>
          <w:p>
            <w:pPr>
              <w:spacing w:after="0"/>
              <w:rPr>
                <w:sz w:val="17"/>
                <w:szCs w:val="17"/>
                <w:color w:val="auto"/>
              </w:rPr>
            </w:pPr>
          </w:p>
        </w:tc>
        <w:tc>
          <w:tcPr>
            <w:tcW w:w="380" w:type="dxa"/>
            <w:vAlign w:val="bottom"/>
            <w:vMerge w:val="continue"/>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71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1740" w:type="dxa"/>
            <w:vAlign w:val="bottom"/>
            <w:vMerge w:val="restart"/>
            <w:shd w:val="clear" w:color="auto" w:fill="EDEDED"/>
          </w:tcPr>
          <w:p>
            <w:pPr>
              <w:ind w:left="1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Robert S. Cubbin</w:t>
            </w:r>
          </w:p>
        </w:tc>
        <w:tc>
          <w:tcPr>
            <w:tcW w:w="340" w:type="dxa"/>
            <w:vAlign w:val="bottom"/>
            <w:shd w:val="clear" w:color="auto" w:fill="EDEDED"/>
          </w:tcPr>
          <w:p>
            <w:pPr>
              <w:spacing w:after="0"/>
              <w:rPr>
                <w:sz w:val="6"/>
                <w:szCs w:val="6"/>
                <w:color w:val="auto"/>
              </w:rPr>
            </w:pPr>
          </w:p>
        </w:tc>
        <w:tc>
          <w:tcPr>
            <w:tcW w:w="20" w:type="dxa"/>
            <w:vAlign w:val="bottom"/>
            <w:shd w:val="clear" w:color="auto" w:fill="EDEDED"/>
          </w:tcPr>
          <w:p>
            <w:pPr>
              <w:spacing w:after="0"/>
              <w:rPr>
                <w:sz w:val="6"/>
                <w:szCs w:val="6"/>
                <w:color w:val="auto"/>
              </w:rPr>
            </w:pPr>
          </w:p>
        </w:tc>
        <w:tc>
          <w:tcPr>
            <w:tcW w:w="280" w:type="dxa"/>
            <w:vAlign w:val="bottom"/>
            <w:shd w:val="clear" w:color="auto" w:fill="EDEDED"/>
          </w:tcPr>
          <w:p>
            <w:pPr>
              <w:spacing w:after="0"/>
              <w:rPr>
                <w:sz w:val="6"/>
                <w:szCs w:val="6"/>
                <w:color w:val="auto"/>
              </w:rPr>
            </w:pPr>
          </w:p>
        </w:tc>
        <w:tc>
          <w:tcPr>
            <w:tcW w:w="38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7160" w:type="dxa"/>
            <w:vAlign w:val="bottom"/>
            <w:vMerge w:val="restart"/>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Designs and administers the Company’s executive compensation programs and policies aligned with</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shd w:val="clear" w:color="auto" w:fill="EDEDED"/>
          </w:tcPr>
          <w:p>
            <w:pPr>
              <w:spacing w:after="0"/>
              <w:rPr>
                <w:sz w:val="13"/>
                <w:szCs w:val="13"/>
                <w:color w:val="auto"/>
              </w:rPr>
            </w:pPr>
          </w:p>
        </w:tc>
        <w:tc>
          <w:tcPr>
            <w:tcW w:w="200" w:type="dxa"/>
            <w:vAlign w:val="bottom"/>
            <w:shd w:val="clear" w:color="auto" w:fill="EDEDED"/>
          </w:tcPr>
          <w:p>
            <w:pPr>
              <w:spacing w:after="0"/>
              <w:rPr>
                <w:sz w:val="13"/>
                <w:szCs w:val="13"/>
                <w:color w:val="auto"/>
              </w:rPr>
            </w:pPr>
          </w:p>
        </w:tc>
        <w:tc>
          <w:tcPr>
            <w:tcW w:w="1740" w:type="dxa"/>
            <w:vAlign w:val="bottom"/>
            <w:vMerge w:val="continue"/>
            <w:shd w:val="clear" w:color="auto" w:fill="EDEDED"/>
          </w:tcPr>
          <w:p>
            <w:pPr>
              <w:spacing w:after="0"/>
              <w:rPr>
                <w:sz w:val="13"/>
                <w:szCs w:val="13"/>
                <w:color w:val="auto"/>
              </w:rPr>
            </w:pPr>
          </w:p>
        </w:tc>
        <w:tc>
          <w:tcPr>
            <w:tcW w:w="340" w:type="dxa"/>
            <w:vAlign w:val="bottom"/>
            <w:shd w:val="clear" w:color="auto" w:fill="EDEDED"/>
          </w:tcPr>
          <w:p>
            <w:pPr>
              <w:spacing w:after="0"/>
              <w:rPr>
                <w:sz w:val="13"/>
                <w:szCs w:val="13"/>
                <w:color w:val="auto"/>
              </w:rPr>
            </w:pPr>
          </w:p>
        </w:tc>
        <w:tc>
          <w:tcPr>
            <w:tcW w:w="20" w:type="dxa"/>
            <w:vAlign w:val="bottom"/>
            <w:shd w:val="clear" w:color="auto" w:fill="EDEDED"/>
          </w:tcPr>
          <w:p>
            <w:pPr>
              <w:spacing w:after="0"/>
              <w:rPr>
                <w:sz w:val="13"/>
                <w:szCs w:val="13"/>
                <w:color w:val="auto"/>
              </w:rPr>
            </w:pPr>
          </w:p>
        </w:tc>
        <w:tc>
          <w:tcPr>
            <w:tcW w:w="280" w:type="dxa"/>
            <w:vAlign w:val="bottom"/>
            <w:shd w:val="clear" w:color="auto" w:fill="EDEDED"/>
          </w:tcPr>
          <w:p>
            <w:pPr>
              <w:spacing w:after="0"/>
              <w:rPr>
                <w:sz w:val="13"/>
                <w:szCs w:val="13"/>
                <w:color w:val="auto"/>
              </w:rPr>
            </w:pPr>
          </w:p>
        </w:tc>
        <w:tc>
          <w:tcPr>
            <w:tcW w:w="38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71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1740" w:type="dxa"/>
            <w:vAlign w:val="bottom"/>
            <w:vMerge w:val="restart"/>
            <w:shd w:val="clear" w:color="auto" w:fill="EDEDED"/>
          </w:tcPr>
          <w:p>
            <w:pPr>
              <w:ind w:left="260"/>
              <w:spacing w:after="0"/>
              <w:rPr>
                <w:sz w:val="20"/>
                <w:szCs w:val="20"/>
                <w:color w:val="auto"/>
              </w:rPr>
            </w:pPr>
            <w:r>
              <w:rPr>
                <w:rFonts w:ascii="Arial" w:cs="Arial" w:eastAsia="Arial" w:hAnsi="Arial"/>
                <w:sz w:val="16"/>
                <w:szCs w:val="16"/>
                <w:color w:val="auto"/>
              </w:rPr>
              <w:t>(Chair)</w:t>
            </w:r>
          </w:p>
        </w:tc>
        <w:tc>
          <w:tcPr>
            <w:tcW w:w="340" w:type="dxa"/>
            <w:vAlign w:val="bottom"/>
            <w:shd w:val="clear" w:color="auto" w:fill="EDEDED"/>
          </w:tcPr>
          <w:p>
            <w:pPr>
              <w:spacing w:after="0"/>
              <w:rPr>
                <w:sz w:val="6"/>
                <w:szCs w:val="6"/>
                <w:color w:val="auto"/>
              </w:rPr>
            </w:pPr>
          </w:p>
        </w:tc>
        <w:tc>
          <w:tcPr>
            <w:tcW w:w="20" w:type="dxa"/>
            <w:vAlign w:val="bottom"/>
            <w:shd w:val="clear" w:color="auto" w:fill="EDEDED"/>
          </w:tcPr>
          <w:p>
            <w:pPr>
              <w:spacing w:after="0"/>
              <w:rPr>
                <w:sz w:val="6"/>
                <w:szCs w:val="6"/>
                <w:color w:val="auto"/>
              </w:rPr>
            </w:pPr>
          </w:p>
        </w:tc>
        <w:tc>
          <w:tcPr>
            <w:tcW w:w="280" w:type="dxa"/>
            <w:vAlign w:val="bottom"/>
            <w:shd w:val="clear" w:color="auto" w:fill="EDEDED"/>
          </w:tcPr>
          <w:p>
            <w:pPr>
              <w:spacing w:after="0"/>
              <w:rPr>
                <w:sz w:val="6"/>
                <w:szCs w:val="6"/>
                <w:color w:val="auto"/>
              </w:rPr>
            </w:pPr>
          </w:p>
        </w:tc>
        <w:tc>
          <w:tcPr>
            <w:tcW w:w="38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7160" w:type="dxa"/>
            <w:vAlign w:val="bottom"/>
            <w:vMerge w:val="restart"/>
          </w:tcPr>
          <w:p>
            <w:pPr>
              <w:ind w:left="160"/>
              <w:spacing w:after="0"/>
              <w:rPr>
                <w:sz w:val="20"/>
                <w:szCs w:val="20"/>
                <w:color w:val="auto"/>
              </w:rPr>
            </w:pPr>
            <w:r>
              <w:rPr>
                <w:rFonts w:ascii="Arial" w:cs="Arial" w:eastAsia="Arial" w:hAnsi="Arial"/>
                <w:sz w:val="16"/>
                <w:szCs w:val="16"/>
                <w:color w:val="auto"/>
              </w:rPr>
              <w:t>business and compensation objectives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shd w:val="clear" w:color="auto" w:fill="EDEDED"/>
          </w:tcPr>
          <w:p>
            <w:pPr>
              <w:spacing w:after="0"/>
              <w:rPr>
                <w:sz w:val="11"/>
                <w:szCs w:val="11"/>
                <w:color w:val="auto"/>
              </w:rPr>
            </w:pPr>
          </w:p>
        </w:tc>
        <w:tc>
          <w:tcPr>
            <w:tcW w:w="200" w:type="dxa"/>
            <w:vAlign w:val="bottom"/>
            <w:shd w:val="clear" w:color="auto" w:fill="EDEDED"/>
          </w:tcPr>
          <w:p>
            <w:pPr>
              <w:spacing w:after="0"/>
              <w:rPr>
                <w:sz w:val="11"/>
                <w:szCs w:val="11"/>
                <w:color w:val="auto"/>
              </w:rPr>
            </w:pPr>
          </w:p>
        </w:tc>
        <w:tc>
          <w:tcPr>
            <w:tcW w:w="1740" w:type="dxa"/>
            <w:vAlign w:val="bottom"/>
            <w:vMerge w:val="continue"/>
            <w:shd w:val="clear" w:color="auto" w:fill="EDEDED"/>
          </w:tcPr>
          <w:p>
            <w:pPr>
              <w:spacing w:after="0"/>
              <w:rPr>
                <w:sz w:val="11"/>
                <w:szCs w:val="11"/>
                <w:color w:val="auto"/>
              </w:rPr>
            </w:pPr>
          </w:p>
        </w:tc>
        <w:tc>
          <w:tcPr>
            <w:tcW w:w="340" w:type="dxa"/>
            <w:vAlign w:val="bottom"/>
            <w:shd w:val="clear" w:color="auto" w:fill="EDEDED"/>
          </w:tcPr>
          <w:p>
            <w:pPr>
              <w:spacing w:after="0"/>
              <w:rPr>
                <w:sz w:val="11"/>
                <w:szCs w:val="11"/>
                <w:color w:val="auto"/>
              </w:rPr>
            </w:pPr>
          </w:p>
        </w:tc>
        <w:tc>
          <w:tcPr>
            <w:tcW w:w="20" w:type="dxa"/>
            <w:vAlign w:val="bottom"/>
            <w:shd w:val="clear" w:color="auto" w:fill="EDEDED"/>
          </w:tcPr>
          <w:p>
            <w:pPr>
              <w:spacing w:after="0"/>
              <w:rPr>
                <w:sz w:val="11"/>
                <w:szCs w:val="11"/>
                <w:color w:val="auto"/>
              </w:rPr>
            </w:pPr>
          </w:p>
        </w:tc>
        <w:tc>
          <w:tcPr>
            <w:tcW w:w="280" w:type="dxa"/>
            <w:vAlign w:val="bottom"/>
            <w:shd w:val="clear" w:color="auto" w:fill="EDEDED"/>
          </w:tcPr>
          <w:p>
            <w:pPr>
              <w:spacing w:after="0"/>
              <w:rPr>
                <w:sz w:val="11"/>
                <w:szCs w:val="11"/>
                <w:color w:val="auto"/>
              </w:rPr>
            </w:pPr>
          </w:p>
        </w:tc>
        <w:tc>
          <w:tcPr>
            <w:tcW w:w="380" w:type="dxa"/>
            <w:vAlign w:val="bottom"/>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71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shd w:val="clear" w:color="auto" w:fill="EDEDED"/>
          </w:tcPr>
          <w:p>
            <w:pPr>
              <w:spacing w:after="0"/>
              <w:rPr>
                <w:sz w:val="6"/>
                <w:szCs w:val="6"/>
                <w:color w:val="auto"/>
              </w:rPr>
            </w:pPr>
          </w:p>
        </w:tc>
        <w:tc>
          <w:tcPr>
            <w:tcW w:w="200" w:type="dxa"/>
            <w:vAlign w:val="bottom"/>
            <w:shd w:val="clear" w:color="auto" w:fill="EDEDED"/>
          </w:tcPr>
          <w:p>
            <w:pPr>
              <w:spacing w:after="0"/>
              <w:rPr>
                <w:sz w:val="6"/>
                <w:szCs w:val="6"/>
                <w:color w:val="auto"/>
              </w:rPr>
            </w:pPr>
          </w:p>
        </w:tc>
        <w:tc>
          <w:tcPr>
            <w:tcW w:w="1740" w:type="dxa"/>
            <w:vAlign w:val="bottom"/>
            <w:vMerge w:val="restart"/>
            <w:shd w:val="clear" w:color="auto" w:fill="EDEDED"/>
          </w:tcPr>
          <w:p>
            <w:pPr>
              <w:ind w:left="1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Gerald S. Adolph</w:t>
            </w:r>
          </w:p>
        </w:tc>
        <w:tc>
          <w:tcPr>
            <w:tcW w:w="340" w:type="dxa"/>
            <w:vAlign w:val="bottom"/>
            <w:shd w:val="clear" w:color="auto" w:fill="EDEDED"/>
          </w:tcPr>
          <w:p>
            <w:pPr>
              <w:spacing w:after="0"/>
              <w:rPr>
                <w:sz w:val="6"/>
                <w:szCs w:val="6"/>
                <w:color w:val="auto"/>
              </w:rPr>
            </w:pPr>
          </w:p>
        </w:tc>
        <w:tc>
          <w:tcPr>
            <w:tcW w:w="20" w:type="dxa"/>
            <w:vAlign w:val="bottom"/>
            <w:shd w:val="clear" w:color="auto" w:fill="EDEDED"/>
          </w:tcPr>
          <w:p>
            <w:pPr>
              <w:spacing w:after="0"/>
              <w:rPr>
                <w:sz w:val="6"/>
                <w:szCs w:val="6"/>
                <w:color w:val="auto"/>
              </w:rPr>
            </w:pPr>
          </w:p>
        </w:tc>
        <w:tc>
          <w:tcPr>
            <w:tcW w:w="280" w:type="dxa"/>
            <w:vAlign w:val="bottom"/>
            <w:shd w:val="clear" w:color="auto" w:fill="EDEDED"/>
          </w:tcPr>
          <w:p>
            <w:pPr>
              <w:spacing w:after="0"/>
              <w:rPr>
                <w:sz w:val="6"/>
                <w:szCs w:val="6"/>
                <w:color w:val="auto"/>
              </w:rPr>
            </w:pPr>
          </w:p>
        </w:tc>
        <w:tc>
          <w:tcPr>
            <w:tcW w:w="380" w:type="dxa"/>
            <w:vAlign w:val="bottom"/>
            <w:shd w:val="clear" w:color="auto" w:fill="EDEDED"/>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7160" w:type="dxa"/>
            <w:vAlign w:val="bottom"/>
            <w:vMerge w:val="restart"/>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Determines annually, for senior officers (including the CEO), corporate and business unit goals and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1740" w:type="dxa"/>
            <w:vAlign w:val="bottom"/>
            <w:vMerge w:val="continue"/>
            <w:shd w:val="clear" w:color="auto" w:fill="EDEDED"/>
          </w:tcPr>
          <w:p>
            <w:pPr>
              <w:spacing w:after="0"/>
              <w:rPr>
                <w:sz w:val="15"/>
                <w:szCs w:val="15"/>
                <w:color w:val="auto"/>
              </w:rPr>
            </w:pPr>
          </w:p>
        </w:tc>
        <w:tc>
          <w:tcPr>
            <w:tcW w:w="340" w:type="dxa"/>
            <w:vAlign w:val="bottom"/>
            <w:shd w:val="clear" w:color="auto" w:fill="EDEDED"/>
          </w:tcPr>
          <w:p>
            <w:pPr>
              <w:spacing w:after="0"/>
              <w:rPr>
                <w:sz w:val="15"/>
                <w:szCs w:val="15"/>
                <w:color w:val="auto"/>
              </w:rPr>
            </w:pPr>
          </w:p>
        </w:tc>
        <w:tc>
          <w:tcPr>
            <w:tcW w:w="20" w:type="dxa"/>
            <w:vAlign w:val="bottom"/>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38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71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shd w:val="clear" w:color="auto" w:fill="EDEDED"/>
          </w:tcPr>
          <w:p>
            <w:pPr>
              <w:spacing w:after="0"/>
              <w:rPr>
                <w:sz w:val="4"/>
                <w:szCs w:val="4"/>
                <w:color w:val="auto"/>
              </w:rPr>
            </w:pPr>
          </w:p>
        </w:tc>
        <w:tc>
          <w:tcPr>
            <w:tcW w:w="200" w:type="dxa"/>
            <w:vAlign w:val="bottom"/>
            <w:shd w:val="clear" w:color="auto" w:fill="EDEDED"/>
          </w:tcPr>
          <w:p>
            <w:pPr>
              <w:spacing w:after="0"/>
              <w:rPr>
                <w:sz w:val="4"/>
                <w:szCs w:val="4"/>
                <w:color w:val="auto"/>
              </w:rPr>
            </w:pPr>
          </w:p>
        </w:tc>
        <w:tc>
          <w:tcPr>
            <w:tcW w:w="1740" w:type="dxa"/>
            <w:vAlign w:val="bottom"/>
            <w:shd w:val="clear" w:color="auto" w:fill="EDEDED"/>
          </w:tcPr>
          <w:p>
            <w:pPr>
              <w:spacing w:after="0"/>
              <w:rPr>
                <w:sz w:val="4"/>
                <w:szCs w:val="4"/>
                <w:color w:val="auto"/>
              </w:rPr>
            </w:pPr>
          </w:p>
        </w:tc>
        <w:tc>
          <w:tcPr>
            <w:tcW w:w="340" w:type="dxa"/>
            <w:vAlign w:val="bottom"/>
            <w:shd w:val="clear" w:color="auto" w:fill="EDEDED"/>
          </w:tcPr>
          <w:p>
            <w:pPr>
              <w:spacing w:after="0"/>
              <w:rPr>
                <w:sz w:val="4"/>
                <w:szCs w:val="4"/>
                <w:color w:val="auto"/>
              </w:rPr>
            </w:pPr>
          </w:p>
        </w:tc>
        <w:tc>
          <w:tcPr>
            <w:tcW w:w="20" w:type="dxa"/>
            <w:vAlign w:val="bottom"/>
            <w:shd w:val="clear" w:color="auto" w:fill="EDEDED"/>
          </w:tcPr>
          <w:p>
            <w:pPr>
              <w:spacing w:after="0"/>
              <w:rPr>
                <w:sz w:val="4"/>
                <w:szCs w:val="4"/>
                <w:color w:val="auto"/>
              </w:rPr>
            </w:pPr>
          </w:p>
        </w:tc>
        <w:tc>
          <w:tcPr>
            <w:tcW w:w="280" w:type="dxa"/>
            <w:vAlign w:val="bottom"/>
            <w:shd w:val="clear" w:color="auto" w:fill="EDEDED"/>
          </w:tcPr>
          <w:p>
            <w:pPr>
              <w:spacing w:after="0"/>
              <w:rPr>
                <w:sz w:val="4"/>
                <w:szCs w:val="4"/>
                <w:color w:val="auto"/>
              </w:rPr>
            </w:pPr>
          </w:p>
        </w:tc>
        <w:tc>
          <w:tcPr>
            <w:tcW w:w="380" w:type="dxa"/>
            <w:vAlign w:val="bottom"/>
            <w:shd w:val="clear" w:color="auto" w:fill="EDEDED"/>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7160" w:type="dxa"/>
            <w:vAlign w:val="bottom"/>
          </w:tcPr>
          <w:p>
            <w:pPr>
              <w:ind w:left="160"/>
              <w:spacing w:after="0"/>
              <w:rPr>
                <w:sz w:val="20"/>
                <w:szCs w:val="20"/>
                <w:color w:val="auto"/>
              </w:rPr>
            </w:pPr>
            <w:r>
              <w:rPr>
                <w:rFonts w:ascii="Arial" w:cs="Arial" w:eastAsia="Arial" w:hAnsi="Arial"/>
                <w:sz w:val="16"/>
                <w:szCs w:val="16"/>
                <w:color w:val="auto"/>
              </w:rPr>
              <w:t>establishes the level of performance that must be achieved for each</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174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InaMarie F. Johnson</w:t>
            </w:r>
          </w:p>
        </w:tc>
        <w:tc>
          <w:tcPr>
            <w:tcW w:w="340" w:type="dxa"/>
            <w:vAlign w:val="bottom"/>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280" w:type="dxa"/>
            <w:vAlign w:val="bottom"/>
            <w:shd w:val="clear" w:color="auto" w:fill="EDEDED"/>
          </w:tcPr>
          <w:p>
            <w:pPr>
              <w:spacing w:after="0"/>
              <w:rPr>
                <w:sz w:val="17"/>
                <w:szCs w:val="17"/>
                <w:color w:val="auto"/>
              </w:rPr>
            </w:pPr>
          </w:p>
        </w:tc>
        <w:tc>
          <w:tcPr>
            <w:tcW w:w="38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Evaluates and determines the compensation of the CEO, senior officers, and Section 16 officers</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shd w:val="clear" w:color="auto" w:fill="EDEDED"/>
          </w:tcPr>
          <w:p>
            <w:pPr>
              <w:spacing w:after="0"/>
              <w:rPr>
                <w:sz w:val="22"/>
                <w:szCs w:val="22"/>
                <w:color w:val="auto"/>
              </w:rPr>
            </w:pPr>
          </w:p>
        </w:tc>
        <w:tc>
          <w:tcPr>
            <w:tcW w:w="200" w:type="dxa"/>
            <w:vAlign w:val="bottom"/>
            <w:shd w:val="clear" w:color="auto" w:fill="EDEDED"/>
          </w:tcPr>
          <w:p>
            <w:pPr>
              <w:spacing w:after="0"/>
              <w:rPr>
                <w:sz w:val="22"/>
                <w:szCs w:val="22"/>
                <w:color w:val="auto"/>
              </w:rPr>
            </w:pPr>
          </w:p>
        </w:tc>
        <w:tc>
          <w:tcPr>
            <w:tcW w:w="1740" w:type="dxa"/>
            <w:vAlign w:val="bottom"/>
            <w:shd w:val="clear" w:color="auto" w:fill="EDEDED"/>
          </w:tcPr>
          <w:p>
            <w:pPr>
              <w:ind w:left="12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Leslie A. Murphy</w:t>
            </w:r>
          </w:p>
        </w:tc>
        <w:tc>
          <w:tcPr>
            <w:tcW w:w="340" w:type="dxa"/>
            <w:vAlign w:val="bottom"/>
            <w:shd w:val="clear" w:color="auto" w:fill="EDEDED"/>
          </w:tcPr>
          <w:p>
            <w:pPr>
              <w:spacing w:after="0"/>
              <w:rPr>
                <w:sz w:val="22"/>
                <w:szCs w:val="22"/>
                <w:color w:val="auto"/>
              </w:rPr>
            </w:pPr>
          </w:p>
        </w:tc>
        <w:tc>
          <w:tcPr>
            <w:tcW w:w="20" w:type="dxa"/>
            <w:vAlign w:val="bottom"/>
            <w:shd w:val="clear" w:color="auto" w:fill="EDEDED"/>
          </w:tcPr>
          <w:p>
            <w:pPr>
              <w:spacing w:after="0"/>
              <w:rPr>
                <w:sz w:val="22"/>
                <w:szCs w:val="22"/>
                <w:color w:val="auto"/>
              </w:rPr>
            </w:pPr>
          </w:p>
        </w:tc>
        <w:tc>
          <w:tcPr>
            <w:tcW w:w="280" w:type="dxa"/>
            <w:vAlign w:val="bottom"/>
            <w:shd w:val="clear" w:color="auto" w:fill="EDEDED"/>
          </w:tcPr>
          <w:p>
            <w:pPr>
              <w:spacing w:after="0"/>
              <w:rPr>
                <w:sz w:val="22"/>
                <w:szCs w:val="22"/>
                <w:color w:val="auto"/>
              </w:rPr>
            </w:pPr>
          </w:p>
        </w:tc>
        <w:tc>
          <w:tcPr>
            <w:tcW w:w="380" w:type="dxa"/>
            <w:vAlign w:val="bottom"/>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stock ownership requirements for senior officers and Board members and compliance with</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200" w:type="dxa"/>
            <w:vAlign w:val="bottom"/>
            <w:shd w:val="clear" w:color="auto" w:fill="EDEDED"/>
          </w:tcPr>
          <w:p>
            <w:pPr>
              <w:spacing w:after="0"/>
              <w:rPr>
                <w:sz w:val="20"/>
                <w:szCs w:val="20"/>
                <w:color w:val="auto"/>
              </w:rPr>
            </w:pPr>
          </w:p>
        </w:tc>
        <w:tc>
          <w:tcPr>
            <w:tcW w:w="1740" w:type="dxa"/>
            <w:vAlign w:val="bottom"/>
            <w:vMerge w:val="restart"/>
            <w:shd w:val="clear" w:color="auto" w:fill="EDEDED"/>
          </w:tcPr>
          <w:p>
            <w:pPr>
              <w:ind w:left="120"/>
              <w:spacing w:after="0"/>
              <w:rPr>
                <w:sz w:val="20"/>
                <w:szCs w:val="20"/>
                <w:color w:val="auto"/>
              </w:rPr>
            </w:pPr>
            <w:r>
              <w:rPr>
                <w:rFonts w:ascii="Arial" w:cs="Arial" w:eastAsia="Arial" w:hAnsi="Arial"/>
                <w:sz w:val="16"/>
                <w:szCs w:val="16"/>
                <w:b w:val="1"/>
                <w:bCs w:val="1"/>
                <w:color w:val="auto"/>
              </w:rPr>
              <w:t>Meetings in 2023:</w:t>
            </w:r>
          </w:p>
        </w:tc>
        <w:tc>
          <w:tcPr>
            <w:tcW w:w="340" w:type="dxa"/>
            <w:vAlign w:val="bottom"/>
            <w:shd w:val="clear" w:color="auto" w:fill="EDEDED"/>
          </w:tcPr>
          <w:p>
            <w:pPr>
              <w:spacing w:after="0"/>
              <w:rPr>
                <w:sz w:val="20"/>
                <w:szCs w:val="20"/>
                <w:color w:val="auto"/>
              </w:rPr>
            </w:pPr>
          </w:p>
        </w:tc>
        <w:tc>
          <w:tcPr>
            <w:tcW w:w="20" w:type="dxa"/>
            <w:vAlign w:val="bottom"/>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38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92"/>
        </w:trPr>
        <w:tc>
          <w:tcPr>
            <w:tcW w:w="7160" w:type="dxa"/>
            <w:vAlign w:val="bottom"/>
            <w:vMerge w:val="restart"/>
          </w:tcPr>
          <w:p>
            <w:pPr>
              <w:ind w:left="160"/>
              <w:spacing w:after="0"/>
              <w:rPr>
                <w:sz w:val="20"/>
                <w:szCs w:val="20"/>
                <w:color w:val="auto"/>
              </w:rPr>
            </w:pPr>
            <w:r>
              <w:rPr>
                <w:rFonts w:ascii="Arial" w:cs="Arial" w:eastAsia="Arial" w:hAnsi="Arial"/>
                <w:sz w:val="16"/>
                <w:szCs w:val="16"/>
                <w:color w:val="auto"/>
              </w:rPr>
              <w:t>the requirements</w:t>
            </w: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shd w:val="clear" w:color="auto" w:fill="EDEDED"/>
          </w:tcPr>
          <w:p>
            <w:pPr>
              <w:spacing w:after="0"/>
              <w:rPr>
                <w:sz w:val="7"/>
                <w:szCs w:val="7"/>
                <w:color w:val="auto"/>
              </w:rPr>
            </w:pPr>
          </w:p>
        </w:tc>
        <w:tc>
          <w:tcPr>
            <w:tcW w:w="200" w:type="dxa"/>
            <w:vAlign w:val="bottom"/>
            <w:shd w:val="clear" w:color="auto" w:fill="EDEDED"/>
          </w:tcPr>
          <w:p>
            <w:pPr>
              <w:spacing w:after="0"/>
              <w:rPr>
                <w:sz w:val="7"/>
                <w:szCs w:val="7"/>
                <w:color w:val="auto"/>
              </w:rPr>
            </w:pPr>
          </w:p>
        </w:tc>
        <w:tc>
          <w:tcPr>
            <w:tcW w:w="1740" w:type="dxa"/>
            <w:vAlign w:val="bottom"/>
            <w:vMerge w:val="continue"/>
            <w:shd w:val="clear" w:color="auto" w:fill="EDEDED"/>
          </w:tcPr>
          <w:p>
            <w:pPr>
              <w:spacing w:after="0"/>
              <w:rPr>
                <w:sz w:val="7"/>
                <w:szCs w:val="7"/>
                <w:color w:val="auto"/>
              </w:rPr>
            </w:pPr>
          </w:p>
        </w:tc>
        <w:tc>
          <w:tcPr>
            <w:tcW w:w="340" w:type="dxa"/>
            <w:vAlign w:val="bottom"/>
            <w:shd w:val="clear" w:color="auto" w:fill="EDEDED"/>
          </w:tcPr>
          <w:p>
            <w:pPr>
              <w:spacing w:after="0"/>
              <w:rPr>
                <w:sz w:val="7"/>
                <w:szCs w:val="7"/>
                <w:color w:val="auto"/>
              </w:rPr>
            </w:pPr>
          </w:p>
        </w:tc>
        <w:tc>
          <w:tcPr>
            <w:tcW w:w="20" w:type="dxa"/>
            <w:vAlign w:val="bottom"/>
            <w:shd w:val="clear" w:color="auto" w:fill="EDEDED"/>
          </w:tcPr>
          <w:p>
            <w:pPr>
              <w:spacing w:after="0"/>
              <w:rPr>
                <w:sz w:val="7"/>
                <w:szCs w:val="7"/>
                <w:color w:val="auto"/>
              </w:rPr>
            </w:pPr>
          </w:p>
        </w:tc>
        <w:tc>
          <w:tcPr>
            <w:tcW w:w="280" w:type="dxa"/>
            <w:vAlign w:val="bottom"/>
            <w:shd w:val="clear" w:color="auto" w:fill="EDEDED"/>
          </w:tcPr>
          <w:p>
            <w:pPr>
              <w:spacing w:after="0"/>
              <w:rPr>
                <w:sz w:val="7"/>
                <w:szCs w:val="7"/>
                <w:color w:val="auto"/>
              </w:rPr>
            </w:pPr>
          </w:p>
        </w:tc>
        <w:tc>
          <w:tcPr>
            <w:tcW w:w="38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71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shd w:val="clear" w:color="auto" w:fill="EDEDED"/>
          </w:tcPr>
          <w:p>
            <w:pPr>
              <w:spacing w:after="0"/>
              <w:rPr>
                <w:sz w:val="9"/>
                <w:szCs w:val="9"/>
                <w:color w:val="auto"/>
              </w:rPr>
            </w:pPr>
          </w:p>
        </w:tc>
        <w:tc>
          <w:tcPr>
            <w:tcW w:w="200" w:type="dxa"/>
            <w:vAlign w:val="bottom"/>
            <w:shd w:val="clear" w:color="auto" w:fill="EDEDED"/>
          </w:tcPr>
          <w:p>
            <w:pPr>
              <w:spacing w:after="0"/>
              <w:rPr>
                <w:sz w:val="9"/>
                <w:szCs w:val="9"/>
                <w:color w:val="auto"/>
              </w:rPr>
            </w:pPr>
          </w:p>
        </w:tc>
        <w:tc>
          <w:tcPr>
            <w:tcW w:w="1740" w:type="dxa"/>
            <w:vAlign w:val="bottom"/>
            <w:vMerge w:val="restart"/>
            <w:shd w:val="clear" w:color="auto" w:fill="EDEDED"/>
          </w:tcPr>
          <w:p>
            <w:pPr>
              <w:ind w:left="120"/>
              <w:spacing w:after="0"/>
              <w:rPr>
                <w:sz w:val="20"/>
                <w:szCs w:val="20"/>
                <w:color w:val="auto"/>
              </w:rPr>
            </w:pPr>
            <w:r>
              <w:rPr>
                <w:rFonts w:ascii="Arial" w:cs="Arial" w:eastAsia="Arial" w:hAnsi="Arial"/>
                <w:sz w:val="35"/>
                <w:szCs w:val="35"/>
                <w:b w:val="1"/>
                <w:bCs w:val="1"/>
                <w:color w:val="0A9E50"/>
              </w:rPr>
              <w:t>4</w:t>
            </w:r>
          </w:p>
        </w:tc>
        <w:tc>
          <w:tcPr>
            <w:tcW w:w="340" w:type="dxa"/>
            <w:vAlign w:val="bottom"/>
            <w:shd w:val="clear" w:color="auto" w:fill="EDEDED"/>
          </w:tcPr>
          <w:p>
            <w:pPr>
              <w:spacing w:after="0"/>
              <w:rPr>
                <w:sz w:val="9"/>
                <w:szCs w:val="9"/>
                <w:color w:val="auto"/>
              </w:rPr>
            </w:pPr>
          </w:p>
        </w:tc>
        <w:tc>
          <w:tcPr>
            <w:tcW w:w="20" w:type="dxa"/>
            <w:vAlign w:val="bottom"/>
            <w:shd w:val="clear" w:color="auto" w:fill="EDEDED"/>
          </w:tcPr>
          <w:p>
            <w:pPr>
              <w:spacing w:after="0"/>
              <w:rPr>
                <w:sz w:val="9"/>
                <w:szCs w:val="9"/>
                <w:color w:val="auto"/>
              </w:rPr>
            </w:pPr>
          </w:p>
        </w:tc>
        <w:tc>
          <w:tcPr>
            <w:tcW w:w="280" w:type="dxa"/>
            <w:vAlign w:val="bottom"/>
            <w:shd w:val="clear" w:color="auto" w:fill="EDEDED"/>
          </w:tcPr>
          <w:p>
            <w:pPr>
              <w:spacing w:after="0"/>
              <w:rPr>
                <w:sz w:val="9"/>
                <w:szCs w:val="9"/>
                <w:color w:val="auto"/>
              </w:rPr>
            </w:pPr>
          </w:p>
        </w:tc>
        <w:tc>
          <w:tcPr>
            <w:tcW w:w="380" w:type="dxa"/>
            <w:vAlign w:val="bottom"/>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71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and makes recommendations to the Board concerning director compensation</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shd w:val="clear" w:color="auto" w:fill="EDEDED"/>
          </w:tcPr>
          <w:p>
            <w:pPr>
              <w:spacing w:after="0"/>
              <w:rPr>
                <w:sz w:val="20"/>
                <w:szCs w:val="20"/>
                <w:color w:val="auto"/>
              </w:rPr>
            </w:pPr>
          </w:p>
        </w:tc>
        <w:tc>
          <w:tcPr>
            <w:tcW w:w="200" w:type="dxa"/>
            <w:vAlign w:val="bottom"/>
            <w:shd w:val="clear" w:color="auto" w:fill="EDEDED"/>
          </w:tcPr>
          <w:p>
            <w:pPr>
              <w:spacing w:after="0"/>
              <w:rPr>
                <w:sz w:val="20"/>
                <w:szCs w:val="20"/>
                <w:color w:val="auto"/>
              </w:rPr>
            </w:pPr>
          </w:p>
        </w:tc>
        <w:tc>
          <w:tcPr>
            <w:tcW w:w="1740" w:type="dxa"/>
            <w:vAlign w:val="bottom"/>
            <w:vMerge w:val="continue"/>
            <w:shd w:val="clear" w:color="auto" w:fill="EDEDED"/>
          </w:tcPr>
          <w:p>
            <w:pPr>
              <w:spacing w:after="0"/>
              <w:rPr>
                <w:sz w:val="20"/>
                <w:szCs w:val="20"/>
                <w:color w:val="auto"/>
              </w:rPr>
            </w:pPr>
          </w:p>
        </w:tc>
        <w:tc>
          <w:tcPr>
            <w:tcW w:w="340" w:type="dxa"/>
            <w:vAlign w:val="bottom"/>
            <w:shd w:val="clear" w:color="auto" w:fill="EDEDED"/>
          </w:tcPr>
          <w:p>
            <w:pPr>
              <w:spacing w:after="0"/>
              <w:rPr>
                <w:sz w:val="20"/>
                <w:szCs w:val="20"/>
                <w:color w:val="auto"/>
              </w:rPr>
            </w:pPr>
          </w:p>
        </w:tc>
        <w:tc>
          <w:tcPr>
            <w:tcW w:w="20" w:type="dxa"/>
            <w:vAlign w:val="bottom"/>
            <w:shd w:val="clear" w:color="auto" w:fill="EDEDED"/>
          </w:tcPr>
          <w:p>
            <w:pPr>
              <w:spacing w:after="0"/>
              <w:rPr>
                <w:sz w:val="20"/>
                <w:szCs w:val="20"/>
                <w:color w:val="auto"/>
              </w:rPr>
            </w:pPr>
          </w:p>
        </w:tc>
        <w:tc>
          <w:tcPr>
            <w:tcW w:w="280" w:type="dxa"/>
            <w:vAlign w:val="bottom"/>
            <w:shd w:val="clear" w:color="auto" w:fill="EDEDED"/>
          </w:tcPr>
          <w:p>
            <w:pPr>
              <w:spacing w:after="0"/>
              <w:rPr>
                <w:sz w:val="20"/>
                <w:szCs w:val="20"/>
                <w:color w:val="auto"/>
              </w:rPr>
            </w:pPr>
          </w:p>
        </w:tc>
        <w:tc>
          <w:tcPr>
            <w:tcW w:w="38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7160" w:type="dxa"/>
            <w:vAlign w:val="bottom"/>
            <w:vMerge w:val="restart"/>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and advises the Board concerning CEO and senior officer succession planning and</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shd w:val="clear" w:color="auto" w:fill="EDEDED"/>
          </w:tcPr>
          <w:p>
            <w:pPr>
              <w:spacing w:after="0"/>
              <w:rPr>
                <w:sz w:val="9"/>
                <w:szCs w:val="9"/>
                <w:color w:val="auto"/>
              </w:rPr>
            </w:pPr>
          </w:p>
        </w:tc>
        <w:tc>
          <w:tcPr>
            <w:tcW w:w="200" w:type="dxa"/>
            <w:vAlign w:val="bottom"/>
            <w:shd w:val="clear" w:color="auto" w:fill="EDEDED"/>
          </w:tcPr>
          <w:p>
            <w:pPr>
              <w:spacing w:after="0"/>
              <w:rPr>
                <w:sz w:val="9"/>
                <w:szCs w:val="9"/>
                <w:color w:val="auto"/>
              </w:rPr>
            </w:pPr>
          </w:p>
        </w:tc>
        <w:tc>
          <w:tcPr>
            <w:tcW w:w="1740" w:type="dxa"/>
            <w:vAlign w:val="bottom"/>
            <w:vMerge w:val="continue"/>
            <w:shd w:val="clear" w:color="auto" w:fill="EDEDED"/>
          </w:tcPr>
          <w:p>
            <w:pPr>
              <w:spacing w:after="0"/>
              <w:rPr>
                <w:sz w:val="9"/>
                <w:szCs w:val="9"/>
                <w:color w:val="auto"/>
              </w:rPr>
            </w:pPr>
          </w:p>
        </w:tc>
        <w:tc>
          <w:tcPr>
            <w:tcW w:w="340" w:type="dxa"/>
            <w:vAlign w:val="bottom"/>
            <w:shd w:val="clear" w:color="auto" w:fill="EDEDED"/>
          </w:tcPr>
          <w:p>
            <w:pPr>
              <w:spacing w:after="0"/>
              <w:rPr>
                <w:sz w:val="9"/>
                <w:szCs w:val="9"/>
                <w:color w:val="auto"/>
              </w:rPr>
            </w:pPr>
          </w:p>
        </w:tc>
        <w:tc>
          <w:tcPr>
            <w:tcW w:w="20" w:type="dxa"/>
            <w:vAlign w:val="bottom"/>
            <w:shd w:val="clear" w:color="auto" w:fill="EDEDED"/>
          </w:tcPr>
          <w:p>
            <w:pPr>
              <w:spacing w:after="0"/>
              <w:rPr>
                <w:sz w:val="9"/>
                <w:szCs w:val="9"/>
                <w:color w:val="auto"/>
              </w:rPr>
            </w:pPr>
          </w:p>
        </w:tc>
        <w:tc>
          <w:tcPr>
            <w:tcW w:w="280" w:type="dxa"/>
            <w:vAlign w:val="bottom"/>
            <w:shd w:val="clear" w:color="auto" w:fill="EDEDED"/>
          </w:tcPr>
          <w:p>
            <w:pPr>
              <w:spacing w:after="0"/>
              <w:rPr>
                <w:sz w:val="9"/>
                <w:szCs w:val="9"/>
                <w:color w:val="auto"/>
              </w:rPr>
            </w:pPr>
          </w:p>
        </w:tc>
        <w:tc>
          <w:tcPr>
            <w:tcW w:w="380" w:type="dxa"/>
            <w:vAlign w:val="bottom"/>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7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EDEDED"/>
            </w:tcBorders>
            <w:shd w:val="clear" w:color="auto" w:fill="EDEDED"/>
          </w:tcPr>
          <w:p>
            <w:pPr>
              <w:spacing w:after="0"/>
              <w:rPr>
                <w:sz w:val="14"/>
                <w:szCs w:val="14"/>
                <w:color w:val="auto"/>
              </w:rPr>
            </w:pPr>
          </w:p>
        </w:tc>
        <w:tc>
          <w:tcPr>
            <w:tcW w:w="200" w:type="dxa"/>
            <w:vAlign w:val="bottom"/>
            <w:tcBorders>
              <w:bottom w:val="single" w:sz="8" w:color="EDEDED"/>
            </w:tcBorders>
            <w:shd w:val="clear" w:color="auto" w:fill="EDEDED"/>
          </w:tcPr>
          <w:p>
            <w:pPr>
              <w:spacing w:after="0"/>
              <w:rPr>
                <w:sz w:val="14"/>
                <w:szCs w:val="14"/>
                <w:color w:val="auto"/>
              </w:rPr>
            </w:pPr>
          </w:p>
        </w:tc>
        <w:tc>
          <w:tcPr>
            <w:tcW w:w="1740" w:type="dxa"/>
            <w:vAlign w:val="bottom"/>
            <w:tcBorders>
              <w:bottom w:val="single" w:sz="8" w:color="EDEDED"/>
            </w:tcBorders>
            <w:shd w:val="clear" w:color="auto" w:fill="EDEDED"/>
          </w:tcPr>
          <w:p>
            <w:pPr>
              <w:spacing w:after="0"/>
              <w:rPr>
                <w:sz w:val="14"/>
                <w:szCs w:val="14"/>
                <w:color w:val="auto"/>
              </w:rPr>
            </w:pPr>
          </w:p>
        </w:tc>
        <w:tc>
          <w:tcPr>
            <w:tcW w:w="340" w:type="dxa"/>
            <w:vAlign w:val="bottom"/>
            <w:tcBorders>
              <w:bottom w:val="single" w:sz="8" w:color="EDEDED"/>
            </w:tcBorders>
            <w:shd w:val="clear" w:color="auto" w:fill="EDEDED"/>
          </w:tcPr>
          <w:p>
            <w:pPr>
              <w:spacing w:after="0"/>
              <w:rPr>
                <w:sz w:val="14"/>
                <w:szCs w:val="14"/>
                <w:color w:val="auto"/>
              </w:rPr>
            </w:pPr>
          </w:p>
        </w:tc>
        <w:tc>
          <w:tcPr>
            <w:tcW w:w="20" w:type="dxa"/>
            <w:vAlign w:val="bottom"/>
            <w:tcBorders>
              <w:bottom w:val="single" w:sz="8" w:color="EDEDED"/>
            </w:tcBorders>
            <w:shd w:val="clear" w:color="auto" w:fill="EDEDED"/>
          </w:tcPr>
          <w:p>
            <w:pPr>
              <w:spacing w:after="0"/>
              <w:rPr>
                <w:sz w:val="14"/>
                <w:szCs w:val="14"/>
                <w:color w:val="auto"/>
              </w:rPr>
            </w:pPr>
          </w:p>
        </w:tc>
        <w:tc>
          <w:tcPr>
            <w:tcW w:w="280" w:type="dxa"/>
            <w:vAlign w:val="bottom"/>
            <w:tcBorders>
              <w:bottom w:val="single" w:sz="8" w:color="EDEDED"/>
            </w:tcBorders>
            <w:shd w:val="clear" w:color="auto" w:fill="EDEDED"/>
          </w:tcPr>
          <w:p>
            <w:pPr>
              <w:spacing w:after="0"/>
              <w:rPr>
                <w:sz w:val="14"/>
                <w:szCs w:val="14"/>
                <w:color w:val="auto"/>
              </w:rPr>
            </w:pPr>
          </w:p>
        </w:tc>
        <w:tc>
          <w:tcPr>
            <w:tcW w:w="380" w:type="dxa"/>
            <w:vAlign w:val="bottom"/>
            <w:tcBorders>
              <w:bottom w:val="single" w:sz="8" w:color="EDEDED"/>
            </w:tcBorders>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60" w:type="dxa"/>
            <w:vAlign w:val="bottom"/>
          </w:tcPr>
          <w:p>
            <w:pPr>
              <w:ind w:left="160"/>
              <w:spacing w:after="0" w:line="180" w:lineRule="exact"/>
              <w:rPr>
                <w:sz w:val="20"/>
                <w:szCs w:val="20"/>
                <w:color w:val="auto"/>
              </w:rPr>
            </w:pPr>
            <w:r>
              <w:rPr>
                <w:rFonts w:ascii="Arial" w:cs="Arial" w:eastAsia="Arial" w:hAnsi="Arial"/>
                <w:sz w:val="16"/>
                <w:szCs w:val="16"/>
                <w:color w:val="auto"/>
              </w:rPr>
              <w:t>developmental opportunities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vMerge w:val="restart"/>
          </w:tcPr>
          <w:p>
            <w:pPr>
              <w:ind w:left="920"/>
              <w:spacing w:after="0"/>
              <w:rPr>
                <w:sz w:val="20"/>
                <w:szCs w:val="20"/>
                <w:color w:val="auto"/>
              </w:rPr>
            </w:pPr>
            <w:r>
              <w:rPr>
                <w:rFonts w:ascii="Arial" w:cs="Arial" w:eastAsia="Arial" w:hAnsi="Arial"/>
                <w:sz w:val="21"/>
                <w:szCs w:val="21"/>
                <w:color w:val="auto"/>
              </w:rPr>
              <w:t> </w:t>
            </w:r>
          </w:p>
        </w:tc>
        <w:tc>
          <w:tcPr>
            <w:tcW w:w="340" w:type="dxa"/>
            <w:vAlign w:val="bottom"/>
            <w:vMerge w:val="restart"/>
          </w:tcPr>
          <w:p>
            <w:pPr>
              <w:ind w:left="60"/>
              <w:spacing w:after="0"/>
              <w:rPr>
                <w:sz w:val="20"/>
                <w:szCs w:val="20"/>
                <w:color w:val="auto"/>
              </w:rPr>
            </w:pPr>
            <w:r>
              <w:rPr>
                <w:rFonts w:ascii="Arial" w:cs="Arial" w:eastAsia="Arial" w:hAnsi="Arial"/>
                <w:sz w:val="21"/>
                <w:szCs w:val="21"/>
                <w:color w:val="auto"/>
                <w:w w:val="96"/>
              </w:rPr>
              <w:t xml:space="preserve">  </w:t>
            </w:r>
          </w:p>
        </w:tc>
        <w:tc>
          <w:tcPr>
            <w:tcW w:w="20" w:type="dxa"/>
            <w:vAlign w:val="bottom"/>
          </w:tcPr>
          <w:p>
            <w:pPr>
              <w:spacing w:after="0"/>
              <w:rPr>
                <w:sz w:val="15"/>
                <w:szCs w:val="15"/>
                <w:color w:val="auto"/>
              </w:rPr>
            </w:pPr>
          </w:p>
        </w:tc>
        <w:tc>
          <w:tcPr>
            <w:tcW w:w="280" w:type="dxa"/>
            <w:vAlign w:val="bottom"/>
            <w:vMerge w:val="restart"/>
          </w:tcPr>
          <w:p>
            <w:pPr>
              <w:ind w:left="80"/>
              <w:spacing w:after="0"/>
              <w:rPr>
                <w:sz w:val="20"/>
                <w:szCs w:val="20"/>
                <w:color w:val="auto"/>
              </w:rPr>
            </w:pPr>
            <w:r>
              <w:rPr>
                <w:rFonts w:ascii="Arial" w:cs="Arial" w:eastAsia="Arial" w:hAnsi="Arial"/>
                <w:sz w:val="20"/>
                <w:szCs w:val="20"/>
                <w:color w:val="auto"/>
                <w:w w:val="70"/>
              </w:rPr>
              <w:t>  </w:t>
            </w:r>
          </w:p>
        </w:tc>
        <w:tc>
          <w:tcPr>
            <w:tcW w:w="380" w:type="dxa"/>
            <w:vAlign w:val="bottom"/>
            <w:vMerge w:val="restart"/>
          </w:tcPr>
          <w:p>
            <w:pPr>
              <w:jc w:val="center"/>
              <w:spacing w:after="0"/>
              <w:rPr>
                <w:sz w:val="20"/>
                <w:szCs w:val="20"/>
                <w:color w:val="auto"/>
              </w:rPr>
            </w:pPr>
            <w:r>
              <w:rPr>
                <w:rFonts w:ascii="Arial" w:cs="Arial" w:eastAsia="Arial" w:hAnsi="Arial"/>
                <w:sz w:val="21"/>
                <w:szCs w:val="21"/>
                <w:color w:val="auto"/>
                <w:w w:val="93"/>
              </w:rPr>
              <w:t>25</w:t>
            </w:r>
          </w:p>
        </w:tc>
        <w:tc>
          <w:tcPr>
            <w:tcW w:w="0" w:type="dxa"/>
            <w:vAlign w:val="bottom"/>
          </w:tcPr>
          <w:p>
            <w:pPr>
              <w:spacing w:after="0"/>
              <w:rPr>
                <w:sz w:val="1"/>
                <w:szCs w:val="1"/>
                <w:color w:val="auto"/>
              </w:rPr>
            </w:pPr>
          </w:p>
        </w:tc>
      </w:tr>
      <w:tr>
        <w:trPr>
          <w:trHeight w:val="145"/>
        </w:trPr>
        <w:tc>
          <w:tcPr>
            <w:tcW w:w="7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7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28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7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-222250</wp:posOffset>
            </wp:positionV>
            <wp:extent cx="396240" cy="189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96240" cy="18986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8"/>
        </w:trPr>
        <w:tc>
          <w:tcPr>
            <w:tcW w:w="9060" w:type="dxa"/>
            <w:vAlign w:val="bottom"/>
          </w:tcPr>
          <w:p>
            <w:pPr>
              <w:spacing w:after="0"/>
              <w:rPr>
                <w:sz w:val="20"/>
                <w:szCs w:val="20"/>
                <w:color w:val="auto"/>
              </w:rPr>
            </w:pPr>
            <w:r>
              <w:rPr>
                <w:rFonts w:ascii="Arial" w:cs="Arial" w:eastAsia="Arial" w:hAnsi="Arial"/>
                <w:sz w:val="13"/>
                <w:szCs w:val="13"/>
                <w:b w:val="1"/>
                <w:bCs w:val="1"/>
                <w:color w:val="auto"/>
              </w:rPr>
              <w:t>Corporate Governance</w:t>
            </w:r>
          </w:p>
        </w:tc>
        <w:tc>
          <w:tcPr>
            <w:tcW w:w="1380" w:type="dxa"/>
            <w:vAlign w:val="bottom"/>
          </w:tcPr>
          <w:p>
            <w:pPr>
              <w:spacing w:after="0"/>
              <w:rPr>
                <w:sz w:val="15"/>
                <w:szCs w:val="15"/>
                <w:color w:val="auto"/>
              </w:rPr>
            </w:pPr>
          </w:p>
        </w:tc>
      </w:tr>
      <w:tr>
        <w:trPr>
          <w:trHeight w:val="369"/>
        </w:trPr>
        <w:tc>
          <w:tcPr>
            <w:tcW w:w="90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and makes recommendations to the Company’s ESG Strategy and related risk</w:t>
            </w:r>
          </w:p>
        </w:tc>
        <w:tc>
          <w:tcPr>
            <w:tcW w:w="1380" w:type="dxa"/>
            <w:vAlign w:val="bottom"/>
          </w:tcPr>
          <w:p>
            <w:pPr>
              <w:spacing w:after="0"/>
              <w:rPr>
                <w:sz w:val="24"/>
                <w:szCs w:val="24"/>
                <w:color w:val="auto"/>
              </w:rPr>
            </w:pPr>
          </w:p>
        </w:tc>
      </w:tr>
      <w:tr>
        <w:trPr>
          <w:trHeight w:val="205"/>
        </w:trPr>
        <w:tc>
          <w:tcPr>
            <w:tcW w:w="9060" w:type="dxa"/>
            <w:vAlign w:val="bottom"/>
          </w:tcPr>
          <w:p>
            <w:pPr>
              <w:ind w:left="160"/>
              <w:spacing w:after="0"/>
              <w:rPr>
                <w:sz w:val="20"/>
                <w:szCs w:val="20"/>
                <w:color w:val="auto"/>
              </w:rPr>
            </w:pPr>
            <w:r>
              <w:rPr>
                <w:rFonts w:ascii="Arial" w:cs="Arial" w:eastAsia="Arial" w:hAnsi="Arial"/>
                <w:sz w:val="16"/>
                <w:szCs w:val="16"/>
                <w:color w:val="auto"/>
              </w:rPr>
              <w:t>management policies and procedures relative to human capital management</w:t>
            </w:r>
          </w:p>
        </w:tc>
        <w:tc>
          <w:tcPr>
            <w:tcW w:w="1380" w:type="dxa"/>
            <w:vAlign w:val="bottom"/>
          </w:tcPr>
          <w:p>
            <w:pPr>
              <w:spacing w:after="0"/>
              <w:rPr>
                <w:sz w:val="17"/>
                <w:szCs w:val="17"/>
                <w:color w:val="auto"/>
              </w:rPr>
            </w:pPr>
          </w:p>
        </w:tc>
      </w:tr>
      <w:tr>
        <w:trPr>
          <w:trHeight w:val="237"/>
        </w:trPr>
        <w:tc>
          <w:tcPr>
            <w:tcW w:w="9060" w:type="dxa"/>
            <w:vAlign w:val="bottom"/>
          </w:tcPr>
          <w:p>
            <w:pPr>
              <w:spacing w:after="0"/>
              <w:rPr>
                <w:sz w:val="20"/>
                <w:szCs w:val="20"/>
                <w:color w:val="auto"/>
              </w:rPr>
            </w:pPr>
            <w:r>
              <w:rPr>
                <w:rFonts w:ascii="Times New Roman" w:cs="Times New Roman" w:eastAsia="Times New Roman" w:hAnsi="Times New Roman"/>
                <w:sz w:val="12"/>
                <w:szCs w:val="12"/>
                <w:color w:val="0A9E50"/>
                <w:w w:val="98"/>
              </w:rPr>
              <w:t>●</w:t>
            </w:r>
            <w:r>
              <w:rPr>
                <w:rFonts w:ascii="Arial" w:cs="Arial" w:eastAsia="Arial" w:hAnsi="Arial"/>
                <w:sz w:val="15"/>
                <w:szCs w:val="15"/>
                <w:color w:val="000000"/>
                <w:w w:val="98"/>
              </w:rPr>
              <w:t xml:space="preserve">  Appoints, compensates and oversees the work performed by an independent compensation or legal       </w:t>
            </w:r>
            <w:r>
              <w:rPr>
                <w:rFonts w:ascii="Arial" w:cs="Arial" w:eastAsia="Arial" w:hAnsi="Arial"/>
                <w:sz w:val="4"/>
                <w:szCs w:val="4"/>
                <w:color w:val="auto"/>
                <w:w w:val="98"/>
              </w:rPr>
              <w:t> </w:t>
            </w:r>
          </w:p>
        </w:tc>
        <w:tc>
          <w:tcPr>
            <w:tcW w:w="1380" w:type="dxa"/>
            <w:vAlign w:val="bottom"/>
          </w:tcPr>
          <w:p>
            <w:pPr>
              <w:ind w:left="1340"/>
              <w:spacing w:after="0"/>
              <w:rPr>
                <w:sz w:val="20"/>
                <w:szCs w:val="20"/>
                <w:color w:val="auto"/>
              </w:rPr>
            </w:pPr>
            <w:r>
              <w:rPr>
                <w:rFonts w:ascii="Arial" w:cs="Arial" w:eastAsia="Arial" w:hAnsi="Arial"/>
                <w:sz w:val="2"/>
                <w:szCs w:val="2"/>
                <w:color w:val="auto"/>
                <w:w w:val="97"/>
              </w:rPr>
              <w:t> </w:t>
            </w:r>
          </w:p>
        </w:tc>
      </w:tr>
      <w:tr>
        <w:trPr>
          <w:trHeight w:val="205"/>
        </w:trPr>
        <w:tc>
          <w:tcPr>
            <w:tcW w:w="9060" w:type="dxa"/>
            <w:vAlign w:val="bottom"/>
          </w:tcPr>
          <w:p>
            <w:pPr>
              <w:ind w:left="160"/>
              <w:spacing w:after="0"/>
              <w:rPr>
                <w:sz w:val="20"/>
                <w:szCs w:val="20"/>
                <w:color w:val="auto"/>
              </w:rPr>
            </w:pPr>
            <w:r>
              <w:rPr>
                <w:rFonts w:ascii="Arial" w:cs="Arial" w:eastAsia="Arial" w:hAnsi="Arial"/>
                <w:sz w:val="16"/>
                <w:szCs w:val="16"/>
                <w:color w:val="auto"/>
              </w:rPr>
              <w:t>advisor</w:t>
            </w:r>
          </w:p>
        </w:tc>
        <w:tc>
          <w:tcPr>
            <w:tcW w:w="1380" w:type="dxa"/>
            <w:vAlign w:val="bottom"/>
          </w:tcPr>
          <w:p>
            <w:pPr>
              <w:spacing w:after="0"/>
              <w:rPr>
                <w:sz w:val="17"/>
                <w:szCs w:val="17"/>
                <w:color w:val="auto"/>
              </w:rPr>
            </w:pPr>
          </w:p>
        </w:tc>
      </w:tr>
      <w:tr>
        <w:trPr>
          <w:trHeight w:val="237"/>
        </w:trPr>
        <w:tc>
          <w:tcPr>
            <w:tcW w:w="906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Oversees the Company’s strategies, initiatives, and programs related to human capital management</w:t>
            </w:r>
          </w:p>
        </w:tc>
        <w:tc>
          <w:tcPr>
            <w:tcW w:w="1380" w:type="dxa"/>
            <w:vAlign w:val="bottom"/>
          </w:tcPr>
          <w:p>
            <w:pPr>
              <w:spacing w:after="0"/>
              <w:rPr>
                <w:sz w:val="20"/>
                <w:szCs w:val="20"/>
                <w:color w:val="auto"/>
              </w:rPr>
            </w:pPr>
          </w:p>
        </w:tc>
      </w:tr>
      <w:tr>
        <w:trPr>
          <w:trHeight w:val="182"/>
        </w:trPr>
        <w:tc>
          <w:tcPr>
            <w:tcW w:w="9060" w:type="dxa"/>
            <w:vAlign w:val="bottom"/>
          </w:tcPr>
          <w:p>
            <w:pPr>
              <w:ind w:left="160"/>
              <w:spacing w:after="0" w:line="182" w:lineRule="exact"/>
              <w:rPr>
                <w:sz w:val="20"/>
                <w:szCs w:val="20"/>
                <w:color w:val="auto"/>
              </w:rPr>
            </w:pPr>
            <w:r>
              <w:rPr>
                <w:rFonts w:ascii="Arial" w:cs="Arial" w:eastAsia="Arial" w:hAnsi="Arial"/>
                <w:sz w:val="16"/>
                <w:szCs w:val="16"/>
                <w:color w:val="auto"/>
              </w:rPr>
              <w:t>and determines their effectiveness, including with respect to diversity, equity, and inclusion,</w:t>
            </w:r>
          </w:p>
        </w:tc>
        <w:tc>
          <w:tcPr>
            <w:tcW w:w="1380" w:type="dxa"/>
            <w:vAlign w:val="bottom"/>
          </w:tcPr>
          <w:p>
            <w:pPr>
              <w:spacing w:after="0"/>
              <w:rPr>
                <w:sz w:val="15"/>
                <w:szCs w:val="15"/>
                <w:color w:val="auto"/>
              </w:rPr>
            </w:pPr>
          </w:p>
        </w:tc>
      </w:tr>
      <w:tr>
        <w:trPr>
          <w:trHeight w:val="182"/>
        </w:trPr>
        <w:tc>
          <w:tcPr>
            <w:tcW w:w="9060" w:type="dxa"/>
            <w:vAlign w:val="bottom"/>
          </w:tcPr>
          <w:p>
            <w:pPr>
              <w:ind w:left="160"/>
              <w:spacing w:after="0" w:line="182" w:lineRule="exact"/>
              <w:rPr>
                <w:sz w:val="20"/>
                <w:szCs w:val="20"/>
                <w:color w:val="auto"/>
              </w:rPr>
            </w:pPr>
            <w:r>
              <w:rPr>
                <w:rFonts w:ascii="Arial" w:cs="Arial" w:eastAsia="Arial" w:hAnsi="Arial"/>
                <w:sz w:val="16"/>
                <w:szCs w:val="16"/>
                <w:color w:val="auto"/>
              </w:rPr>
              <w:t>workplace and culture, benefits and well-being, employee engagement, performance management,</w:t>
            </w:r>
          </w:p>
        </w:tc>
        <w:tc>
          <w:tcPr>
            <w:tcW w:w="1380" w:type="dxa"/>
            <w:vAlign w:val="bottom"/>
          </w:tcPr>
          <w:p>
            <w:pPr>
              <w:spacing w:after="0"/>
              <w:rPr>
                <w:sz w:val="15"/>
                <w:szCs w:val="15"/>
                <w:color w:val="auto"/>
              </w:rPr>
            </w:pPr>
          </w:p>
        </w:tc>
      </w:tr>
      <w:tr>
        <w:trPr>
          <w:trHeight w:val="205"/>
        </w:trPr>
        <w:tc>
          <w:tcPr>
            <w:tcW w:w="9060" w:type="dxa"/>
            <w:vAlign w:val="bottom"/>
          </w:tcPr>
          <w:p>
            <w:pPr>
              <w:ind w:left="160"/>
              <w:spacing w:after="0"/>
              <w:rPr>
                <w:sz w:val="20"/>
                <w:szCs w:val="20"/>
                <w:color w:val="auto"/>
              </w:rPr>
            </w:pPr>
            <w:r>
              <w:rPr>
                <w:rFonts w:ascii="Arial" w:cs="Arial" w:eastAsia="Arial" w:hAnsi="Arial"/>
                <w:sz w:val="16"/>
                <w:szCs w:val="16"/>
                <w:color w:val="auto"/>
              </w:rPr>
              <w:t>and talent recruitment, development, and retention</w:t>
            </w:r>
          </w:p>
        </w:tc>
        <w:tc>
          <w:tcPr>
            <w:tcW w:w="1380" w:type="dxa"/>
            <w:vAlign w:val="bottom"/>
          </w:tcPr>
          <w:p>
            <w:pPr>
              <w:spacing w:after="0"/>
              <w:rPr>
                <w:sz w:val="17"/>
                <w:szCs w:val="17"/>
                <w:color w:val="auto"/>
              </w:rPr>
            </w:pPr>
          </w:p>
        </w:tc>
      </w:tr>
      <w:tr>
        <w:trPr>
          <w:trHeight w:val="338"/>
        </w:trPr>
        <w:tc>
          <w:tcPr>
            <w:tcW w:w="9060" w:type="dxa"/>
            <w:vAlign w:val="bottom"/>
          </w:tcPr>
          <w:p>
            <w:pPr>
              <w:spacing w:after="0"/>
              <w:rPr>
                <w:sz w:val="20"/>
                <w:szCs w:val="20"/>
                <w:color w:val="auto"/>
              </w:rPr>
            </w:pPr>
            <w:r>
              <w:rPr>
                <w:rFonts w:ascii="Arial" w:cs="Arial" w:eastAsia="Arial" w:hAnsi="Arial"/>
                <w:sz w:val="16"/>
                <w:szCs w:val="16"/>
                <w:i w:val="1"/>
                <w:iCs w:val="1"/>
                <w:color w:val="auto"/>
              </w:rPr>
              <w:t>Compensation and Talent Management Committee Interlocks and Insider Participation</w:t>
            </w:r>
          </w:p>
        </w:tc>
        <w:tc>
          <w:tcPr>
            <w:tcW w:w="1380" w:type="dxa"/>
            <w:vAlign w:val="bottom"/>
          </w:tcPr>
          <w:p>
            <w:pPr>
              <w:spacing w:after="0"/>
              <w:rPr>
                <w:sz w:val="24"/>
                <w:szCs w:val="24"/>
                <w:color w:val="auto"/>
              </w:rPr>
            </w:pPr>
          </w:p>
        </w:tc>
      </w:tr>
      <w:tr>
        <w:trPr>
          <w:trHeight w:val="237"/>
        </w:trPr>
        <w:tc>
          <w:tcPr>
            <w:tcW w:w="9060" w:type="dxa"/>
            <w:vAlign w:val="bottom"/>
          </w:tcPr>
          <w:p>
            <w:pPr>
              <w:spacing w:after="0"/>
              <w:rPr>
                <w:sz w:val="20"/>
                <w:szCs w:val="20"/>
                <w:color w:val="auto"/>
              </w:rPr>
            </w:pPr>
            <w:r>
              <w:rPr>
                <w:rFonts w:ascii="Arial" w:cs="Arial" w:eastAsia="Arial" w:hAnsi="Arial"/>
                <w:sz w:val="16"/>
                <w:szCs w:val="16"/>
                <w:color w:val="auto"/>
              </w:rPr>
              <w:t>During 2023, none of the Company’s executive officers served on the Board of Directors of any entities</w:t>
            </w:r>
          </w:p>
        </w:tc>
        <w:tc>
          <w:tcPr>
            <w:tcW w:w="1380" w:type="dxa"/>
            <w:vAlign w:val="bottom"/>
          </w:tcPr>
          <w:p>
            <w:pPr>
              <w:spacing w:after="0"/>
              <w:rPr>
                <w:sz w:val="20"/>
                <w:szCs w:val="20"/>
                <w:color w:val="auto"/>
              </w:rPr>
            </w:pPr>
          </w:p>
        </w:tc>
      </w:tr>
      <w:tr>
        <w:trPr>
          <w:trHeight w:val="182"/>
        </w:trPr>
        <w:tc>
          <w:tcPr>
            <w:tcW w:w="9060" w:type="dxa"/>
            <w:vAlign w:val="bottom"/>
          </w:tcPr>
          <w:p>
            <w:pPr>
              <w:spacing w:after="0" w:line="182" w:lineRule="exact"/>
              <w:rPr>
                <w:sz w:val="20"/>
                <w:szCs w:val="20"/>
                <w:color w:val="auto"/>
              </w:rPr>
            </w:pPr>
            <w:r>
              <w:rPr>
                <w:rFonts w:ascii="Arial" w:cs="Arial" w:eastAsia="Arial" w:hAnsi="Arial"/>
                <w:sz w:val="16"/>
                <w:szCs w:val="16"/>
                <w:color w:val="auto"/>
              </w:rPr>
              <w:t>whose directors or officers served on the Company’s Compensation and Talent Management</w:t>
            </w:r>
          </w:p>
        </w:tc>
        <w:tc>
          <w:tcPr>
            <w:tcW w:w="1380" w:type="dxa"/>
            <w:vAlign w:val="bottom"/>
          </w:tcPr>
          <w:p>
            <w:pPr>
              <w:spacing w:after="0"/>
              <w:rPr>
                <w:sz w:val="15"/>
                <w:szCs w:val="15"/>
                <w:color w:val="auto"/>
              </w:rPr>
            </w:pPr>
          </w:p>
        </w:tc>
      </w:tr>
      <w:tr>
        <w:trPr>
          <w:trHeight w:val="182"/>
        </w:trPr>
        <w:tc>
          <w:tcPr>
            <w:tcW w:w="9060" w:type="dxa"/>
            <w:vAlign w:val="bottom"/>
          </w:tcPr>
          <w:p>
            <w:pPr>
              <w:spacing w:after="0" w:line="182" w:lineRule="exact"/>
              <w:rPr>
                <w:sz w:val="20"/>
                <w:szCs w:val="20"/>
                <w:color w:val="auto"/>
              </w:rPr>
            </w:pPr>
            <w:r>
              <w:rPr>
                <w:rFonts w:ascii="Arial" w:cs="Arial" w:eastAsia="Arial" w:hAnsi="Arial"/>
                <w:sz w:val="16"/>
                <w:szCs w:val="16"/>
                <w:color w:val="auto"/>
              </w:rPr>
              <w:t>Committee. No current or past executive officers of the Company or its subsidiaries serve on the</w:t>
            </w:r>
          </w:p>
        </w:tc>
        <w:tc>
          <w:tcPr>
            <w:tcW w:w="1380" w:type="dxa"/>
            <w:vAlign w:val="bottom"/>
          </w:tcPr>
          <w:p>
            <w:pPr>
              <w:spacing w:after="0"/>
              <w:rPr>
                <w:sz w:val="15"/>
                <w:szCs w:val="15"/>
                <w:color w:val="auto"/>
              </w:rPr>
            </w:pPr>
          </w:p>
        </w:tc>
      </w:tr>
      <w:tr>
        <w:trPr>
          <w:trHeight w:val="205"/>
        </w:trPr>
        <w:tc>
          <w:tcPr>
            <w:tcW w:w="9060" w:type="dxa"/>
            <w:vAlign w:val="bottom"/>
          </w:tcPr>
          <w:p>
            <w:pPr>
              <w:spacing w:after="0"/>
              <w:rPr>
                <w:sz w:val="20"/>
                <w:szCs w:val="20"/>
                <w:color w:val="auto"/>
              </w:rPr>
            </w:pPr>
            <w:r>
              <w:rPr>
                <w:rFonts w:ascii="Arial" w:cs="Arial" w:eastAsia="Arial" w:hAnsi="Arial"/>
                <w:sz w:val="16"/>
                <w:szCs w:val="16"/>
                <w:color w:val="auto"/>
              </w:rPr>
              <w:t>Compensation and Talent Management Committee.</w:t>
            </w:r>
          </w:p>
        </w:tc>
        <w:tc>
          <w:tcPr>
            <w:tcW w:w="1380" w:type="dxa"/>
            <w:vAlign w:val="bottom"/>
          </w:tcPr>
          <w:p>
            <w:pPr>
              <w:spacing w:after="0"/>
              <w:rPr>
                <w:sz w:val="17"/>
                <w:szCs w:val="17"/>
                <w:color w:val="auto"/>
              </w:rPr>
            </w:pPr>
          </w:p>
        </w:tc>
      </w:tr>
    </w:tbl>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color w:val="0A9E50"/>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6740525" cy="26435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40525" cy="264350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40" w:type="dxa"/>
            <w:vAlign w:val="bottom"/>
          </w:tcPr>
          <w:p>
            <w:pPr>
              <w:spacing w:after="0"/>
              <w:rPr>
                <w:sz w:val="20"/>
                <w:szCs w:val="20"/>
                <w:color w:val="auto"/>
              </w:rPr>
            </w:pPr>
            <w:r>
              <w:rPr>
                <w:rFonts w:ascii="Arial" w:cs="Arial" w:eastAsia="Arial" w:hAnsi="Arial"/>
                <w:sz w:val="16"/>
                <w:szCs w:val="16"/>
                <w:b w:val="1"/>
                <w:bCs w:val="1"/>
                <w:color w:val="auto"/>
              </w:rPr>
              <w:t>Key Responsibilities:</w:t>
            </w:r>
          </w:p>
        </w:tc>
        <w:tc>
          <w:tcPr>
            <w:tcW w:w="420" w:type="dxa"/>
            <w:vAlign w:val="bottom"/>
          </w:tcPr>
          <w:p>
            <w:pPr>
              <w:spacing w:after="0"/>
              <w:rPr>
                <w:sz w:val="22"/>
                <w:szCs w:val="22"/>
                <w:color w:val="auto"/>
              </w:rPr>
            </w:pPr>
          </w:p>
        </w:tc>
        <w:tc>
          <w:tcPr>
            <w:tcW w:w="280" w:type="dxa"/>
            <w:vAlign w:val="bottom"/>
            <w:tcBorders>
              <w:bottom w:val="single" w:sz="8" w:color="EDEDED"/>
            </w:tcBorders>
            <w:shd w:val="clear" w:color="auto" w:fill="EDEDED"/>
          </w:tcPr>
          <w:p>
            <w:pPr>
              <w:spacing w:after="0"/>
              <w:rPr>
                <w:sz w:val="22"/>
                <w:szCs w:val="22"/>
                <w:color w:val="auto"/>
              </w:rPr>
            </w:pPr>
          </w:p>
        </w:tc>
        <w:tc>
          <w:tcPr>
            <w:tcW w:w="2320" w:type="dxa"/>
            <w:vAlign w:val="bottom"/>
            <w:tcBorders>
              <w:bottom w:val="single" w:sz="8" w:color="EDEDED"/>
            </w:tcBorders>
            <w:shd w:val="clear" w:color="auto" w:fill="EDEDED"/>
          </w:tcPr>
          <w:p>
            <w:pPr>
              <w:spacing w:after="0"/>
              <w:rPr>
                <w:sz w:val="22"/>
                <w:szCs w:val="22"/>
                <w:color w:val="auto"/>
              </w:rPr>
            </w:pPr>
          </w:p>
        </w:tc>
        <w:tc>
          <w:tcPr>
            <w:tcW w:w="460" w:type="dxa"/>
            <w:vAlign w:val="bottom"/>
            <w:tcBorders>
              <w:bottom w:val="single" w:sz="8" w:color="EDEDED"/>
            </w:tcBorders>
            <w:shd w:val="clear" w:color="auto" w:fill="EDEDED"/>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Develops and oversees compliance with the Company’s Corporate Governance Principles</w:t>
            </w:r>
          </w:p>
        </w:tc>
        <w:tc>
          <w:tcPr>
            <w:tcW w:w="420" w:type="dxa"/>
            <w:vAlign w:val="bottom"/>
          </w:tcPr>
          <w:p>
            <w:pPr>
              <w:ind w:left="80"/>
              <w:spacing w:after="0"/>
              <w:rPr>
                <w:sz w:val="20"/>
                <w:szCs w:val="20"/>
                <w:color w:val="auto"/>
              </w:rPr>
            </w:pPr>
            <w:r>
              <w:rPr>
                <w:rFonts w:ascii="Arial" w:cs="Arial" w:eastAsia="Arial" w:hAnsi="Arial"/>
                <w:sz w:val="16"/>
                <w:szCs w:val="16"/>
                <w:color w:val="auto"/>
              </w:rPr>
              <w:t xml:space="preserve">    </w:t>
            </w:r>
          </w:p>
        </w:tc>
        <w:tc>
          <w:tcPr>
            <w:tcW w:w="280" w:type="dxa"/>
            <w:vAlign w:val="bottom"/>
          </w:tcPr>
          <w:p>
            <w:pPr>
              <w:ind w:left="100"/>
              <w:spacing w:after="0"/>
              <w:rPr>
                <w:sz w:val="20"/>
                <w:szCs w:val="20"/>
                <w:color w:val="auto"/>
              </w:rPr>
            </w:pPr>
            <w:r>
              <w:rPr>
                <w:rFonts w:ascii="Arial" w:cs="Arial" w:eastAsia="Arial" w:hAnsi="Arial"/>
                <w:sz w:val="16"/>
                <w:szCs w:val="16"/>
                <w:color w:val="auto"/>
                <w:w w:val="99"/>
              </w:rPr>
              <w:t> </w:t>
            </w:r>
          </w:p>
        </w:tc>
        <w:tc>
          <w:tcPr>
            <w:tcW w:w="2320" w:type="dxa"/>
            <w:vAlign w:val="bottom"/>
          </w:tcPr>
          <w:p>
            <w:pPr>
              <w:ind w:left="140"/>
              <w:spacing w:after="0"/>
              <w:rPr>
                <w:sz w:val="20"/>
                <w:szCs w:val="20"/>
                <w:color w:val="auto"/>
              </w:rPr>
            </w:pPr>
            <w:r>
              <w:rPr>
                <w:rFonts w:ascii="Arial" w:cs="Arial" w:eastAsia="Arial" w:hAnsi="Arial"/>
                <w:sz w:val="16"/>
                <w:szCs w:val="16"/>
                <w:b w:val="1"/>
                <w:bCs w:val="1"/>
                <w:color w:val="auto"/>
              </w:rPr>
              <w:t xml:space="preserve">Members: </w:t>
            </w:r>
            <w:r>
              <w:rPr>
                <w:rFonts w:ascii="Arial" w:cs="Arial" w:eastAsia="Arial" w:hAnsi="Arial"/>
                <w:sz w:val="16"/>
                <w:szCs w:val="16"/>
                <w:b w:val="1"/>
                <w:bCs w:val="1"/>
                <w:color w:val="0A9E50"/>
              </w:rPr>
              <w:t>All Independent</w:t>
            </w:r>
          </w:p>
        </w:tc>
        <w:tc>
          <w:tcPr>
            <w:tcW w:w="460" w:type="dxa"/>
            <w:vAlign w:val="bottom"/>
          </w:tcPr>
          <w:p>
            <w:pPr>
              <w:ind w:left="24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2"/>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and makes recommendations to the Board with respect to corporate governance matters</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Gerald S. Adolph</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140" w:type="dxa"/>
            <w:vAlign w:val="bottom"/>
          </w:tcPr>
          <w:p>
            <w:pPr>
              <w:ind w:left="160"/>
              <w:spacing w:after="0"/>
              <w:rPr>
                <w:sz w:val="20"/>
                <w:szCs w:val="20"/>
                <w:color w:val="auto"/>
              </w:rPr>
            </w:pPr>
            <w:r>
              <w:rPr>
                <w:rFonts w:ascii="Arial" w:cs="Arial" w:eastAsia="Arial" w:hAnsi="Arial"/>
                <w:sz w:val="16"/>
                <w:szCs w:val="16"/>
                <w:color w:val="auto"/>
              </w:rPr>
              <w:t>generally</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tcPr>
          <w:p>
            <w:pPr>
              <w:ind w:left="280"/>
              <w:spacing w:after="0"/>
              <w:rPr>
                <w:sz w:val="20"/>
                <w:szCs w:val="20"/>
                <w:color w:val="auto"/>
              </w:rPr>
            </w:pPr>
            <w:r>
              <w:rPr>
                <w:rFonts w:ascii="Arial" w:cs="Arial" w:eastAsia="Arial" w:hAnsi="Arial"/>
                <w:sz w:val="16"/>
                <w:szCs w:val="16"/>
                <w:color w:val="auto"/>
              </w:rPr>
              <w:t>(Chair)</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Engages in succession planning for our Board of Directors</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Robert S. Cubbin</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Makes recommendations to the Board regarding the size, composition, and leadership structure of</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Amala Duggirala</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40" w:type="dxa"/>
            <w:vAlign w:val="bottom"/>
          </w:tcPr>
          <w:p>
            <w:pPr>
              <w:ind w:left="160"/>
              <w:spacing w:after="0"/>
              <w:rPr>
                <w:sz w:val="20"/>
                <w:szCs w:val="20"/>
                <w:color w:val="auto"/>
              </w:rPr>
            </w:pPr>
            <w:r>
              <w:rPr>
                <w:rFonts w:ascii="Arial" w:cs="Arial" w:eastAsia="Arial" w:hAnsi="Arial"/>
                <w:sz w:val="16"/>
                <w:szCs w:val="16"/>
                <w:color w:val="auto"/>
              </w:rPr>
              <w:t>the Board and its committees</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InaMarie F. Johnson</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7140" w:type="dxa"/>
            <w:vAlign w:val="bottom"/>
            <w:vMerge w:val="restart"/>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Identifies and assesses the independence, backgrounds, and skills required for members of the</w:t>
            </w: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71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140" w:type="dxa"/>
            <w:vAlign w:val="bottom"/>
          </w:tcPr>
          <w:p>
            <w:pPr>
              <w:ind w:left="160"/>
              <w:spacing w:after="0" w:line="183" w:lineRule="exact"/>
              <w:rPr>
                <w:sz w:val="20"/>
                <w:szCs w:val="20"/>
                <w:color w:val="auto"/>
              </w:rPr>
            </w:pPr>
            <w:r>
              <w:rPr>
                <w:rFonts w:ascii="Arial" w:cs="Arial" w:eastAsia="Arial" w:hAnsi="Arial"/>
                <w:sz w:val="16"/>
                <w:szCs w:val="16"/>
                <w:color w:val="auto"/>
              </w:rPr>
              <w:t>Board and Board committees</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tcPr>
          <w:p>
            <w:pPr>
              <w:ind w:left="140"/>
              <w:spacing w:after="0" w:line="183" w:lineRule="exact"/>
              <w:rPr>
                <w:sz w:val="20"/>
                <w:szCs w:val="20"/>
                <w:color w:val="auto"/>
              </w:rPr>
            </w:pPr>
            <w:r>
              <w:rPr>
                <w:rFonts w:ascii="Arial" w:cs="Arial" w:eastAsia="Arial" w:hAnsi="Arial"/>
                <w:sz w:val="16"/>
                <w:szCs w:val="16"/>
                <w:b w:val="1"/>
                <w:bCs w:val="1"/>
                <w:color w:val="auto"/>
              </w:rPr>
              <w:t>Meetings in 2023:</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Identifies, considers, and recommends, consistent with criteria approved by the Board, qualified</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20" w:type="dxa"/>
            <w:vAlign w:val="bottom"/>
            <w:vMerge w:val="restart"/>
          </w:tcPr>
          <w:p>
            <w:pPr>
              <w:ind w:left="140"/>
              <w:spacing w:after="0"/>
              <w:rPr>
                <w:sz w:val="20"/>
                <w:szCs w:val="20"/>
                <w:color w:val="auto"/>
              </w:rPr>
            </w:pPr>
            <w:r>
              <w:rPr>
                <w:rFonts w:ascii="Arial" w:cs="Arial" w:eastAsia="Arial" w:hAnsi="Arial"/>
                <w:sz w:val="35"/>
                <w:szCs w:val="35"/>
                <w:b w:val="1"/>
                <w:bCs w:val="1"/>
                <w:color w:val="0A9E50"/>
              </w:rPr>
              <w:t>4</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140" w:type="dxa"/>
            <w:vAlign w:val="bottom"/>
          </w:tcPr>
          <w:p>
            <w:pPr>
              <w:ind w:left="160"/>
              <w:spacing w:after="0"/>
              <w:rPr>
                <w:sz w:val="20"/>
                <w:szCs w:val="20"/>
                <w:color w:val="auto"/>
              </w:rPr>
            </w:pPr>
            <w:r>
              <w:rPr>
                <w:rFonts w:ascii="Arial" w:cs="Arial" w:eastAsia="Arial" w:hAnsi="Arial"/>
                <w:sz w:val="16"/>
                <w:szCs w:val="16"/>
                <w:color w:val="auto"/>
                <w:w w:val="98"/>
              </w:rPr>
              <w:t>candidates for election as directors, including the slate of directors to be nominated by the Board for</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4863465</wp:posOffset>
            </wp:positionH>
            <wp:positionV relativeFrom="paragraph">
              <wp:posOffset>-1396365</wp:posOffset>
            </wp:positionV>
            <wp:extent cx="1875155" cy="23463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75155" cy="234632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election at the Company’s Annual Meeting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Oversees the orientation and education of new directors</w:t>
      </w:r>
    </w:p>
    <w:p>
      <w:pPr>
        <w:spacing w:after="0" w:line="87" w:lineRule="exact"/>
        <w:rPr>
          <w:sz w:val="20"/>
          <w:szCs w:val="20"/>
          <w:color w:val="auto"/>
        </w:rPr>
      </w:pPr>
    </w:p>
    <w:p>
      <w:pPr>
        <w:ind w:left="160" w:right="3760" w:hanging="155"/>
        <w:spacing w:after="0" w:line="298"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Facilitates the annual assessment of the performance of the Board and its committees, as well as</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the director peer review</w:t>
      </w:r>
    </w:p>
    <w:p>
      <w:pPr>
        <w:spacing w:after="0" w:line="13" w:lineRule="exact"/>
        <w:rPr>
          <w:sz w:val="20"/>
          <w:szCs w:val="20"/>
          <w:color w:val="auto"/>
        </w:rPr>
      </w:pPr>
    </w:p>
    <w:p>
      <w:pPr>
        <w:ind w:left="160" w:right="3840" w:hanging="155"/>
        <w:spacing w:after="0" w:line="296"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Oversees and periodically reports to the Board on matters concerning the Company’s Corporate</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ESG Strategy including corporate responsibility and sustainability performance</w:t>
      </w:r>
    </w:p>
    <w:p>
      <w:pPr>
        <w:spacing w:after="0" w:line="15" w:lineRule="exact"/>
        <w:rPr>
          <w:sz w:val="20"/>
          <w:szCs w:val="20"/>
          <w:color w:val="auto"/>
        </w:rPr>
      </w:pPr>
    </w:p>
    <w:p>
      <w:pPr>
        <w:ind w:left="160" w:right="3780" w:hanging="155"/>
        <w:spacing w:after="0" w:line="296"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Reviews and makes recommendations to the Board regarding corporate governance trends, best</w:t>
      </w:r>
      <w:r>
        <w:rPr>
          <w:rFonts w:ascii="Times New Roman" w:cs="Times New Roman" w:eastAsia="Times New Roman" w:hAnsi="Times New Roman"/>
          <w:sz w:val="12"/>
          <w:szCs w:val="12"/>
          <w:color w:val="0A9E50"/>
        </w:rPr>
        <w:t xml:space="preserve"> </w:t>
      </w:r>
      <w:r>
        <w:rPr>
          <w:rFonts w:ascii="Arial" w:cs="Arial" w:eastAsia="Arial" w:hAnsi="Arial"/>
          <w:sz w:val="15"/>
          <w:szCs w:val="15"/>
          <w:color w:val="000000"/>
        </w:rPr>
        <w:t>practices, and regulations applicable to the corporate governance of the Company</w:t>
      </w:r>
    </w:p>
    <w:p>
      <w:pPr>
        <w:spacing w:after="0" w:line="30"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26 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bookmarkStart w:id="28" w:name="page29"/>
    <w:bookmarkEnd w:id="28"/>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 Governance and Oversight</w:t>
      </w:r>
    </w:p>
    <w:p>
      <w:pPr>
        <w:spacing w:after="0" w:line="72"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Risk is inherent in business, and while management is responsible for managing risk, the Board’s oversight, assessment, and decisions regarding risks occur in conjunction with the other activities of the Board and its committees.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Governance and Oversight Responsibilities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A9E50"/>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67405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94" w:lineRule="exact"/>
        <w:rPr>
          <w:sz w:val="20"/>
          <w:szCs w:val="20"/>
          <w:color w:val="auto"/>
        </w:rPr>
      </w:pPr>
    </w:p>
    <w:p>
      <w:pPr>
        <w:ind w:left="120" w:right="140"/>
        <w:spacing w:after="0" w:line="244" w:lineRule="auto"/>
        <w:rPr>
          <w:sz w:val="20"/>
          <w:szCs w:val="20"/>
          <w:color w:val="auto"/>
        </w:rPr>
      </w:pPr>
      <w:r>
        <w:rPr>
          <w:rFonts w:ascii="Arial" w:cs="Arial" w:eastAsia="Arial" w:hAnsi="Arial"/>
          <w:sz w:val="16"/>
          <w:szCs w:val="16"/>
          <w:color w:val="auto"/>
        </w:rPr>
        <w:t>Oversees mission critical risks to the Company, including strategic issues and risks, as well as management’s actions to address and mitigate those risks. The Board receives reports at regular Board meetings from the committee chairs regarding committees’ risk oversight activities. These reports and Board attention focus on risk management strategy and risks of greatest significance and seek to ensure that risks assumed by the Company are consistent with the Company’s risk tolerance and risk appetite. Risk oversight is also addressed as part of the full Board’s regular oversight of strategic planning.</w:t>
      </w:r>
    </w:p>
    <w:p>
      <w:pPr>
        <w:sectPr>
          <w:pgSz w:w="11900" w:h="16838" w:orient="portrait"/>
          <w:cols w:equalWidth="0" w:num="1">
            <w:col w:w="10620"/>
          </w:cols>
          <w:pgMar w:left="640" w:top="296" w:right="639" w:bottom="1440" w:gutter="0" w:footer="0" w:header="0"/>
        </w:sectPr>
      </w:pPr>
    </w:p>
    <w:p>
      <w:pPr>
        <w:spacing w:after="0" w:line="381" w:lineRule="exact"/>
        <w:rPr>
          <w:sz w:val="20"/>
          <w:szCs w:val="20"/>
          <w:color w:val="auto"/>
        </w:rPr>
      </w:pPr>
    </w:p>
    <w:p>
      <w:pPr>
        <w:jc w:val="center"/>
        <w:ind w:left="40"/>
        <w:spacing w:after="0"/>
        <w:rPr>
          <w:sz w:val="20"/>
          <w:szCs w:val="20"/>
          <w:color w:val="auto"/>
        </w:rPr>
      </w:pPr>
      <w:r>
        <w:rPr>
          <w:rFonts w:ascii="Arial" w:cs="Arial" w:eastAsia="Arial" w:hAnsi="Arial"/>
          <w:sz w:val="14"/>
          <w:szCs w:val="14"/>
          <w:b w:val="1"/>
          <w:bCs w:val="1"/>
          <w:color w:val="0A9E50"/>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2362835" cy="25939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62835" cy="2593975"/>
                    </a:xfrm>
                    <a:prstGeom prst="rect">
                      <a:avLst/>
                    </a:prstGeom>
                    <a:noFill/>
                  </pic:spPr>
                </pic:pic>
              </a:graphicData>
            </a:graphic>
          </wp:anchor>
        </w:drawing>
      </w:r>
    </w:p>
    <w:p>
      <w:pPr>
        <w:spacing w:after="0" w:line="7" w:lineRule="exact"/>
        <w:rPr>
          <w:sz w:val="20"/>
          <w:szCs w:val="20"/>
          <w:color w:val="auto"/>
        </w:rPr>
      </w:pPr>
    </w:p>
    <w:p>
      <w:pPr>
        <w:ind w:left="220" w:right="200" w:hanging="225"/>
        <w:spacing w:after="0" w:line="238"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Provides oversight of risks, and management’s mitigations of same, that could have a financial impact, such as financial reporting and disclosure, accounting practices, internal controls, conflicts of interest, compliance with legal and regulatory requirements, and cybersecurity</w:t>
      </w:r>
    </w:p>
    <w:p>
      <w:pPr>
        <w:spacing w:after="0" w:line="43" w:lineRule="exact"/>
        <w:rPr>
          <w:sz w:val="20"/>
          <w:szCs w:val="20"/>
          <w:color w:val="auto"/>
        </w:rPr>
      </w:pPr>
    </w:p>
    <w:p>
      <w:pPr>
        <w:ind w:left="220" w:right="160" w:hanging="225"/>
        <w:spacing w:after="0" w:line="256"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Oversees the Company’s overall risk management governance structure, risk assessment, and enterprise risk management processes</w:t>
      </w:r>
    </w:p>
    <w:p>
      <w:pPr>
        <w:spacing w:after="0" w:line="31" w:lineRule="exact"/>
        <w:rPr>
          <w:sz w:val="20"/>
          <w:szCs w:val="20"/>
          <w:color w:val="auto"/>
        </w:rPr>
      </w:pPr>
    </w:p>
    <w:p>
      <w:pPr>
        <w:jc w:val="both"/>
        <w:ind w:left="220" w:right="680" w:hanging="225"/>
        <w:spacing w:after="0" w:line="248"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Oversees risks associated with information technology security, cybersecurity, artificial intelligence, and data privacy, and breach preparedness and response plans</w:t>
      </w:r>
    </w:p>
    <w:p>
      <w:pPr>
        <w:spacing w:after="0" w:line="37" w:lineRule="exact"/>
        <w:rPr>
          <w:sz w:val="20"/>
          <w:szCs w:val="20"/>
          <w:color w:val="auto"/>
        </w:rPr>
      </w:pPr>
    </w:p>
    <w:p>
      <w:pPr>
        <w:jc w:val="right"/>
        <w:ind w:right="140"/>
        <w:spacing w:after="0" w:line="279"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Reviews all quarterly and annual reports, including</w:t>
      </w:r>
      <w:r>
        <w:rPr>
          <w:rFonts w:ascii="Times New Roman" w:cs="Times New Roman" w:eastAsia="Times New Roman" w:hAnsi="Times New Roman"/>
          <w:sz w:val="12"/>
          <w:szCs w:val="12"/>
          <w:color w:val="0A9E50"/>
        </w:rPr>
        <w:t xml:space="preserve"> </w:t>
      </w:r>
      <w:r>
        <w:rPr>
          <w:rFonts w:ascii="Arial" w:cs="Arial" w:eastAsia="Arial" w:hAnsi="Arial"/>
          <w:sz w:val="14"/>
          <w:szCs w:val="14"/>
          <w:color w:val="000000"/>
        </w:rPr>
        <w:t>any disclosure of risk factors affecting the business</w:t>
      </w:r>
    </w:p>
    <w:p>
      <w:pPr>
        <w:spacing w:after="0" w:line="15" w:lineRule="exact"/>
        <w:rPr>
          <w:sz w:val="20"/>
          <w:szCs w:val="20"/>
          <w:color w:val="auto"/>
        </w:rPr>
      </w:pPr>
    </w:p>
    <w:p>
      <w:pPr>
        <w:ind w:left="220" w:hanging="225"/>
        <w:spacing w:after="0" w:line="234"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Oversees the performance of the Company’s Internal Audit function including Chief Audit Executive (“CAE”)</w:t>
      </w:r>
    </w:p>
    <w:p>
      <w:pPr>
        <w:spacing w:after="0" w:line="42" w:lineRule="exact"/>
        <w:rPr>
          <w:sz w:val="20"/>
          <w:szCs w:val="20"/>
          <w:color w:val="auto"/>
        </w:rPr>
      </w:pPr>
    </w:p>
    <w:p>
      <w:pPr>
        <w:ind w:left="220" w:right="180" w:hanging="225"/>
        <w:spacing w:after="0" w:line="246"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Reviews and approves Internal Audit’s budget and resource plan</w:t>
      </w:r>
    </w:p>
    <w:p>
      <w:pPr>
        <w:spacing w:after="0" w:line="37" w:lineRule="exact"/>
        <w:rPr>
          <w:sz w:val="20"/>
          <w:szCs w:val="20"/>
          <w:color w:val="auto"/>
        </w:rPr>
      </w:pPr>
    </w:p>
    <w:p>
      <w:pPr>
        <w:jc w:val="both"/>
        <w:ind w:left="220" w:right="500" w:hanging="225"/>
        <w:spacing w:after="0" w:line="234"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Monitors the qualifications, performance, and independence of the Company’s independent auditors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A9E50"/>
        </w:rPr>
        <w:t>Compensation and Talent Management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A9E50"/>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21558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5825" cy="8255"/>
                    </a:xfrm>
                    <a:prstGeom prst="rect">
                      <a:avLst/>
                    </a:prstGeom>
                    <a:noFill/>
                  </pic:spPr>
                </pic:pic>
              </a:graphicData>
            </a:graphic>
          </wp:anchor>
        </w:drawing>
      </w:r>
    </w:p>
    <w:p>
      <w:pPr>
        <w:ind w:left="220" w:hanging="224"/>
        <w:spacing w:after="0" w:line="238"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Oversees our compensation plans, policies, and practices to ensure alignment with our Executive Compensation Risk Assessment Framework and reports to the Board any compensation program that is reasonably likely to have a material adverse effect on the Company</w:t>
      </w:r>
    </w:p>
    <w:p>
      <w:pPr>
        <w:spacing w:after="0" w:line="43" w:lineRule="exact"/>
        <w:rPr>
          <w:sz w:val="20"/>
          <w:szCs w:val="20"/>
          <w:color w:val="auto"/>
        </w:rPr>
      </w:pPr>
    </w:p>
    <w:p>
      <w:pPr>
        <w:ind w:left="220" w:right="140" w:hanging="224"/>
        <w:spacing w:after="0" w:line="227"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Together with the Committee’s independent consultant, provides input to management regarding their annual assessment of potential risks created by our compensation plans, policies, and practices</w:t>
      </w:r>
    </w:p>
    <w:p>
      <w:pPr>
        <w:spacing w:after="0" w:line="43" w:lineRule="exact"/>
        <w:rPr>
          <w:sz w:val="20"/>
          <w:szCs w:val="20"/>
          <w:color w:val="auto"/>
        </w:rPr>
      </w:pPr>
    </w:p>
    <w:p>
      <w:pPr>
        <w:ind w:left="220" w:right="40" w:hanging="224"/>
        <w:spacing w:after="0" w:line="242"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Sets performance goals under our annual and long-term incentive plans that provide an appropriate balance between the achievement of short- and long-term performance objectives, with emphasis on managing the sustainability of the business and mitigation of risk</w:t>
      </w:r>
    </w:p>
    <w:p>
      <w:pPr>
        <w:spacing w:after="0" w:line="41" w:lineRule="exact"/>
        <w:rPr>
          <w:sz w:val="20"/>
          <w:szCs w:val="20"/>
          <w:color w:val="auto"/>
        </w:rPr>
      </w:pPr>
    </w:p>
    <w:p>
      <w:pPr>
        <w:ind w:left="220" w:right="160" w:hanging="224"/>
        <w:spacing w:after="0" w:line="246"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Manages risk associated with CEO and senior officer succession planning</w:t>
      </w:r>
    </w:p>
    <w:p>
      <w:pPr>
        <w:spacing w:after="0" w:line="37" w:lineRule="exact"/>
        <w:rPr>
          <w:sz w:val="20"/>
          <w:szCs w:val="20"/>
          <w:color w:val="auto"/>
        </w:rPr>
      </w:pPr>
    </w:p>
    <w:p>
      <w:pPr>
        <w:ind w:left="220" w:right="220" w:hanging="224"/>
        <w:spacing w:after="0" w:line="246"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Oversees management of risks related to the Company’s human capital</w:t>
      </w:r>
    </w:p>
    <w:p>
      <w:pPr>
        <w:spacing w:after="0" w:line="3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Oversees the Company’s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164465</wp:posOffset>
            </wp:positionV>
            <wp:extent cx="67405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A9E50"/>
        </w:rPr>
        <w:t>Corporate Governance and Nominating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A9E50"/>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2540</wp:posOffset>
            </wp:positionV>
            <wp:extent cx="2147570" cy="25939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47570" cy="2593975"/>
                    </a:xfrm>
                    <a:prstGeom prst="rect">
                      <a:avLst/>
                    </a:prstGeom>
                    <a:noFill/>
                  </pic:spPr>
                </pic:pic>
              </a:graphicData>
            </a:graphic>
          </wp:anchor>
        </w:drawing>
      </w:r>
    </w:p>
    <w:p>
      <w:pPr>
        <w:ind w:left="220" w:right="60" w:hanging="224"/>
        <w:spacing w:after="0" w:line="238"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Manages risk associated with governance issues, such as the independence, skills, experience and diversity of the Board and its committees, Board and committee effectiveness and organization, corporate governance, and director succession planning</w:t>
      </w:r>
    </w:p>
    <w:p>
      <w:pPr>
        <w:spacing w:after="0" w:line="43" w:lineRule="exact"/>
        <w:rPr>
          <w:sz w:val="20"/>
          <w:szCs w:val="20"/>
          <w:color w:val="auto"/>
        </w:rPr>
      </w:pPr>
    </w:p>
    <w:p>
      <w:pPr>
        <w:ind w:left="220" w:right="220" w:hanging="224"/>
        <w:spacing w:after="0" w:line="224"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Maintains Corporate Governance Principles and procedures designed to assure compliance with all applicable legal and regulatory requirements and governance standards and the Company’s Code of Business Conduct and Ethics and Insider Trading Policy</w:t>
      </w:r>
    </w:p>
    <w:p>
      <w:pPr>
        <w:spacing w:after="0" w:line="44" w:lineRule="exact"/>
        <w:rPr>
          <w:sz w:val="20"/>
          <w:szCs w:val="20"/>
          <w:color w:val="auto"/>
        </w:rPr>
      </w:pPr>
    </w:p>
    <w:p>
      <w:pPr>
        <w:ind w:left="200" w:right="80" w:hanging="224"/>
        <w:spacing w:after="0" w:line="256" w:lineRule="auto"/>
        <w:tabs>
          <w:tab w:leader="none" w:pos="18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Annually reviews the Company’s ESG Strategy, initiatives, and policies and monitors associated risk (including reputational)</w:t>
      </w:r>
    </w:p>
    <w:p>
      <w:pPr>
        <w:spacing w:after="0" w:line="31" w:lineRule="exact"/>
        <w:rPr>
          <w:sz w:val="20"/>
          <w:szCs w:val="20"/>
          <w:color w:val="auto"/>
        </w:rPr>
      </w:pPr>
    </w:p>
    <w:p>
      <w:pPr>
        <w:ind w:left="220" w:right="80" w:hanging="224"/>
        <w:spacing w:after="0" w:line="246"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Oversees emergency succession planning for the CEO and Chairman</w:t>
      </w:r>
    </w:p>
    <w:p>
      <w:pPr>
        <w:spacing w:after="0" w:line="37" w:lineRule="exact"/>
        <w:rPr>
          <w:sz w:val="20"/>
          <w:szCs w:val="20"/>
          <w:color w:val="auto"/>
        </w:rPr>
      </w:pPr>
    </w:p>
    <w:p>
      <w:pPr>
        <w:ind w:left="220" w:right="20" w:hanging="224"/>
        <w:spacing w:after="0" w:line="227" w:lineRule="auto"/>
        <w:tabs>
          <w:tab w:leader="none" w:pos="20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Oversees the orientation and education of directors to ensure clear understanding of their Board responsibilities and recommends continuing education programs, as appropriate.</w:t>
      </w:r>
    </w:p>
    <w:p>
      <w:pPr>
        <w:spacing w:after="0" w:line="158" w:lineRule="exact"/>
        <w:rPr>
          <w:sz w:val="20"/>
          <w:szCs w:val="20"/>
          <w:color w:val="auto"/>
        </w:rPr>
      </w:pPr>
    </w:p>
    <w:p>
      <w:pPr>
        <w:sectPr>
          <w:pgSz w:w="11900" w:h="16838" w:orient="portrait"/>
          <w:cols w:equalWidth="0" w:num="3">
            <w:col w:w="3680" w:space="160"/>
            <w:col w:w="3380" w:space="120"/>
            <w:col w:w="3280"/>
          </w:cols>
          <w:pgMar w:left="640" w:top="296" w:right="639" w:bottom="1440" w:gutter="0" w:footer="0" w:header="0"/>
          <w:type w:val="continuous"/>
        </w:sectPr>
      </w:pPr>
    </w:p>
    <w:p>
      <w:pPr>
        <w:ind w:left="8780"/>
        <w:spacing w:after="0"/>
        <w:tabs>
          <w:tab w:leader="none" w:pos="1002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6308725</wp:posOffset>
            </wp:positionH>
            <wp:positionV relativeFrom="paragraph">
              <wp:posOffset>-211455</wp:posOffset>
            </wp:positionV>
            <wp:extent cx="8255" cy="2228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A9E50"/>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7405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02" w:lineRule="exact"/>
        <w:rPr>
          <w:sz w:val="20"/>
          <w:szCs w:val="20"/>
          <w:color w:val="auto"/>
        </w:rPr>
      </w:pPr>
    </w:p>
    <w:p>
      <w:pPr>
        <w:ind w:left="120"/>
        <w:spacing w:after="0" w:line="241" w:lineRule="auto"/>
        <w:rPr>
          <w:sz w:val="20"/>
          <w:szCs w:val="20"/>
          <w:color w:val="auto"/>
        </w:rPr>
      </w:pPr>
      <w:r>
        <w:rPr>
          <w:rFonts w:ascii="Arial" w:cs="Arial" w:eastAsia="Arial" w:hAnsi="Arial"/>
          <w:sz w:val="16"/>
          <w:szCs w:val="16"/>
          <w:color w:val="auto"/>
        </w:rPr>
        <w:t>Management assesses and manages critical risks, including the execution of the Company’s Enterprise Risk Management (“ERM”) program. The Company’s risk-related departments and functions, in collaboration with the Vice President and Chief Risk, Compliance, and Privacy Officer (“Chief Risk Officer”), are responsible for risk assessment and mitigation. The Chief Risk Officer reports directly to the Company’s Senior Vice President, General Counsel and Corporate Secretary (“General Counsel”). For ESG-related risk, the Company maintains the ESG Advisory Committee to oversee goals and progress toward the achievement of goals as established by the ESG team. The ESG Advisory Committee meets monthly and includes the following members from cross-functional areas of the organization: the Company’s General Counsel, Chief Financial Officer, Chief People Officer, Chief Risk Officer, Chief Diversity Officer, Chief Accounting Officer, Chief Audit Executive, Corporate Sustainability Specialist, and representatives from the Company’s business units. The General Counsel reports results of the ESG Advisory Committee reviews to the Corporate Governance and Nominating Committee on a quarterly basis.</w:t>
      </w:r>
    </w:p>
    <w:p>
      <w:pPr>
        <w:spacing w:after="0" w:line="93" w:lineRule="exact"/>
        <w:rPr>
          <w:sz w:val="20"/>
          <w:szCs w:val="20"/>
          <w:color w:val="auto"/>
        </w:rPr>
      </w:pPr>
    </w:p>
    <w:p>
      <w:pPr>
        <w:ind w:left="120" w:right="580"/>
        <w:spacing w:after="0" w:line="265" w:lineRule="auto"/>
        <w:rPr>
          <w:sz w:val="20"/>
          <w:szCs w:val="20"/>
          <w:color w:val="auto"/>
        </w:rPr>
      </w:pPr>
      <w:r>
        <w:rPr>
          <w:rFonts w:ascii="Arial" w:cs="Arial" w:eastAsia="Arial" w:hAnsi="Arial"/>
          <w:sz w:val="16"/>
          <w:szCs w:val="16"/>
          <w:color w:val="auto"/>
        </w:rPr>
        <w:t>With respect to the risk assessment of the Company’s compensation programs, management is responsible for the framework and approach as outlined below under Risk Assessment of Employee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67405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Enterprise Risk Management Program</w:t>
      </w:r>
    </w:p>
    <w:p>
      <w:pPr>
        <w:spacing w:after="0" w:line="69"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color w:val="auto"/>
        </w:rPr>
        <w:t>The Company’s ERM program serves as the primary means of identifying and managing the Company’s key risks. The Company’s ERM team, among other activities, performs assessments of risks to the Company, participates in the development and execution of mitigation programs for critical risks, facilitates the corporate risk appetite and tolerance statement, oversees the privacy governance function, provides risk assessment, guidance, and mitigation related to cybersecurity, and assists in the integration of risk concepts within the Company’s strategic planning process and in alignment with the functional and business risk owners.</w:t>
      </w:r>
    </w:p>
    <w:p>
      <w:pPr>
        <w:spacing w:after="0" w:line="53" w:lineRule="exact"/>
        <w:rPr>
          <w:sz w:val="20"/>
          <w:szCs w:val="20"/>
          <w:color w:val="auto"/>
        </w:rPr>
      </w:pPr>
    </w:p>
    <w:p>
      <w:pPr>
        <w:ind w:right="260"/>
        <w:spacing w:after="0" w:line="244" w:lineRule="auto"/>
        <w:rPr>
          <w:sz w:val="20"/>
          <w:szCs w:val="20"/>
          <w:color w:val="auto"/>
        </w:rPr>
      </w:pPr>
      <w:r>
        <w:rPr>
          <w:rFonts w:ascii="Arial" w:cs="Arial" w:eastAsia="Arial" w:hAnsi="Arial"/>
          <w:sz w:val="16"/>
          <w:szCs w:val="16"/>
          <w:color w:val="auto"/>
        </w:rPr>
        <w:t>The ERM team reports its findings to the Audit Committee on a quarterly basis, providing both written reports and in-person presentations. Its current activities remain focused on mitigation and oversight of specific risk exposures, analysis of the breadth and effectiveness of existing risk management practices, and maturation of measurement and monitoring practices concerning high-priority strategic and operational risks. Current areas of particular emphasis include cybersecurity, artificial intelligence, data privacy, strategic risk , integration of risk appetite practices into the Company’s ongoing operations, wage-hour risk , third-party risk , and improvements to the Company’s compliance governance practices.</w:t>
      </w:r>
    </w:p>
    <w:p>
      <w:pPr>
        <w:spacing w:after="0" w:line="40"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The Company’s information technology and internal audit groups provide regular quarterly updates to the Audit Committee with respect to the Company’s proactive approach to cybersecurity and other compliance controls. Controls are reviewed for operational effectiveness and to provide reasonable assurance that: business risk is managed; data, corporate information, and other assets are safeguarded; business processing infrastructure and applications are maintained; and all risks are mitigated to the extent practicable.</w:t>
      </w:r>
    </w:p>
    <w:p>
      <w:pPr>
        <w:spacing w:after="0" w:line="39"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The Company’s ERM program provides ongoing risk identification, oversight, guidance, and mitigation in coordination with the Company’s information technology group. Teams from the Company’s information technology, data privacy, and compliance functions coordinate on cybersecurity, artificial intelligence, and privacy governance. This includes internal monitoring to proactively identify potential security threats, maintenance of access controls, asset management, response and recovery activities, and training and awareness programs. The company’s training program provides specialized training on a quarterly basis to employees and directors, including mandatory new hire cyber and privacy training, two focused cyber trainings per quarter, and monthly training exercises for identifying phishing attempts. Evaluation of these practices is reported to the Audit Committee on a quarterly basis.</w:t>
      </w:r>
    </w:p>
    <w:p>
      <w:pPr>
        <w:spacing w:after="0" w:line="28" w:lineRule="exact"/>
        <w:rPr>
          <w:sz w:val="20"/>
          <w:szCs w:val="20"/>
          <w:color w:val="auto"/>
        </w:rPr>
      </w:pPr>
    </w:p>
    <w:p>
      <w:pPr>
        <w:jc w:val="both"/>
        <w:ind w:right="520"/>
        <w:spacing w:after="0" w:line="251" w:lineRule="auto"/>
        <w:rPr>
          <w:sz w:val="20"/>
          <w:szCs w:val="20"/>
          <w:color w:val="auto"/>
        </w:rPr>
      </w:pPr>
      <w:r>
        <w:rPr>
          <w:rFonts w:ascii="Arial" w:cs="Arial" w:eastAsia="Arial" w:hAnsi="Arial"/>
          <w:sz w:val="16"/>
          <w:szCs w:val="16"/>
          <w:color w:val="auto"/>
        </w:rPr>
        <w:t>In addition to the reports submitted quarterly by the Company’s Chief Risk Officer, the Vice President of Internal Audit independently assesses the Company’s risk management process and separately reports on the effectiveness of the Company’s risk identification, prioritization, and mitigation processes to the Audit Committee.</w:t>
      </w:r>
    </w:p>
    <w:p>
      <w:pPr>
        <w:spacing w:after="0" w:line="34" w:lineRule="exact"/>
        <w:rPr>
          <w:sz w:val="20"/>
          <w:szCs w:val="20"/>
          <w:color w:val="auto"/>
        </w:rPr>
      </w:pPr>
    </w:p>
    <w:p>
      <w:pPr>
        <w:jc w:val="both"/>
        <w:ind w:right="380"/>
        <w:spacing w:after="0" w:line="251" w:lineRule="auto"/>
        <w:rPr>
          <w:sz w:val="20"/>
          <w:szCs w:val="20"/>
          <w:color w:val="auto"/>
        </w:rPr>
      </w:pPr>
      <w:r>
        <w:rPr>
          <w:rFonts w:ascii="Arial" w:cs="Arial" w:eastAsia="Arial" w:hAnsi="Arial"/>
          <w:sz w:val="16"/>
          <w:szCs w:val="16"/>
          <w:color w:val="auto"/>
        </w:rPr>
        <w:t>The ERM team plays a key role in the Company’s response to domestic and global crises, e.g. the COVID-19 pandemic and the Russian invasion of Ukraine, providing Board updates and scenario planning regarding impacts on cybersecurity, employee health and safety, corporate operations, and global markets.</w:t>
      </w:r>
    </w:p>
    <w:p>
      <w:pPr>
        <w:spacing w:after="0" w:line="49"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28 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00"/>
          </w:cols>
          <w:pgMar w:left="640" w:top="296" w:right="65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0149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9310" cy="301498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INFORMATION SECURITY AND BUSINESS CONTINUITY</w:t>
      </w:r>
    </w:p>
    <w:p>
      <w:pPr>
        <w:spacing w:after="0" w:line="167"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Emergency Management Team</w:t>
      </w:r>
    </w:p>
    <w:p>
      <w:pPr>
        <w:spacing w:after="0" w:line="78"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Global, interdepartmental group empowered to quickly</w:t>
      </w:r>
    </w:p>
    <w:p>
      <w:pPr>
        <w:spacing w:after="0"/>
        <w:tabs>
          <w:tab w:leader="none" w:pos="1300" w:val="left"/>
        </w:tabs>
        <w:rPr>
          <w:sz w:val="20"/>
          <w:szCs w:val="20"/>
          <w:color w:val="auto"/>
        </w:rPr>
      </w:pPr>
      <w:r>
        <w:rPr>
          <w:rFonts w:ascii="Arial" w:cs="Arial" w:eastAsia="Arial" w:hAnsi="Arial"/>
          <w:sz w:val="16"/>
          <w:szCs w:val="16"/>
          <w:color w:val="auto"/>
        </w:rPr>
        <w:t xml:space="preserve">    </w:t>
      </w:r>
      <w:r>
        <w:rPr>
          <w:sz w:val="20"/>
          <w:szCs w:val="20"/>
          <w:color w:val="auto"/>
        </w:rPr>
        <w:tab/>
      </w:r>
      <w:r>
        <w:rPr>
          <w:rFonts w:ascii="Arial" w:cs="Arial" w:eastAsia="Arial" w:hAnsi="Arial"/>
          <w:sz w:val="14"/>
          <w:szCs w:val="14"/>
          <w:color w:val="auto"/>
        </w:rPr>
        <w:t>make strategic decisions in response to critical events that</w:t>
      </w:r>
    </w:p>
    <w:p>
      <w:pPr>
        <w:spacing w:after="0" w:line="1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affect our employees or facilities.</w:t>
      </w:r>
    </w:p>
    <w:p>
      <w:pPr>
        <w:spacing w:after="0" w:line="112"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Business Continuity Plan Testing</w:t>
      </w:r>
    </w:p>
    <w:p>
      <w:pPr>
        <w:spacing w:after="0" w:line="78"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Kelly’s Business Continuity and IT Disaster Recovery</w:t>
      </w:r>
    </w:p>
    <w:p>
      <w:pPr>
        <w:spacing w:after="0"/>
        <w:tabs>
          <w:tab w:leader="none" w:pos="1300" w:val="left"/>
        </w:tabs>
        <w:rPr>
          <w:sz w:val="20"/>
          <w:szCs w:val="20"/>
          <w:color w:val="auto"/>
        </w:rPr>
      </w:pPr>
      <w:r>
        <w:rPr>
          <w:rFonts w:ascii="Arial" w:cs="Arial" w:eastAsia="Arial" w:hAnsi="Arial"/>
          <w:sz w:val="16"/>
          <w:szCs w:val="16"/>
          <w:color w:val="auto"/>
        </w:rPr>
        <w:t xml:space="preserve">    </w:t>
      </w:r>
      <w:r>
        <w:rPr>
          <w:sz w:val="20"/>
          <w:szCs w:val="20"/>
          <w:color w:val="auto"/>
        </w:rPr>
        <w:tab/>
      </w:r>
      <w:r>
        <w:rPr>
          <w:rFonts w:ascii="Arial" w:cs="Arial" w:eastAsia="Arial" w:hAnsi="Arial"/>
          <w:sz w:val="14"/>
          <w:szCs w:val="14"/>
          <w:color w:val="auto"/>
        </w:rPr>
        <w:t>programs are tested at least annually and most recently</w:t>
      </w:r>
    </w:p>
    <w:p>
      <w:pPr>
        <w:spacing w:after="0" w:line="13" w:lineRule="exact"/>
        <w:rPr>
          <w:sz w:val="20"/>
          <w:szCs w:val="20"/>
          <w:color w:val="auto"/>
        </w:rPr>
      </w:pPr>
    </w:p>
    <w:p>
      <w:pPr>
        <w:ind w:left="1320" w:right="760"/>
        <w:spacing w:after="0" w:line="242" w:lineRule="auto"/>
        <w:rPr>
          <w:sz w:val="20"/>
          <w:szCs w:val="20"/>
          <w:color w:val="auto"/>
        </w:rPr>
      </w:pPr>
      <w:r>
        <w:rPr>
          <w:rFonts w:ascii="Arial" w:cs="Arial" w:eastAsia="Arial" w:hAnsi="Arial"/>
          <w:sz w:val="16"/>
          <w:szCs w:val="16"/>
          <w:color w:val="auto"/>
        </w:rPr>
        <w:t>tested in August 2023 and October 2023, respectively. These plans performed successfully in practice and real-world scenarios.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 w:type="dxa"/>
            <w:vAlign w:val="bottom"/>
          </w:tcPr>
          <w:p>
            <w:pPr>
              <w:spacing w:after="0"/>
              <w:rPr>
                <w:sz w:val="18"/>
                <w:szCs w:val="18"/>
                <w:color w:val="auto"/>
              </w:rPr>
            </w:pPr>
          </w:p>
        </w:tc>
        <w:tc>
          <w:tcPr>
            <w:tcW w:w="4500" w:type="dxa"/>
            <w:vAlign w:val="bottom"/>
          </w:tcPr>
          <w:p>
            <w:pPr>
              <w:ind w:left="560"/>
              <w:spacing w:after="0"/>
              <w:rPr>
                <w:sz w:val="20"/>
                <w:szCs w:val="20"/>
                <w:color w:val="auto"/>
              </w:rPr>
            </w:pPr>
            <w:r>
              <w:rPr>
                <w:rFonts w:ascii="Arial" w:cs="Arial" w:eastAsia="Arial" w:hAnsi="Arial"/>
                <w:sz w:val="16"/>
                <w:szCs w:val="16"/>
                <w:b w:val="1"/>
                <w:bCs w:val="1"/>
                <w:color w:val="auto"/>
              </w:rPr>
              <w:t>Cyber Governance</w:t>
            </w:r>
          </w:p>
        </w:tc>
        <w:tc>
          <w:tcPr>
            <w:tcW w:w="0" w:type="dxa"/>
            <w:vAlign w:val="bottom"/>
          </w:tcPr>
          <w:p>
            <w:pPr>
              <w:spacing w:after="0"/>
              <w:rPr>
                <w:sz w:val="1"/>
                <w:szCs w:val="1"/>
                <w:color w:val="auto"/>
              </w:rPr>
            </w:pPr>
          </w:p>
        </w:tc>
      </w:tr>
      <w:tr>
        <w:trPr>
          <w:trHeight w:val="229"/>
        </w:trPr>
        <w:tc>
          <w:tcPr>
            <w:tcW w:w="760" w:type="dxa"/>
            <w:vAlign w:val="bottom"/>
            <w:vMerge w:val="restart"/>
          </w:tcPr>
          <w:p>
            <w:pPr>
              <w:spacing w:after="0"/>
              <w:rPr>
                <w:sz w:val="20"/>
                <w:szCs w:val="20"/>
                <w:color w:val="auto"/>
              </w:rPr>
            </w:pPr>
            <w:r>
              <w:rPr>
                <w:rFonts w:ascii="Arial" w:cs="Arial" w:eastAsia="Arial" w:hAnsi="Arial"/>
                <w:sz w:val="16"/>
                <w:szCs w:val="16"/>
                <w:color w:val="auto"/>
              </w:rPr>
              <w:t xml:space="preserve">    </w:t>
            </w:r>
          </w:p>
        </w:tc>
        <w:tc>
          <w:tcPr>
            <w:tcW w:w="4500" w:type="dxa"/>
            <w:vAlign w:val="bottom"/>
          </w:tcPr>
          <w:p>
            <w:pPr>
              <w:ind w:left="560"/>
              <w:spacing w:after="0"/>
              <w:rPr>
                <w:sz w:val="20"/>
                <w:szCs w:val="20"/>
                <w:color w:val="auto"/>
              </w:rPr>
            </w:pPr>
            <w:r>
              <w:rPr>
                <w:rFonts w:ascii="Arial" w:cs="Arial" w:eastAsia="Arial" w:hAnsi="Arial"/>
                <w:sz w:val="16"/>
                <w:szCs w:val="16"/>
                <w:color w:val="auto"/>
                <w:w w:val="96"/>
              </w:rPr>
              <w:t>Kelly uses external frameworks to assess the Company’s</w:t>
            </w:r>
          </w:p>
        </w:tc>
        <w:tc>
          <w:tcPr>
            <w:tcW w:w="0" w:type="dxa"/>
            <w:vAlign w:val="bottom"/>
          </w:tcPr>
          <w:p>
            <w:pPr>
              <w:spacing w:after="0"/>
              <w:rPr>
                <w:sz w:val="1"/>
                <w:szCs w:val="1"/>
                <w:color w:val="auto"/>
              </w:rPr>
            </w:pPr>
          </w:p>
        </w:tc>
      </w:tr>
      <w:tr>
        <w:trPr>
          <w:trHeight w:val="114"/>
        </w:trPr>
        <w:tc>
          <w:tcPr>
            <w:tcW w:w="760" w:type="dxa"/>
            <w:vAlign w:val="bottom"/>
            <w:vMerge w:val="continue"/>
          </w:tcPr>
          <w:p>
            <w:pPr>
              <w:spacing w:after="0"/>
              <w:rPr>
                <w:sz w:val="9"/>
                <w:szCs w:val="9"/>
                <w:color w:val="auto"/>
              </w:rPr>
            </w:pPr>
          </w:p>
        </w:tc>
        <w:tc>
          <w:tcPr>
            <w:tcW w:w="4500" w:type="dxa"/>
            <w:vAlign w:val="bottom"/>
            <w:vMerge w:val="restart"/>
          </w:tcPr>
          <w:p>
            <w:pPr>
              <w:ind w:left="560"/>
              <w:spacing w:after="0" w:line="182" w:lineRule="exact"/>
              <w:rPr>
                <w:sz w:val="20"/>
                <w:szCs w:val="20"/>
                <w:color w:val="auto"/>
              </w:rPr>
            </w:pPr>
            <w:r>
              <w:rPr>
                <w:rFonts w:ascii="Arial" w:cs="Arial" w:eastAsia="Arial" w:hAnsi="Arial"/>
                <w:sz w:val="16"/>
                <w:szCs w:val="16"/>
                <w:color w:val="auto"/>
              </w:rPr>
              <w:t>cybersecurity maturity as well as internal governance</w:t>
            </w:r>
          </w:p>
        </w:tc>
        <w:tc>
          <w:tcPr>
            <w:tcW w:w="0" w:type="dxa"/>
            <w:vAlign w:val="bottom"/>
          </w:tcPr>
          <w:p>
            <w:pPr>
              <w:spacing w:after="0"/>
              <w:rPr>
                <w:sz w:val="1"/>
                <w:szCs w:val="1"/>
                <w:color w:val="auto"/>
              </w:rPr>
            </w:pPr>
          </w:p>
        </w:tc>
      </w:tr>
      <w:tr>
        <w:trPr>
          <w:trHeight w:val="68"/>
        </w:trPr>
        <w:tc>
          <w:tcPr>
            <w:tcW w:w="760" w:type="dxa"/>
            <w:vAlign w:val="bottom"/>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760" w:type="dxa"/>
            <w:vAlign w:val="bottom"/>
          </w:tcPr>
          <w:p>
            <w:pPr>
              <w:spacing w:after="0"/>
              <w:rPr>
                <w:sz w:val="17"/>
                <w:szCs w:val="17"/>
                <w:color w:val="auto"/>
              </w:rPr>
            </w:pPr>
          </w:p>
        </w:tc>
        <w:tc>
          <w:tcPr>
            <w:tcW w:w="4500" w:type="dxa"/>
            <w:vAlign w:val="bottom"/>
          </w:tcPr>
          <w:p>
            <w:pPr>
              <w:ind w:left="560"/>
              <w:spacing w:after="0"/>
              <w:rPr>
                <w:sz w:val="20"/>
                <w:szCs w:val="20"/>
                <w:color w:val="auto"/>
              </w:rPr>
            </w:pPr>
            <w:r>
              <w:rPr>
                <w:rFonts w:ascii="Arial" w:cs="Arial" w:eastAsia="Arial" w:hAnsi="Arial"/>
                <w:sz w:val="16"/>
                <w:szCs w:val="16"/>
                <w:color w:val="auto"/>
              </w:rPr>
              <w:t>structures to mitigate cybersecurity risks.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Party Risk Management</w:t>
      </w:r>
    </w:p>
    <w:p>
      <w:pPr>
        <w:spacing w:after="0" w:line="78" w:lineRule="exact"/>
        <w:rPr>
          <w:sz w:val="20"/>
          <w:szCs w:val="20"/>
          <w:color w:val="auto"/>
        </w:rPr>
      </w:pPr>
    </w:p>
    <w:p>
      <w:pPr>
        <w:ind w:right="240"/>
        <w:spacing w:after="0" w:line="337" w:lineRule="auto"/>
        <w:rPr>
          <w:sz w:val="20"/>
          <w:szCs w:val="20"/>
          <w:color w:val="auto"/>
        </w:rPr>
      </w:pPr>
      <w:r>
        <w:rPr>
          <w:rFonts w:ascii="Arial" w:cs="Arial" w:eastAsia="Arial" w:hAnsi="Arial"/>
          <w:sz w:val="14"/>
          <w:szCs w:val="14"/>
          <w:color w:val="auto"/>
        </w:rPr>
        <w:t>We monitor critical engagements with vendors and partners for cyber risk to reduce third-party exposure.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Training and Awareness</w:t>
      </w:r>
    </w:p>
    <w:p>
      <w:pPr>
        <w:spacing w:after="0" w:line="78" w:lineRule="exact"/>
        <w:rPr>
          <w:sz w:val="20"/>
          <w:szCs w:val="20"/>
          <w:color w:val="auto"/>
        </w:rPr>
      </w:pPr>
    </w:p>
    <w:p>
      <w:pPr>
        <w:ind w:right="60"/>
        <w:spacing w:after="0" w:line="293" w:lineRule="auto"/>
        <w:rPr>
          <w:sz w:val="20"/>
          <w:szCs w:val="20"/>
          <w:color w:val="auto"/>
        </w:rPr>
      </w:pPr>
      <w:r>
        <w:rPr>
          <w:rFonts w:ascii="Arial" w:cs="Arial" w:eastAsia="Arial" w:hAnsi="Arial"/>
          <w:sz w:val="14"/>
          <w:szCs w:val="14"/>
          <w:color w:val="auto"/>
        </w:rPr>
        <w:t>We train employees on industry-specific cybersecurity threats and test to identify common attack vectors, including business email compromise, domain spoofing, social engineering, and other phishing techniques.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External Assessments</w:t>
      </w:r>
    </w:p>
    <w:p>
      <w:pPr>
        <w:spacing w:after="0" w:line="78"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Kelly adopted the National Institute of Standards and Technology Cybersecurity Framework (“NIST CSF”) and measures our cyber maturity through an annual assessment by a third-party aligned with NIST SP</w:t>
      </w:r>
    </w:p>
    <w:p>
      <w:pPr>
        <w:ind w:right="300"/>
        <w:spacing w:after="0" w:line="247" w:lineRule="auto"/>
        <w:rPr>
          <w:sz w:val="20"/>
          <w:szCs w:val="20"/>
          <w:color w:val="auto"/>
        </w:rPr>
      </w:pPr>
      <w:r>
        <w:rPr>
          <w:rFonts w:ascii="Arial" w:cs="Arial" w:eastAsia="Arial" w:hAnsi="Arial"/>
          <w:sz w:val="16"/>
          <w:szCs w:val="16"/>
          <w:color w:val="auto"/>
        </w:rPr>
        <w:t>800-53 Security and Privacy Controls for Information Systems and Organizations.</w:t>
      </w:r>
    </w:p>
    <w:p>
      <w:pPr>
        <w:spacing w:after="0" w:line="200" w:lineRule="exact"/>
        <w:rPr>
          <w:sz w:val="20"/>
          <w:szCs w:val="20"/>
          <w:color w:val="auto"/>
        </w:rPr>
      </w:pPr>
    </w:p>
    <w:p>
      <w:pPr>
        <w:sectPr>
          <w:pgSz w:w="11900" w:h="16838" w:orient="portrait"/>
          <w:cols w:equalWidth="0" w:num="2">
            <w:col w:w="5980" w:space="720"/>
            <w:col w:w="3920"/>
          </w:cols>
          <w:pgMar w:left="640" w:top="296" w:right="6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 Assessment of Employee Compensation Programs</w:t>
      </w:r>
    </w:p>
    <w:p>
      <w:pPr>
        <w:spacing w:after="0" w:line="69"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Annually, at its February meeting, the Compensation and Talent Management Committee reviews management’s Compensation Program Risk Assessment Report, prepared by the Company’s Compensation group and reviewed by the Company’s General Counsel. The review and update of the Executive Compensation Program Risk Assessment Framework occurs, as needed, including review by the independent compensation consultant, to ensure a robust and comprehensive assessment process.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0A9E50"/>
        </w:rPr>
        <w:t>The Company’s Executive Compensation Program Risk Assessment Framework takes into consideration the following guiding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67405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71" w:lineRule="exact"/>
        <w:rPr>
          <w:sz w:val="20"/>
          <w:szCs w:val="20"/>
          <w:color w:val="auto"/>
        </w:rPr>
      </w:pPr>
    </w:p>
    <w:p>
      <w:pPr>
        <w:ind w:left="240"/>
        <w:spacing w:after="0"/>
        <w:tabs>
          <w:tab w:leader="none" w:pos="44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Short- and long-term incentive performance measures and equity award types do not encourage excessive risk-taking</w:t>
      </w:r>
    </w:p>
    <w:p>
      <w:pPr>
        <w:spacing w:after="0" w:line="73" w:lineRule="exact"/>
        <w:rPr>
          <w:sz w:val="20"/>
          <w:szCs w:val="20"/>
          <w:color w:val="auto"/>
        </w:rPr>
      </w:pPr>
    </w:p>
    <w:p>
      <w:pPr>
        <w:ind w:left="440" w:right="120" w:hanging="224"/>
        <w:spacing w:after="0" w:line="246" w:lineRule="auto"/>
        <w:tabs>
          <w:tab w:leader="none" w:pos="42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A balanced compensation structure that includes an appropriate mix of fixed and variable cash and equity; with a balance of short- and long-term incentive opportunities</w:t>
      </w:r>
    </w:p>
    <w:p>
      <w:pPr>
        <w:spacing w:after="0" w:line="37" w:lineRule="exact"/>
        <w:rPr>
          <w:sz w:val="20"/>
          <w:szCs w:val="20"/>
          <w:color w:val="auto"/>
        </w:rPr>
      </w:pPr>
    </w:p>
    <w:p>
      <w:pPr>
        <w:ind w:left="460" w:right="20" w:hanging="224"/>
        <w:spacing w:after="0" w:line="246" w:lineRule="auto"/>
        <w:tabs>
          <w:tab w:leader="none" w:pos="44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Performance criteria and corresponding objectives include a balance of performance and the quality of such performance; include the appropriate use of top line vs. bottom-line metrics; and use annual and long-term measures that complement each other</w:t>
      </w:r>
    </w:p>
    <w:p>
      <w:pPr>
        <w:spacing w:after="0" w:line="37" w:lineRule="exact"/>
        <w:rPr>
          <w:sz w:val="20"/>
          <w:szCs w:val="20"/>
          <w:color w:val="auto"/>
        </w:rPr>
      </w:pPr>
    </w:p>
    <w:p>
      <w:pPr>
        <w:ind w:left="240"/>
        <w:spacing w:after="0"/>
        <w:tabs>
          <w:tab w:leader="none" w:pos="44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4"/>
          <w:szCs w:val="14"/>
          <w:color w:val="auto"/>
        </w:rPr>
        <w:t>Well-designed plans that do not include steep payout curves, uncapped incentive payouts, or misaligned payout timing</w:t>
      </w:r>
    </w:p>
    <w:p>
      <w:pPr>
        <w:spacing w:after="0" w:line="73" w:lineRule="exact"/>
        <w:rPr>
          <w:sz w:val="20"/>
          <w:szCs w:val="20"/>
          <w:color w:val="auto"/>
        </w:rPr>
      </w:pPr>
    </w:p>
    <w:p>
      <w:pPr>
        <w:ind w:left="240" w:right="1200"/>
        <w:spacing w:after="0" w:line="348" w:lineRule="auto"/>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Incentive plans tested for multiple scenarios under realistic assumptions to ensure that potential payouts are reasonable relative to results</w:t>
      </w:r>
      <w:r>
        <w:rPr>
          <w:rFonts w:ascii="Times New Roman" w:cs="Times New Roman" w:eastAsia="Times New Roman" w:hAnsi="Times New Roman"/>
          <w:sz w:val="12"/>
          <w:szCs w:val="12"/>
          <w:color w:val="0A9E50"/>
        </w:rPr>
        <w:t xml:space="preserve"> ●</w:t>
      </w:r>
      <w:r>
        <w:rPr>
          <w:rFonts w:ascii="Arial" w:cs="Arial" w:eastAsia="Arial" w:hAnsi="Arial"/>
          <w:sz w:val="14"/>
          <w:szCs w:val="14"/>
          <w:color w:val="000000"/>
        </w:rPr>
        <w:t xml:space="preserve">  A thorough and qualitative assessment of the achievement, quality, and sustainability of results</w:t>
      </w:r>
    </w:p>
    <w:p>
      <w:pPr>
        <w:spacing w:after="0" w:line="1" w:lineRule="exact"/>
        <w:rPr>
          <w:sz w:val="20"/>
          <w:szCs w:val="20"/>
          <w:color w:val="auto"/>
        </w:rPr>
      </w:pPr>
    </w:p>
    <w:p>
      <w:pPr>
        <w:ind w:left="460" w:right="160" w:hanging="224"/>
        <w:spacing w:after="0" w:line="246" w:lineRule="auto"/>
        <w:tabs>
          <w:tab w:leader="none" w:pos="44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Benchmarked incentive plan payouts relative to performance, to ensure competitive practices in comparison with a representative peer group and general industry</w:t>
      </w:r>
    </w:p>
    <w:p>
      <w:pPr>
        <w:spacing w:after="0" w:line="37" w:lineRule="exact"/>
        <w:rPr>
          <w:sz w:val="20"/>
          <w:szCs w:val="20"/>
          <w:color w:val="auto"/>
        </w:rPr>
      </w:pPr>
    </w:p>
    <w:p>
      <w:pPr>
        <w:ind w:left="460" w:right="20" w:hanging="224"/>
        <w:spacing w:after="0" w:line="246" w:lineRule="auto"/>
        <w:tabs>
          <w:tab w:leader="none" w:pos="44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Implementation of risk-mitigating features such as a Clawback Policy and a policy that establishes expected share ownership for executives and directors of shares received from incentive award payouts</w:t>
      </w:r>
    </w:p>
    <w:p>
      <w:pPr>
        <w:spacing w:after="0" w:line="37" w:lineRule="exact"/>
        <w:rPr>
          <w:sz w:val="20"/>
          <w:szCs w:val="20"/>
          <w:color w:val="auto"/>
        </w:rPr>
      </w:pPr>
    </w:p>
    <w:p>
      <w:pPr>
        <w:ind w:left="460" w:right="400" w:hanging="224"/>
        <w:spacing w:after="0" w:line="246" w:lineRule="auto"/>
        <w:tabs>
          <w:tab w:leader="none" w:pos="44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Incentive plan governance includes involvement at a variety of levels from the Compensation and Talent Management Committee to various corporate functions including Corporate Governance, Compensation, Finance, HR, Legal, and the Committee’s outside compensation consultant</w:t>
      </w:r>
    </w:p>
    <w:p>
      <w:pPr>
        <w:spacing w:after="0" w:line="37" w:lineRule="exact"/>
        <w:rPr>
          <w:sz w:val="20"/>
          <w:szCs w:val="20"/>
          <w:color w:val="auto"/>
        </w:rPr>
      </w:pPr>
    </w:p>
    <w:p>
      <w:pPr>
        <w:ind w:left="460" w:right="160" w:hanging="224"/>
        <w:spacing w:after="0" w:line="246" w:lineRule="auto"/>
        <w:tabs>
          <w:tab w:leader="none" w:pos="440" w:val="left"/>
        </w:tabs>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4"/>
          <w:szCs w:val="14"/>
          <w:color w:val="000000"/>
        </w:rPr>
        <w:t xml:space="preserve"> </w:t>
      </w:r>
      <w:r>
        <w:rPr>
          <w:sz w:val="20"/>
          <w:szCs w:val="20"/>
          <w:color w:val="auto"/>
        </w:rPr>
        <w:tab/>
      </w:r>
      <w:r>
        <w:rPr>
          <w:rFonts w:ascii="Arial" w:cs="Arial" w:eastAsia="Arial" w:hAnsi="Arial"/>
          <w:sz w:val="15"/>
          <w:szCs w:val="15"/>
          <w:color w:val="auto"/>
        </w:rPr>
        <w:t>Potential risk discussed with the Compensation and Talent Management Committee, recorded in Committee minutes, and discussed in the Compensation Discussion and Analysis section of the Company’s Annual Proxy Statement</w:t>
      </w:r>
    </w:p>
    <w:p>
      <w:pPr>
        <w:spacing w:after="0" w:line="5" w:lineRule="exact"/>
        <w:rPr>
          <w:sz w:val="20"/>
          <w:szCs w:val="20"/>
          <w:color w:val="auto"/>
        </w:rPr>
      </w:pPr>
    </w:p>
    <w:p>
      <w:pPr>
        <w:ind w:left="8780"/>
        <w:spacing w:after="0"/>
        <w:tabs>
          <w:tab w:leader="none" w:pos="1002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67405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6308725</wp:posOffset>
            </wp:positionH>
            <wp:positionV relativeFrom="paragraph">
              <wp:posOffset>-184150</wp:posOffset>
            </wp:positionV>
            <wp:extent cx="8255" cy="2228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type w:val="continuous"/>
        </w:sectPr>
      </w:pPr>
    </w:p>
    <w:bookmarkStart w:id="31" w:name="page32"/>
    <w:bookmarkEnd w:id="31"/>
    <w:p>
      <w:pPr>
        <w:ind w:left="4"/>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137" w:lineRule="exact"/>
        <w:rPr>
          <w:sz w:val="20"/>
          <w:szCs w:val="20"/>
          <w:color w:val="auto"/>
        </w:rPr>
      </w:pPr>
    </w:p>
    <w:p>
      <w:pPr>
        <w:ind w:left="4" w:right="160"/>
        <w:spacing w:after="0" w:line="246" w:lineRule="auto"/>
        <w:rPr>
          <w:sz w:val="20"/>
          <w:szCs w:val="20"/>
          <w:color w:val="auto"/>
        </w:rPr>
      </w:pPr>
      <w:r>
        <w:rPr>
          <w:rFonts w:ascii="Arial" w:cs="Arial" w:eastAsia="Arial" w:hAnsi="Arial"/>
          <w:sz w:val="16"/>
          <w:szCs w:val="16"/>
          <w:color w:val="auto"/>
        </w:rPr>
        <w:t>To assess the risk of employee compensation programs below the executive level, the Company’s Compensation group implemented an internal Governance Committee to review and approve plan design and address any significant issues that arise. The Governance Committee utilizes its Global Incentive Plan Design and Risk Mitigation Framework to consider alignment to the Company’s strategy and risks associated with the following elements of the design and implementation of each incentive plan:</w:t>
      </w:r>
    </w:p>
    <w:p>
      <w:pPr>
        <w:spacing w:after="0" w:line="52" w:lineRule="exact"/>
        <w:rPr>
          <w:sz w:val="20"/>
          <w:szCs w:val="20"/>
          <w:color w:val="auto"/>
        </w:rPr>
      </w:pPr>
    </w:p>
    <w:p>
      <w:pPr>
        <w:ind w:left="204" w:hanging="204"/>
        <w:spacing w:after="0" w:line="202" w:lineRule="auto"/>
        <w:tabs>
          <w:tab w:leader="none" w:pos="204" w:val="left"/>
        </w:tabs>
        <w:numPr>
          <w:ilvl w:val="0"/>
          <w:numId w:val="2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linkage of incentive measures with business objectives, analysis of total compensation market data, determination of design elements/payout threshold levels, potential range of payouts, and timely and accurate tracking of performance data;</w:t>
      </w:r>
    </w:p>
    <w:p>
      <w:pPr>
        <w:ind w:left="204" w:hanging="204"/>
        <w:spacing w:after="0" w:line="226" w:lineRule="auto"/>
        <w:tabs>
          <w:tab w:leader="none" w:pos="204" w:val="left"/>
        </w:tabs>
        <w:numPr>
          <w:ilvl w:val="0"/>
          <w:numId w:val="2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modeling, approval, and communication of incentive plans;</w:t>
      </w:r>
    </w:p>
    <w:p>
      <w:pPr>
        <w:spacing w:after="0" w:line="69" w:lineRule="exact"/>
        <w:rPr>
          <w:rFonts w:ascii="Times New Roman" w:cs="Times New Roman" w:eastAsia="Times New Roman" w:hAnsi="Times New Roman"/>
          <w:sz w:val="24"/>
          <w:szCs w:val="24"/>
          <w:color w:val="0A9E50"/>
          <w:vertAlign w:val="superscript"/>
        </w:rPr>
      </w:pPr>
    </w:p>
    <w:p>
      <w:pPr>
        <w:ind w:left="204" w:hanging="204"/>
        <w:spacing w:after="0" w:line="181" w:lineRule="auto"/>
        <w:tabs>
          <w:tab w:leader="none" w:pos="204" w:val="left"/>
        </w:tabs>
        <w:numPr>
          <w:ilvl w:val="0"/>
          <w:numId w:val="21"/>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calculation, audit, approval, and communication of incentive payments; and</w:t>
      </w:r>
    </w:p>
    <w:p>
      <w:pPr>
        <w:spacing w:after="0" w:line="69" w:lineRule="exact"/>
        <w:rPr>
          <w:rFonts w:ascii="Times New Roman" w:cs="Times New Roman" w:eastAsia="Times New Roman" w:hAnsi="Times New Roman"/>
          <w:sz w:val="22"/>
          <w:szCs w:val="22"/>
          <w:color w:val="0A9E50"/>
          <w:vertAlign w:val="superscript"/>
        </w:rPr>
      </w:pPr>
    </w:p>
    <w:p>
      <w:pPr>
        <w:ind w:left="204" w:hanging="204"/>
        <w:spacing w:after="0" w:line="181" w:lineRule="auto"/>
        <w:tabs>
          <w:tab w:leader="none" w:pos="204" w:val="left"/>
        </w:tabs>
        <w:numPr>
          <w:ilvl w:val="0"/>
          <w:numId w:val="21"/>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annual plan reviews to ensure planned design updates align with business goals and budgets, and do not present a material risk to the Company.</w:t>
      </w:r>
    </w:p>
    <w:p>
      <w:pPr>
        <w:spacing w:after="0" w:line="56" w:lineRule="exact"/>
        <w:rPr>
          <w:sz w:val="20"/>
          <w:szCs w:val="20"/>
          <w:color w:val="auto"/>
        </w:rPr>
      </w:pPr>
    </w:p>
    <w:p>
      <w:pPr>
        <w:ind w:left="4" w:right="60"/>
        <w:spacing w:after="0" w:line="316" w:lineRule="auto"/>
        <w:rPr>
          <w:sz w:val="20"/>
          <w:szCs w:val="20"/>
          <w:color w:val="auto"/>
        </w:rPr>
      </w:pPr>
      <w:r>
        <w:rPr>
          <w:rFonts w:ascii="Arial" w:cs="Arial" w:eastAsia="Arial" w:hAnsi="Arial"/>
          <w:sz w:val="14"/>
          <w:szCs w:val="14"/>
          <w:color w:val="auto"/>
        </w:rPr>
        <w:t>After due consideration of management’s 2023 Compensation Program Risk Assessment Report, the Compensation and Talent Management Committee concluded that the Company’s compensation programs do not create a reasonable likelihood of a material adverse effect on the Company.</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 xml:space="preserve">Kelly’s Corporate Sustainability and ESG Strategy – </w:t>
      </w:r>
      <w:r>
        <w:rPr>
          <w:rFonts w:ascii="Arial" w:cs="Arial" w:eastAsia="Arial" w:hAnsi="Arial"/>
          <w:sz w:val="21"/>
          <w:szCs w:val="21"/>
          <w:i w:val="1"/>
          <w:iCs w:val="1"/>
          <w:color w:val="auto"/>
        </w:rPr>
        <w:t>Growing with Purpose</w:t>
      </w:r>
    </w:p>
    <w:p>
      <w:pPr>
        <w:spacing w:after="0" w:line="85" w:lineRule="exact"/>
        <w:rPr>
          <w:sz w:val="20"/>
          <w:szCs w:val="20"/>
          <w:color w:val="auto"/>
        </w:rPr>
      </w:pPr>
    </w:p>
    <w:p>
      <w:pPr>
        <w:ind w:left="4" w:right="80"/>
        <w:spacing w:after="0" w:line="303" w:lineRule="auto"/>
        <w:rPr>
          <w:sz w:val="20"/>
          <w:szCs w:val="20"/>
          <w:color w:val="auto"/>
        </w:rPr>
      </w:pPr>
      <w:r>
        <w:rPr>
          <w:rFonts w:ascii="Arial" w:cs="Arial" w:eastAsia="Arial" w:hAnsi="Arial"/>
          <w:sz w:val="14"/>
          <w:szCs w:val="14"/>
          <w:color w:val="auto"/>
        </w:rPr>
        <w:t>Kelly recognizes the critical importance of sustainability in addressing the world’s most pressing environmental and social challenges. Kelly’s approach is based on the concept of creating shared value. We aim to create economic value by addressing societal needs and going beyond traditional corporate social responsibility. Our focus on sustainable growth helps us manage risks efficiently while we continue to develop long-term business opportunities.</w:t>
      </w:r>
    </w:p>
    <w:p>
      <w:pPr>
        <w:spacing w:after="0" w:line="2" w:lineRule="exact"/>
        <w:rPr>
          <w:sz w:val="20"/>
          <w:szCs w:val="20"/>
          <w:color w:val="auto"/>
        </w:rPr>
      </w:pPr>
    </w:p>
    <w:p>
      <w:pPr>
        <w:ind w:left="4" w:right="80"/>
        <w:spacing w:after="0" w:line="243" w:lineRule="auto"/>
        <w:rPr>
          <w:sz w:val="20"/>
          <w:szCs w:val="20"/>
          <w:color w:val="auto"/>
        </w:rPr>
      </w:pPr>
      <w:r>
        <w:rPr>
          <w:rFonts w:ascii="Arial" w:cs="Arial" w:eastAsia="Arial" w:hAnsi="Arial"/>
          <w:sz w:val="16"/>
          <w:szCs w:val="16"/>
          <w:color w:val="auto"/>
        </w:rPr>
        <w:t>In 2023, our Corporate Sustainability and Environmental, Social, and Governance Strategy (“ESG Strategy”) was primarily focused on strengthening relationships and alignment between our key corporate functions and business teams, which continue to set the stage for our sustainability goals moving forward. To ensure alignment, we expanded our ESG Advisory Committee with a representative from each of our Business Units. Additionally, we integrated our sustainability and ESG efforts with Enterprise Risk Management for optimal organizational synergy. From strengthening relationships with stakeholders through community focus and an emphasis on skills-based volunteering, to eliminating barriers to accessing work opportunities with programs like Equity@Work, we consistently create shared value.</w:t>
      </w:r>
    </w:p>
    <w:p>
      <w:pPr>
        <w:spacing w:after="0" w:line="40" w:lineRule="exact"/>
        <w:rPr>
          <w:sz w:val="20"/>
          <w:szCs w:val="20"/>
          <w:color w:val="auto"/>
        </w:rPr>
      </w:pPr>
    </w:p>
    <w:p>
      <w:pPr>
        <w:ind w:left="4" w:right="120"/>
        <w:spacing w:after="0" w:line="246" w:lineRule="auto"/>
        <w:rPr>
          <w:sz w:val="20"/>
          <w:szCs w:val="20"/>
          <w:color w:val="auto"/>
        </w:rPr>
      </w:pPr>
      <w:r>
        <w:rPr>
          <w:rFonts w:ascii="Arial" w:cs="Arial" w:eastAsia="Arial" w:hAnsi="Arial"/>
          <w:sz w:val="16"/>
          <w:szCs w:val="16"/>
          <w:color w:val="auto"/>
        </w:rPr>
        <w:t>Our ESG Strategy aligns to Kelly’s Enterprise Goals and growth strategy with seven core pillars responding to stakeholder expectations and critical risks and opportunities across environmental, social, and governance issues. These core pillars are based on nine United Nations Sustainable Development Goals (“UN SDGs”) and support all programs and initiatives within our Corporate Sustainability and ESG strategy to ensure that internal resources and activities positively impact our triple bottom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123190</wp:posOffset>
            </wp:positionV>
            <wp:extent cx="4997450" cy="21062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97450" cy="210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 w:right="140"/>
        <w:spacing w:after="0" w:line="267" w:lineRule="auto"/>
        <w:rPr>
          <w:sz w:val="20"/>
          <w:szCs w:val="20"/>
          <w:color w:val="auto"/>
        </w:rPr>
      </w:pPr>
      <w:r>
        <w:rPr>
          <w:rFonts w:ascii="Arial" w:cs="Arial" w:eastAsia="Arial" w:hAnsi="Arial"/>
          <w:sz w:val="16"/>
          <w:szCs w:val="16"/>
          <w:b w:val="1"/>
          <w:bCs w:val="1"/>
          <w:color w:val="auto"/>
        </w:rPr>
        <w:t xml:space="preserve">Stakeholder engagement: </w:t>
      </w:r>
      <w:r>
        <w:rPr>
          <w:rFonts w:ascii="Arial" w:cs="Arial" w:eastAsia="Arial" w:hAnsi="Arial"/>
          <w:sz w:val="16"/>
          <w:szCs w:val="16"/>
          <w:color w:val="auto"/>
        </w:rPr>
        <w:t>We continually engage with diverse stakeholders through various ongoing initiatives and activities to better understand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concerns and deliver added value of our services.</w:t>
      </w:r>
    </w:p>
    <w:p>
      <w:pPr>
        <w:spacing w:after="0" w:line="37" w:lineRule="exact"/>
        <w:rPr>
          <w:sz w:val="20"/>
          <w:szCs w:val="20"/>
          <w:color w:val="auto"/>
        </w:rPr>
      </w:pPr>
    </w:p>
    <w:p>
      <w:pPr>
        <w:ind w:left="64"/>
        <w:spacing w:after="0"/>
        <w:tabs>
          <w:tab w:leader="none" w:pos="563" w:val="left"/>
        </w:tabs>
        <w:rPr>
          <w:sz w:val="20"/>
          <w:szCs w:val="20"/>
          <w:color w:val="auto"/>
        </w:rPr>
      </w:pPr>
      <w:r>
        <w:rPr>
          <w:rFonts w:ascii="Arial" w:cs="Arial" w:eastAsia="Arial" w:hAnsi="Arial"/>
          <w:sz w:val="36"/>
          <w:szCs w:val="36"/>
          <w:color w:val="auto"/>
          <w:vertAlign w:val="superscript"/>
        </w:rPr>
        <w:t>30 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-214630</wp:posOffset>
            </wp:positionV>
            <wp:extent cx="8255" cy="2228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04"/>
          </w:cols>
          <w:pgMar w:left="636" w:top="296" w:right="659" w:bottom="1440" w:gutter="0" w:footer="0" w:header="0"/>
        </w:sectPr>
      </w:pPr>
    </w:p>
    <w:bookmarkStart w:id="32" w:name="page33"/>
    <w:bookmarkEnd w:id="32"/>
    <w:p>
      <w:pPr>
        <w:ind w:left="92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135"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b w:val="1"/>
          <w:bCs w:val="1"/>
          <w:color w:val="auto"/>
        </w:rPr>
        <w:t xml:space="preserve">Stakeholder Perception Analysis (formerly referred to as Materiality): </w:t>
      </w:r>
      <w:r>
        <w:rPr>
          <w:rFonts w:ascii="Arial" w:cs="Arial" w:eastAsia="Arial" w:hAnsi="Arial"/>
          <w:sz w:val="16"/>
          <w:szCs w:val="16"/>
          <w:color w:val="auto"/>
        </w:rPr>
        <w:t>Our ESG Strategy is anchored in a formal assessment that analyzes</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social, and governance issues with respect to stakeholder relevance, the severity to business risk, and the impact on our business success. We conducted our latest assessment in 2021 through surveys, with participation from a group of diverse stakeholders representing suppliers, customers, Kelly employees, talent, and other stakeholders. Kelly’s most recent assessment considered a “double materiality” analysis to assess the level of risk that each ESG issue could have on the business from a financial and non-financial perspective, including our license to operate and impact on the overall value of our organization.</w:t>
      </w:r>
    </w:p>
    <w:p>
      <w:pPr>
        <w:spacing w:after="0" w:line="40"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b w:val="1"/>
          <w:bCs w:val="1"/>
          <w:color w:val="auto"/>
        </w:rPr>
        <w:t xml:space="preserve">Board ESG Oversight: </w:t>
      </w:r>
      <w:r>
        <w:rPr>
          <w:rFonts w:ascii="Arial" w:cs="Arial" w:eastAsia="Arial" w:hAnsi="Arial"/>
          <w:sz w:val="16"/>
          <w:szCs w:val="16"/>
          <w:color w:val="auto"/>
        </w:rPr>
        <w:t>Our Board of Directors is responsible for overseeing the effective execution of our ESG strategy along with multiple Board</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that oversee various ESG topics. Our Governance and Nominating Committee provides oversight to Corporate Governance principles and ESG strategy policies, initiatives, and associated risk. Our Audit Committee plays a key role in the Board’s risk oversight process particularly with financial impact risk, and risks associated with information security. Our Compensation and Talent Management Committee provides oversight to talent attraction, retention, and compensation plans, policies, and practices. Senior management reports to the Board on key ESG topics at least bi-annually through our ESG Advisory Committee comprised of a diverse and multidisciplinary leadership team.</w:t>
      </w: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2023 Goals and Achievements</w:t>
      </w:r>
    </w:p>
    <w:p>
      <w:pPr>
        <w:spacing w:after="0" w:line="85"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Beginning in 2022, our strategy shifted focus to long-term sustainability goals. These goals address the interconnected challenges of social, economic, and environmental sustainability, with the intent to balance the needs of present and future generations. In 2023, we continued to report on progress towards these objectives, and to show transparency and accountability in our actions.</w:t>
      </w: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b w:val="1"/>
          <w:bCs w:val="1"/>
          <w:color w:val="0A9E50"/>
        </w:rPr>
        <w:t>Environmental:</w:t>
      </w:r>
    </w:p>
    <w:p>
      <w:pPr>
        <w:spacing w:after="0" w:line="72" w:lineRule="exact"/>
        <w:rPr>
          <w:sz w:val="20"/>
          <w:szCs w:val="20"/>
          <w:color w:val="auto"/>
        </w:rPr>
      </w:pPr>
    </w:p>
    <w:p>
      <w:pPr>
        <w:ind w:right="980"/>
        <w:spacing w:after="0" w:line="265" w:lineRule="auto"/>
        <w:rPr>
          <w:sz w:val="20"/>
          <w:szCs w:val="20"/>
          <w:color w:val="auto"/>
        </w:rPr>
      </w:pPr>
      <w:r>
        <w:rPr>
          <w:rFonts w:ascii="Arial" w:cs="Arial" w:eastAsia="Arial" w:hAnsi="Arial"/>
          <w:sz w:val="16"/>
          <w:szCs w:val="16"/>
          <w:color w:val="auto"/>
        </w:rPr>
        <w:t>Kelly is committed to protecting our planet for future generations. Our environmental initiatives focus on providing safe and sustainable work environments for our employees and talent while mitigating the environmental footprint of our operations.</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2023 Environmental Highlights:</w:t>
      </w:r>
    </w:p>
    <w:p>
      <w:pPr>
        <w:spacing w:after="0" w:line="70"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b w:val="1"/>
          <w:bCs w:val="1"/>
          <w:color w:val="auto"/>
        </w:rPr>
        <w:t xml:space="preserve">Green House Gas (“GHG”) emission reduction. </w:t>
      </w:r>
      <w:r>
        <w:rPr>
          <w:rFonts w:ascii="Arial" w:cs="Arial" w:eastAsia="Arial" w:hAnsi="Arial"/>
          <w:sz w:val="16"/>
          <w:szCs w:val="16"/>
          <w:color w:val="auto"/>
        </w:rPr>
        <w:t>We continue to adjust our carbon emissions and improve calculation methodologies across all scopes,</w:t>
      </w:r>
      <w:r>
        <w:rPr>
          <w:rFonts w:ascii="Arial" w:cs="Arial" w:eastAsia="Arial" w:hAnsi="Arial"/>
          <w:sz w:val="16"/>
          <w:szCs w:val="16"/>
          <w:b w:val="1"/>
          <w:bCs w:val="1"/>
          <w:color w:val="auto"/>
        </w:rPr>
        <w:t xml:space="preserve"> </w:t>
      </w:r>
      <w:r>
        <w:rPr>
          <w:rFonts w:ascii="Arial" w:cs="Arial" w:eastAsia="Arial" w:hAnsi="Arial"/>
          <w:sz w:val="16"/>
          <w:szCs w:val="16"/>
          <w:color w:val="auto"/>
        </w:rPr>
        <w:t>while expanding the approach of Scopes 1 and 2 to include global locations within our operational control. In 2023, we updated our climate risk assessment and continued to pursue a climate strategy to mitigate, remove, and compensate for our impact, and align emission reduction targets to limit global warming to a 1.5°C ambition level by 2050. We use a climate change scenario approach to help us explore different possible outcomes and inform decision-making and planning. We communicate our progress on climate-related disclosure metrics through our annual Corporate Sustainability and ESG report, Carbon Disclosure Project (“CDP”), and external sustainability assessments that evaluate our performance.</w:t>
      </w:r>
    </w:p>
    <w:p>
      <w:pPr>
        <w:spacing w:after="0" w:line="53"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b w:val="1"/>
          <w:bCs w:val="1"/>
          <w:color w:val="auto"/>
        </w:rPr>
        <w:t xml:space="preserve">Workplace safety solutions and performance across our specialty businesses. </w:t>
      </w:r>
      <w:r>
        <w:rPr>
          <w:rFonts w:ascii="Arial" w:cs="Arial" w:eastAsia="Arial" w:hAnsi="Arial"/>
          <w:sz w:val="16"/>
          <w:szCs w:val="16"/>
          <w:color w:val="auto"/>
        </w:rPr>
        <w:t>Since 2010, Kelly has maintained our zero-injury program, Absolute</w:t>
      </w:r>
      <w:r>
        <w:rPr>
          <w:rFonts w:ascii="Arial" w:cs="Arial" w:eastAsia="Arial" w:hAnsi="Arial"/>
          <w:sz w:val="16"/>
          <w:szCs w:val="16"/>
          <w:b w:val="1"/>
          <w:bCs w:val="1"/>
          <w:color w:val="auto"/>
        </w:rPr>
        <w:t xml:space="preserve"> </w:t>
      </w:r>
      <w:r>
        <w:rPr>
          <w:rFonts w:ascii="Arial" w:cs="Arial" w:eastAsia="Arial" w:hAnsi="Arial"/>
          <w:sz w:val="16"/>
          <w:szCs w:val="16"/>
          <w:color w:val="auto"/>
        </w:rPr>
        <w:t>Zero. In 2023, the Company outperformed our peers in the staffing industry by 91% Total Recordable Incident Rate (“TRIR”) and 92% Days Away/Restricted and Transferred Incident Rate (“DART”) compared to 2022 Bureau of Labor Statistics (“BLS”) industry averages. Current year industry averages were not available at the time of publishing. We began developing a technology tool within our internal risk management system that will allow us to track impactful metrics and capture incidents and accidents more consistently. The Company has one Certified Safety Professional (“CSP”) and one Certified Industrial Hygienist (“CIH”) on staff to serve as a resource to our clients and talent.</w:t>
      </w:r>
    </w:p>
    <w:p>
      <w:pPr>
        <w:spacing w:after="0" w:line="275" w:lineRule="exact"/>
        <w:rPr>
          <w:sz w:val="20"/>
          <w:szCs w:val="20"/>
          <w:color w:val="auto"/>
        </w:rPr>
      </w:pPr>
    </w:p>
    <w:p>
      <w:pPr>
        <w:spacing w:after="0"/>
        <w:rPr>
          <w:sz w:val="20"/>
          <w:szCs w:val="20"/>
          <w:color w:val="auto"/>
        </w:rPr>
      </w:pPr>
      <w:r>
        <w:rPr>
          <w:rFonts w:ascii="Arial" w:cs="Arial" w:eastAsia="Arial" w:hAnsi="Arial"/>
          <w:sz w:val="21"/>
          <w:szCs w:val="21"/>
          <w:b w:val="1"/>
          <w:bCs w:val="1"/>
          <w:color w:val="0A9E50"/>
        </w:rPr>
        <w:t>Social:</w:t>
      </w:r>
    </w:p>
    <w:p>
      <w:pPr>
        <w:spacing w:after="0" w:line="72" w:lineRule="exact"/>
        <w:rPr>
          <w:sz w:val="20"/>
          <w:szCs w:val="20"/>
          <w:color w:val="auto"/>
        </w:rPr>
      </w:pPr>
    </w:p>
    <w:p>
      <w:pPr>
        <w:jc w:val="both"/>
        <w:ind w:right="80"/>
        <w:spacing w:after="0" w:line="247" w:lineRule="auto"/>
        <w:rPr>
          <w:sz w:val="20"/>
          <w:szCs w:val="20"/>
          <w:color w:val="auto"/>
        </w:rPr>
      </w:pPr>
      <w:r>
        <w:rPr>
          <w:rFonts w:ascii="Arial" w:cs="Arial" w:eastAsia="Arial" w:hAnsi="Arial"/>
          <w:sz w:val="16"/>
          <w:szCs w:val="16"/>
          <w:color w:val="auto"/>
        </w:rPr>
        <w:t>Kelly’s noble purpose is to connect people to work in ways that enrich their lives. We strive to contribute to a more inclusive and equitable workforce that creates better access, opportunities, fair treatment, and advancement for all people so that they may contribute to communities where they live and work. This drives our actions and allows us to create shared value for all our stakeholders.</w:t>
      </w:r>
    </w:p>
    <w:p>
      <w:pPr>
        <w:spacing w:after="0" w:line="1" w:lineRule="exact"/>
        <w:rPr>
          <w:sz w:val="20"/>
          <w:szCs w:val="20"/>
          <w:color w:val="auto"/>
        </w:rPr>
      </w:pPr>
    </w:p>
    <w:p>
      <w:pPr>
        <w:ind w:left="8780"/>
        <w:spacing w:after="0"/>
        <w:tabs>
          <w:tab w:leader="none" w:pos="1002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6308725</wp:posOffset>
            </wp:positionH>
            <wp:positionV relativeFrom="paragraph">
              <wp:posOffset>-222250</wp:posOffset>
            </wp:positionV>
            <wp:extent cx="8255" cy="2228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2023 Social Highlights:</w:t>
      </w:r>
    </w:p>
    <w:p>
      <w:pPr>
        <w:spacing w:after="0" w:line="70"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b w:val="1"/>
          <w:bCs w:val="1"/>
          <w:color w:val="auto"/>
        </w:rPr>
        <w:t xml:space="preserve">Equity@Work as a shared value proposition. </w:t>
      </w:r>
      <w:r>
        <w:rPr>
          <w:rFonts w:ascii="Arial" w:cs="Arial" w:eastAsia="Arial" w:hAnsi="Arial"/>
          <w:sz w:val="14"/>
          <w:szCs w:val="14"/>
          <w:color w:val="auto"/>
        </w:rPr>
        <w:t>In 2023, we helped remove barriers to employment for approximately 5,639 individuals. Partnering with</w:t>
      </w:r>
      <w:r>
        <w:rPr>
          <w:rFonts w:ascii="Arial" w:cs="Arial" w:eastAsia="Arial" w:hAnsi="Arial"/>
          <w:sz w:val="14"/>
          <w:szCs w:val="14"/>
          <w:b w:val="1"/>
          <w:bCs w:val="1"/>
          <w:color w:val="auto"/>
        </w:rPr>
        <w:t xml:space="preserve"> </w:t>
      </w:r>
      <w:r>
        <w:rPr>
          <w:rFonts w:ascii="Arial" w:cs="Arial" w:eastAsia="Arial" w:hAnsi="Arial"/>
          <w:sz w:val="14"/>
          <w:szCs w:val="14"/>
          <w:color w:val="auto"/>
        </w:rPr>
        <w:t>45 clients across multiple industries including automotive, manufacturing, agriculture, logistics, and pharmaceuticals, we removed barriers such as testing, unnecessary interviews, and restrictive background and drug screens, to connect qualified individuals to meaningful work. Clients implementing Equity@Work see positive outcomes, including reduced turnover and improved fill rates. We engage with entities such as the Departments of Corrections in Iowa, Pennsylvania, Kentucky, Tennessee, and Missouri, as well as impactful non-profits like the Vera Institute of Justice, Responsible Business Initiative for Justice, and the Second Chance Business Coalition. Partnering with organizations and industry allies such as the American Staffing Association (ASA) and CEO Action, we amplify initiatives like Equity@Work and the Kelly33 second chance hiring program.</w:t>
      </w:r>
    </w:p>
    <w:p>
      <w:pPr>
        <w:spacing w:after="0" w:line="2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b w:val="1"/>
          <w:bCs w:val="1"/>
          <w:color w:val="auto"/>
        </w:rPr>
        <w:t xml:space="preserve">Giving back in communities where we live and work. </w:t>
      </w:r>
      <w:r>
        <w:rPr>
          <w:rFonts w:ascii="Arial" w:cs="Arial" w:eastAsia="Arial" w:hAnsi="Arial"/>
          <w:sz w:val="16"/>
          <w:szCs w:val="16"/>
          <w:color w:val="auto"/>
        </w:rPr>
        <w:t>We launched a new technology platform to capture corporate volunteering and empower 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with volunteering and giving initiatives, while increasing collaboration on social impact opportunities. In 2023, we achieved over 6,600 hours of volunteering, engaging more than 840 employees in the U.S. and Canada.</w:t>
      </w:r>
    </w:p>
    <w:p>
      <w:pPr>
        <w:spacing w:after="0" w:line="34"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Kelly employees contributed over $26,800 towards our Kelly Relief Fund and roughly $7,200 in grants were distributed to support 6 employees in need. In addition, approximately 520 employees contributed nearly $71,000 towards charitable giving opportunities during Kelly’s annual benefits enrollment. The Company donated approximately $158,481 towards social investment programs and charitable organizations, committed to increasing education, training, and employment networking opportunities for underserved talent. By investing in local organizations aligned with our business strategy and core values, we increase our shared value and leverage our effort for providing inclusion and equality for the workforce.</w:t>
      </w:r>
    </w:p>
    <w:p>
      <w:pPr>
        <w:spacing w:after="0" w:line="38" w:lineRule="exact"/>
        <w:rPr>
          <w:sz w:val="20"/>
          <w:szCs w:val="20"/>
          <w:color w:val="auto"/>
        </w:rPr>
      </w:pPr>
    </w:p>
    <w:p>
      <w:pPr>
        <w:ind w:right="200"/>
        <w:spacing w:after="0" w:line="245" w:lineRule="auto"/>
        <w:rPr>
          <w:sz w:val="20"/>
          <w:szCs w:val="20"/>
          <w:color w:val="auto"/>
        </w:rPr>
      </w:pPr>
      <w:r>
        <w:rPr>
          <w:rFonts w:ascii="Arial" w:cs="Arial" w:eastAsia="Arial" w:hAnsi="Arial"/>
          <w:sz w:val="16"/>
          <w:szCs w:val="16"/>
          <w:b w:val="1"/>
          <w:bCs w:val="1"/>
          <w:color w:val="auto"/>
        </w:rPr>
        <w:t xml:space="preserve">Strengthened our Employer Value Proposition (EVP) and engagement. </w:t>
      </w:r>
      <w:r>
        <w:rPr>
          <w:rFonts w:ascii="Arial" w:cs="Arial" w:eastAsia="Arial" w:hAnsi="Arial"/>
          <w:sz w:val="16"/>
          <w:szCs w:val="16"/>
          <w:color w:val="auto"/>
        </w:rPr>
        <w:t>We modified our Kelly employee engagement survey process from a large,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survey to quarterly pulse checks with intentional focus on more real-time and actional feedback especially as 2023 was a year of significant business transformation. Our year-end engagement score remained healthy at 75%. We also incorporated elements into internal onboarding , and communications with candidates, to highlight aspects such as work-life balance, learning and development, collaboration, cohesion, and organizational culture.</w:t>
      </w:r>
    </w:p>
    <w:p>
      <w:pPr>
        <w:spacing w:after="0" w:line="54"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32 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00"/>
          </w:cols>
          <w:pgMar w:left="640" w:top="296" w:right="659" w:bottom="1440" w:gutter="0" w:footer="0" w:header="0"/>
        </w:sectPr>
      </w:pPr>
    </w:p>
    <w:bookmarkStart w:id="34" w:name="page35"/>
    <w:bookmarkEnd w:id="34"/>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94615</wp:posOffset>
            </wp:positionV>
            <wp:extent cx="4906645" cy="41224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06645" cy="4122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Our eight Affinity Groups bring together over 930 employees who share similar affinities, backgrounds, and life experiences, as well as their allies. They focus on providing support, enhancing professional and personal development, and networking within the workplace. They are employee-led, collaborative groups who are committed to positively impacting our DEI pillars; Workforce, Workplace, Marketplace. In 2023, the Affinity Group’s conducted over 100 events including:</w:t>
      </w:r>
    </w:p>
    <w:p>
      <w:pPr>
        <w:spacing w:after="0" w:line="52" w:lineRule="exact"/>
        <w:rPr>
          <w:sz w:val="20"/>
          <w:szCs w:val="20"/>
          <w:color w:val="auto"/>
        </w:rPr>
      </w:pPr>
    </w:p>
    <w:p>
      <w:pPr>
        <w:ind w:left="1680" w:hanging="305"/>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Listening sessions;</w:t>
      </w:r>
    </w:p>
    <w:p>
      <w:pPr>
        <w:spacing w:after="0" w:line="76" w:lineRule="exact"/>
        <w:rPr>
          <w:rFonts w:ascii="Arial" w:cs="Arial" w:eastAsia="Arial" w:hAnsi="Arial"/>
          <w:sz w:val="16"/>
          <w:szCs w:val="16"/>
          <w:color w:val="auto"/>
        </w:rPr>
      </w:pPr>
    </w:p>
    <w:p>
      <w:pPr>
        <w:ind w:left="1680" w:hanging="305"/>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Career Development events;</w:t>
      </w:r>
    </w:p>
    <w:p>
      <w:pPr>
        <w:spacing w:after="0" w:line="76" w:lineRule="exact"/>
        <w:rPr>
          <w:rFonts w:ascii="Arial" w:cs="Arial" w:eastAsia="Arial" w:hAnsi="Arial"/>
          <w:sz w:val="16"/>
          <w:szCs w:val="16"/>
          <w:color w:val="auto"/>
        </w:rPr>
      </w:pPr>
    </w:p>
    <w:p>
      <w:pPr>
        <w:ind w:left="1680" w:hanging="305"/>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Leadership forums;</w:t>
      </w:r>
    </w:p>
    <w:p>
      <w:pPr>
        <w:spacing w:after="0" w:line="76" w:lineRule="exact"/>
        <w:rPr>
          <w:rFonts w:ascii="Arial" w:cs="Arial" w:eastAsia="Arial" w:hAnsi="Arial"/>
          <w:sz w:val="16"/>
          <w:szCs w:val="16"/>
          <w:color w:val="auto"/>
        </w:rPr>
      </w:pPr>
    </w:p>
    <w:p>
      <w:pPr>
        <w:ind w:left="1680" w:hanging="305"/>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Meet and Greet sessions;</w:t>
      </w:r>
    </w:p>
    <w:p>
      <w:pPr>
        <w:spacing w:after="0" w:line="76" w:lineRule="exact"/>
        <w:rPr>
          <w:rFonts w:ascii="Arial" w:cs="Arial" w:eastAsia="Arial" w:hAnsi="Arial"/>
          <w:sz w:val="16"/>
          <w:szCs w:val="16"/>
          <w:color w:val="auto"/>
        </w:rPr>
      </w:pPr>
    </w:p>
    <w:p>
      <w:pPr>
        <w:ind w:left="1680" w:hanging="305"/>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Health programs;</w:t>
      </w:r>
    </w:p>
    <w:p>
      <w:pPr>
        <w:spacing w:after="0" w:line="76" w:lineRule="exact"/>
        <w:rPr>
          <w:rFonts w:ascii="Arial" w:cs="Arial" w:eastAsia="Arial" w:hAnsi="Arial"/>
          <w:sz w:val="16"/>
          <w:szCs w:val="16"/>
          <w:color w:val="auto"/>
        </w:rPr>
      </w:pPr>
    </w:p>
    <w:p>
      <w:pPr>
        <w:ind w:left="1680" w:hanging="305"/>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Financial programs; and</w:t>
      </w:r>
    </w:p>
    <w:p>
      <w:pPr>
        <w:spacing w:after="0" w:line="76" w:lineRule="exact"/>
        <w:rPr>
          <w:rFonts w:ascii="Arial" w:cs="Arial" w:eastAsia="Arial" w:hAnsi="Arial"/>
          <w:sz w:val="16"/>
          <w:szCs w:val="16"/>
          <w:color w:val="auto"/>
        </w:rPr>
      </w:pPr>
    </w:p>
    <w:p>
      <w:pPr>
        <w:ind w:left="1680" w:right="320" w:hanging="305"/>
        <w:spacing w:after="0" w:line="265" w:lineRule="auto"/>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Celebrate Together – a multicultural Affinity Group celebration to share holiday traditions, cultural expressions, ethnic cuisine, and 2023 achievements.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9060" w:hanging="281"/>
        <w:spacing w:after="0"/>
        <w:tabs>
          <w:tab w:leader="none" w:pos="9060" w:val="left"/>
        </w:tabs>
        <w:numPr>
          <w:ilvl w:val="1"/>
          <w:numId w:val="22"/>
        </w:numPr>
        <w:rPr>
          <w:rFonts w:ascii="Arial" w:cs="Arial" w:eastAsia="Arial" w:hAnsi="Arial"/>
          <w:sz w:val="21"/>
          <w:szCs w:val="21"/>
          <w:color w:val="auto"/>
          <w:vertAlign w:val="subscript"/>
        </w:rPr>
      </w:pPr>
      <w:r>
        <w:rPr>
          <w:sz w:val="1"/>
          <w:szCs w:val="1"/>
          <w:color w:val="auto"/>
        </w:rPr>
        <w:drawing>
          <wp:inline distT="0" distB="0" distL="0" distR="0">
            <wp:extent cx="396240" cy="18986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vertAlign w:val="subscript"/>
        </w:rPr>
        <w:t xml:space="preserve">    </w:t>
      </w:r>
      <w:r>
        <w:rPr>
          <w:rFonts w:ascii="Arial" w:cs="Arial" w:eastAsia="Arial" w:hAnsi="Arial"/>
          <w:sz w:val="21"/>
          <w:szCs w:val="21"/>
          <w:color w:val="auto"/>
        </w:rPr>
        <w: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-1235710</wp:posOffset>
            </wp:positionV>
            <wp:extent cx="6773545" cy="13633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73545" cy="136334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137" w:lineRule="exact"/>
        <w:rPr>
          <w:sz w:val="20"/>
          <w:szCs w:val="20"/>
          <w:color w:val="auto"/>
        </w:rPr>
      </w:pPr>
    </w:p>
    <w:p>
      <w:pPr>
        <w:jc w:val="both"/>
        <w:ind w:right="380"/>
        <w:spacing w:after="0" w:line="251" w:lineRule="auto"/>
        <w:rPr>
          <w:sz w:val="20"/>
          <w:szCs w:val="20"/>
          <w:color w:val="auto"/>
        </w:rPr>
      </w:pPr>
      <w:r>
        <w:rPr>
          <w:rFonts w:ascii="Arial" w:cs="Arial" w:eastAsia="Arial" w:hAnsi="Arial"/>
          <w:sz w:val="16"/>
          <w:szCs w:val="16"/>
          <w:color w:val="auto"/>
        </w:rPr>
        <w:t>Our Diverse Global Supplier Network connected approximately 465 diverse and underrepresented suppliers to our Kelly network in 2023. While this number is down from 2022, Kelly was still able to increase the impact of our program with diverse spend under management with diverse suppliers growing from $1.8B in 2022 to $2.2B in 2023.</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A9E50"/>
        </w:rPr>
        <w:t>Governance:</w:t>
      </w:r>
    </w:p>
    <w:p>
      <w:pPr>
        <w:spacing w:after="0" w:line="6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Kelly is committed to doing the right thing, conducting ourselves in a legal, ethical, and trustworthy manner, strictly upholding our regulatory obligations in every country we operate and complying with the letter and spirit of our business policies and values. Our commitment is to hold ourselves accountable for our actions and goals.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 Governance Highlights:</w:t>
      </w:r>
    </w:p>
    <w:p>
      <w:pPr>
        <w:spacing w:after="0" w:line="78" w:lineRule="exact"/>
        <w:rPr>
          <w:sz w:val="20"/>
          <w:szCs w:val="20"/>
          <w:color w:val="auto"/>
        </w:rPr>
      </w:pPr>
    </w:p>
    <w:p>
      <w:pPr>
        <w:ind w:right="160"/>
        <w:spacing w:after="0" w:line="303" w:lineRule="auto"/>
        <w:rPr>
          <w:sz w:val="20"/>
          <w:szCs w:val="20"/>
          <w:color w:val="auto"/>
        </w:rPr>
      </w:pPr>
      <w:r>
        <w:rPr>
          <w:rFonts w:ascii="Arial" w:cs="Arial" w:eastAsia="Arial" w:hAnsi="Arial"/>
          <w:sz w:val="14"/>
          <w:szCs w:val="14"/>
          <w:color w:val="auto"/>
        </w:rPr>
        <w:t xml:space="preserve">The production of our </w:t>
      </w:r>
      <w:r>
        <w:rPr>
          <w:rFonts w:ascii="Arial" w:cs="Arial" w:eastAsia="Arial" w:hAnsi="Arial"/>
          <w:sz w:val="14"/>
          <w:szCs w:val="14"/>
          <w:i w:val="1"/>
          <w:iCs w:val="1"/>
          <w:color w:val="auto"/>
        </w:rPr>
        <w:t>Growing with Purpose – Corporate Sustainability and ESG</w:t>
      </w:r>
      <w:r>
        <w:rPr>
          <w:rFonts w:ascii="Arial" w:cs="Arial" w:eastAsia="Arial" w:hAnsi="Arial"/>
          <w:sz w:val="14"/>
          <w:szCs w:val="14"/>
          <w:color w:val="auto"/>
        </w:rPr>
        <w:t xml:space="preserve"> report is in accordance with Global Reporting Initiative (“GRI”) standards, Sustainability Accounting Standards Board (“SASB”), United Nations Global Compact (“UNGC”), and Securities and Exchange Commission (“SEC”) disclosures. Our 2022 ESG report that was published in May 2023, can be found on the Company’s website at </w:t>
      </w:r>
      <w:r>
        <w:rPr>
          <w:rFonts w:ascii="Arial" w:cs="Arial" w:eastAsia="Arial" w:hAnsi="Arial"/>
          <w:sz w:val="14"/>
          <w:szCs w:val="14"/>
          <w:i w:val="1"/>
          <w:iCs w:val="1"/>
          <w:color w:val="auto"/>
        </w:rPr>
        <w:t>kellyservices.com</w:t>
      </w:r>
      <w:r>
        <w:rPr>
          <w:rFonts w:ascii="Arial" w:cs="Arial" w:eastAsia="Arial" w:hAnsi="Arial"/>
          <w:sz w:val="14"/>
          <w:szCs w:val="14"/>
          <w:color w:val="auto"/>
        </w:rPr>
        <w:t>.</w:t>
      </w:r>
    </w:p>
    <w:p>
      <w:pPr>
        <w:spacing w:after="0" w:line="2"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We continued annual training and acknowledgment of our global policies, with 93.5% of employees acknowledging our Code of Business Conduct and Ethics and completing global policy training on business ethics and human rights topics. We expect compliance with new and updated legislation and standards in all geographies in which we operate. In 2023, we continued ongoing efforts to strengthen Kelly’s protection of personal data with updates to our Information Security policies to ensure the highest information security standards across our network, including the adoption of international standard procedures to ensure ongoing compliance with the European Union’s General Data Protection Regulation (“GDPR”), California’s Consumer Privacy Rights Act, and all other data privacy laws and regulations in the geographies where we do business.</w:t>
      </w:r>
    </w:p>
    <w:p>
      <w:pPr>
        <w:spacing w:after="0" w:line="40"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The Company participates in external assessments, such as EcoVadis, to analyze our performance and identify opportunities for improvement, while providing a consistent and transparent measurement for the impact of our ESG Strategy. According to EcoVadis, their rating covers a broad range of non-financial management systems including Environmental, Labor &amp; Human Rights, Ethics and Sustainable Procurement impacts. This is the sixth consecutive year the Company has participated in the annual EcoVadis assessment and our first year to achieve “Gold” status, placing us in the top 3% of companies rated in the temporary employment industry.</w:t>
      </w:r>
    </w:p>
    <w:p>
      <w:pPr>
        <w:spacing w:after="0" w:line="56"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34 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540"/>
          </w:cols>
          <w:pgMar w:left="640" w:top="296" w:right="719" w:bottom="1440" w:gutter="0" w:footer="0" w:header="0"/>
        </w:sectPr>
      </w:pPr>
    </w:p>
    <w:bookmarkStart w:id="36" w:name="page37"/>
    <w:bookmarkEnd w:id="36"/>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Human Capital</w:t>
      </w:r>
    </w:p>
    <w:p>
      <w:pPr>
        <w:spacing w:after="0" w:line="72"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Kelly is a talent solutions company dedicated to connecting people to work in ways that enrich their lives, and our employees are critical to achieving this noble purpose. To compete and succeed in a highly competitive and rapidly evolving market, it is crucial that the Company attracts and retains experienced internal employees, as well as the talent we put to work for our customers. As part of these efforts, we strive to offer competitive total rewards programs, promote employee development, foster an inclusive and diverse environment, and give employees the opportunity to give back to their communities and make a social impact.</w:t>
      </w:r>
    </w:p>
    <w:p>
      <w:pPr>
        <w:spacing w:after="0" w:line="53" w:lineRule="exact"/>
        <w:rPr>
          <w:sz w:val="20"/>
          <w:szCs w:val="20"/>
          <w:color w:val="auto"/>
        </w:rPr>
      </w:pPr>
    </w:p>
    <w:p>
      <w:pPr>
        <w:jc w:val="both"/>
        <w:ind w:right="140"/>
        <w:spacing w:after="0" w:line="251" w:lineRule="auto"/>
        <w:rPr>
          <w:sz w:val="20"/>
          <w:szCs w:val="20"/>
          <w:color w:val="auto"/>
        </w:rPr>
      </w:pPr>
      <w:r>
        <w:rPr>
          <w:rFonts w:ascii="Arial" w:cs="Arial" w:eastAsia="Arial" w:hAnsi="Arial"/>
          <w:sz w:val="16"/>
          <w:szCs w:val="16"/>
          <w:color w:val="auto"/>
        </w:rPr>
        <w:t>The Company is committed to the health, safety, and wellness of our employees and talent. The success of our business is fundamentally connected to the well-being of our people. Accordingly, we implement policies and practices that align with applicable laws and regulations and are in the best interest of our employees and talent, and the communities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442595</wp:posOffset>
            </wp:positionV>
            <wp:extent cx="6740525" cy="2073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40525" cy="207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760" w:right="300"/>
        <w:spacing w:after="0" w:line="251" w:lineRule="auto"/>
        <w:rPr>
          <w:sz w:val="20"/>
          <w:szCs w:val="20"/>
          <w:color w:val="auto"/>
        </w:rPr>
      </w:pPr>
      <w:r>
        <w:rPr>
          <w:rFonts w:ascii="Arial" w:cs="Arial" w:eastAsia="Arial" w:hAnsi="Arial"/>
          <w:sz w:val="16"/>
          <w:szCs w:val="16"/>
          <w:color w:val="auto"/>
        </w:rPr>
        <w:t>As of December 31, 2023 we employed approximately 3,700 staff members in the United States and an additional 2,500 in our international locations. The Company’s retention rates for employees identified as high performing and high potential employees align with our comparable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1252220</wp:posOffset>
            </wp:positionV>
            <wp:extent cx="67405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1508125</wp:posOffset>
            </wp:positionV>
            <wp:extent cx="1288415" cy="1941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88415" cy="194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760" w:right="660"/>
        <w:spacing w:after="0" w:line="282" w:lineRule="auto"/>
        <w:rPr>
          <w:sz w:val="20"/>
          <w:szCs w:val="20"/>
          <w:color w:val="auto"/>
        </w:rPr>
      </w:pPr>
      <w:r>
        <w:rPr>
          <w:rFonts w:ascii="Arial" w:cs="Arial" w:eastAsia="Arial" w:hAnsi="Arial"/>
          <w:sz w:val="14"/>
          <w:szCs w:val="14"/>
          <w:color w:val="auto"/>
        </w:rPr>
        <w:t>In addition to our internal employees, the Company recruits talent on behalf of customers on a global basis. In 2023, we placed more than 500,000 individuals in positions with our customers. When Kelly remains the employer of record for our talent working at customer locations, we retain responsibilities for all assignments (including ensuring appropriate health and safety protocols in conjunction with our customers), wages, benefits, workers’ compensation insurance, and the employer’s share of applicable payroll taxes as well as administration and payment of the employees’ share of these taxes. We also offer our talent access to competitive health and benefit programs while they are working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780"/>
        <w:spacing w:after="0"/>
        <w:tabs>
          <w:tab w:leader="none" w:pos="1002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6308725</wp:posOffset>
            </wp:positionH>
            <wp:positionV relativeFrom="paragraph">
              <wp:posOffset>-184150</wp:posOffset>
            </wp:positionV>
            <wp:extent cx="8255" cy="2228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1288415" cy="1941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88415" cy="1941195"/>
                    </a:xfrm>
                    <a:prstGeom prst="rect">
                      <a:avLst/>
                    </a:prstGeom>
                    <a:noFill/>
                  </pic:spPr>
                </pic:pic>
              </a:graphicData>
            </a:graphic>
          </wp:anchor>
        </w:drawing>
      </w:r>
    </w:p>
    <w:p>
      <w:pPr>
        <w:spacing w:after="0" w:line="390" w:lineRule="exact"/>
        <w:rPr>
          <w:sz w:val="20"/>
          <w:szCs w:val="20"/>
          <w:color w:val="auto"/>
        </w:rPr>
      </w:pPr>
    </w:p>
    <w:p>
      <w:pPr>
        <w:ind w:left="2760"/>
        <w:spacing w:after="0" w:line="239" w:lineRule="auto"/>
        <w:rPr>
          <w:sz w:val="20"/>
          <w:szCs w:val="20"/>
          <w:color w:val="auto"/>
        </w:rPr>
      </w:pPr>
      <w:r>
        <w:rPr>
          <w:rFonts w:ascii="Arial" w:cs="Arial" w:eastAsia="Arial" w:hAnsi="Arial"/>
          <w:sz w:val="16"/>
          <w:szCs w:val="16"/>
          <w:color w:val="auto"/>
        </w:rPr>
        <w:t>The Company is committed to providing employees with competitive, equitable, and fiscally responsible total rewards opportunities. We align internal employee and shareholder interests with strong pay-for-performance linkages that include a mix of base salary, short-term incentives and, in the case of our more senior employees, long-term equity awards. We believe that our programs provide fair and competitive opportunities that attract, retain, and reward talented individuals who possess the skills necessary to achieve our strategic goals and create long-term value for our shareholders. In addition to cash and equity compensation, we also offer benefits such as life and health (medical, dental and vision) insurance, paid time off, wellness benefits, and defined contribution retirement plans. We review our compensation and benefit programs regularly and respond to changes in market practice and encourage our customers to do the same with respect to the talent we recruit on their behalf. Recent internal changes enhance our U.S. benefits program including additional time off for significant life events, a financial advisor program, support programs for certain chronic health conditions, and introduction of a well-being app. Pay and benefits programs provided to our international employees are in line with competitive local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494665</wp:posOffset>
            </wp:positionV>
            <wp:extent cx="67405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750570</wp:posOffset>
            </wp:positionV>
            <wp:extent cx="1288415" cy="19411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88415" cy="194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760" w:right="20"/>
        <w:spacing w:after="0"/>
        <w:rPr>
          <w:sz w:val="20"/>
          <w:szCs w:val="20"/>
          <w:color w:val="auto"/>
        </w:rPr>
      </w:pPr>
      <w:r>
        <w:rPr>
          <w:rFonts w:ascii="Arial" w:cs="Arial" w:eastAsia="Arial" w:hAnsi="Arial"/>
          <w:sz w:val="16"/>
          <w:szCs w:val="16"/>
          <w:color w:val="auto"/>
        </w:rPr>
        <w:t>Since 1946, our founder fought to increase access to work for women, and we’ve long been an outspoken advocate for the value temporary and independent workers bring to the workplace. We are committed to fostering an inclusive, equitable, and diverse workforce, which we believe produces more innovative products and services and results in our customers having access to the best talent in the marketplace. A significant majority of Kelly’s U.S. workforce are women, including a majority of director and above roles. In 2023, the Company was named America’s Best Temporary Staffing Firm by Forbes and one of the World’s Best Companies by TIME Magazine. Additionally, Kelly earned the 2024 Military Friendly Spouse Employer Designation. Kelly is a workplace leader in creating an inclusive environment with diverse teams, aiding our ability to attract and retain high-performing talent. The Company fosters a culture of belonging, where everyone feels welcomed and respected and can thrive as we work together. Kelly promotes employee development and internal career mobility to enable our team to achieve their full potential and ensure we have the evolving workforce capabilities that the future demands.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530225</wp:posOffset>
            </wp:positionV>
            <wp:extent cx="67405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786765</wp:posOffset>
            </wp:positionV>
            <wp:extent cx="1288415" cy="19411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88415" cy="194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760" w:right="200"/>
        <w:spacing w:after="0" w:line="241" w:lineRule="auto"/>
        <w:rPr>
          <w:sz w:val="20"/>
          <w:szCs w:val="20"/>
          <w:color w:val="auto"/>
        </w:rPr>
      </w:pPr>
      <w:r>
        <w:rPr>
          <w:rFonts w:ascii="Arial" w:cs="Arial" w:eastAsia="Arial" w:hAnsi="Arial"/>
          <w:sz w:val="16"/>
          <w:szCs w:val="16"/>
          <w:color w:val="auto"/>
        </w:rPr>
        <w:t xml:space="preserve">We consider sustainability a guiding principle in strengthening the relationship with our global workforce, suppliers, and customers. Through our programs and initiatives, we seek to improve the quality of life of our employees, their families, and the communities in which they live and serve. Designed on the concept of social investment and nurturing shared values, our approach ensures the creation of future development capacities instead of aiding on isolated occasions. We support initiatives where our employees can actively engage in the causes they believe in, that are also connected to our sustainability strategy. For more information on our diversity, equity, and inclusion and community involvement initiatives, please see our Sustainability Report – Growing with Purpose at </w:t>
      </w:r>
      <w:r>
        <w:rPr>
          <w:rFonts w:ascii="Arial" w:cs="Arial" w:eastAsia="Arial" w:hAnsi="Arial"/>
          <w:sz w:val="16"/>
          <w:szCs w:val="16"/>
          <w:i w:val="1"/>
          <w:iCs w:val="1"/>
          <w:color w:val="auto"/>
        </w:rPr>
        <w:t>kellyservices.com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36 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00"/>
          </w:cols>
          <w:pgMar w:left="640" w:top="296" w:right="659" w:bottom="1440" w:gutter="0" w:footer="0" w:header="0"/>
        </w:sectPr>
      </w:pPr>
    </w:p>
    <w:bookmarkStart w:id="38" w:name="page39"/>
    <w:bookmarkEnd w:id="38"/>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Director Selection Process</w:t>
      </w:r>
    </w:p>
    <w:p>
      <w:pPr>
        <w:spacing w:after="0" w:line="72" w:lineRule="exact"/>
        <w:rPr>
          <w:sz w:val="20"/>
          <w:szCs w:val="20"/>
          <w:color w:val="auto"/>
        </w:rPr>
      </w:pPr>
    </w:p>
    <w:p>
      <w:pPr>
        <w:ind w:left="4" w:right="360"/>
        <w:spacing w:after="0" w:line="281" w:lineRule="auto"/>
        <w:rPr>
          <w:sz w:val="20"/>
          <w:szCs w:val="20"/>
          <w:color w:val="auto"/>
        </w:rPr>
      </w:pPr>
      <w:r>
        <w:rPr>
          <w:rFonts w:ascii="Arial" w:cs="Arial" w:eastAsia="Arial" w:hAnsi="Arial"/>
          <w:sz w:val="14"/>
          <w:szCs w:val="14"/>
          <w:color w:val="auto"/>
        </w:rPr>
        <w:t>The Corporate Governance and Nominating Committee is responsible for the identification, screening, and recommending qualified candidates for nomination by the full Board. The Board of Directors, together with Corporate Governance and Nominating Committee, is committed to ensuring that:</w:t>
      </w:r>
    </w:p>
    <w:p>
      <w:pPr>
        <w:spacing w:after="0" w:line="1" w:lineRule="exact"/>
        <w:rPr>
          <w:sz w:val="20"/>
          <w:szCs w:val="20"/>
          <w:color w:val="auto"/>
        </w:rPr>
      </w:pPr>
    </w:p>
    <w:p>
      <w:pPr>
        <w:ind w:left="4" w:right="40" w:hanging="4"/>
        <w:spacing w:after="0" w:line="238" w:lineRule="auto"/>
        <w:tabs>
          <w:tab w:leader="none" w:pos="23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Board as a whole is composed with the right combination of knowledge, experience, continuity, reputation, and diversity that are pertinent to the Company’s operating environment and strategic direction; (2) the Board has the independence and competence to continue providing the high level of governance and oversight that the Company’s shareholders have come to expect; and (3) there is a seamless transition when a director decides to retire or step down from the Board. Among other aspects of the process, the Board of Directors: identifies the collective mix of desired skills, experience, knowledge, diversity, and independence for the Board of Directors, taken as a whole, and identifies potential opportunities for enhancement in one or more of those areas; considers each current director’s experience, skills, principal occupation, reputation, independence, age, tenure, committee membership and diversity (including geography, gender and ethnicity); and considers the results of the Board and committee self-evaluations, as well as feedback received during one-on-one interviews of each director. An independent third-party search firm is retained by the Committee, which recommends candidates who satisfy the Board’s criteria. The search firm also provides research and pertinent information related to candidates as requested. Potential candidates are also suggested by several members of the Company’s Board and senior leadership team. An overview of the Board’s director selection process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7405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60"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3520" w:type="dxa"/>
            <w:vAlign w:val="bottom"/>
          </w:tcPr>
          <w:p>
            <w:pPr>
              <w:ind w:left="80"/>
              <w:spacing w:after="0"/>
              <w:rPr>
                <w:sz w:val="20"/>
                <w:szCs w:val="20"/>
                <w:color w:val="auto"/>
              </w:rPr>
            </w:pPr>
            <w:r>
              <w:rPr>
                <w:rFonts w:ascii="Arial" w:cs="Arial" w:eastAsia="Arial" w:hAnsi="Arial"/>
                <w:sz w:val="16"/>
                <w:szCs w:val="16"/>
                <w:color w:val="0A9E50"/>
              </w:rPr>
              <w:t>Evaluate Board Composition</w:t>
            </w:r>
          </w:p>
        </w:tc>
        <w:tc>
          <w:tcPr>
            <w:tcW w:w="7100" w:type="dxa"/>
            <w:vAlign w:val="bottom"/>
          </w:tcPr>
          <w:p>
            <w:pPr>
              <w:ind w:left="740"/>
              <w:spacing w:after="0"/>
              <w:rPr>
                <w:sz w:val="20"/>
                <w:szCs w:val="20"/>
                <w:color w:val="auto"/>
              </w:rPr>
            </w:pPr>
            <w:r>
              <w:rPr>
                <w:rFonts w:ascii="Arial" w:cs="Arial" w:eastAsia="Arial" w:hAnsi="Arial"/>
                <w:sz w:val="16"/>
                <w:szCs w:val="16"/>
                <w:color w:val="auto"/>
              </w:rPr>
              <w:t>Using the Company’s Corporate Governance Principles, Board Composition Matrix, and</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Board self-evaluation process, the Committee (or subcommittee) evaluates the size,</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composition, priorities, and needs of the Board with respect to its desired experience,</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skills, and diversity in consideration of the Company’s current and anticipated business</w:t>
            </w:r>
          </w:p>
        </w:tc>
      </w:tr>
      <w:tr>
        <w:trPr>
          <w:trHeight w:val="205"/>
        </w:trPr>
        <w:tc>
          <w:tcPr>
            <w:tcW w:w="3520" w:type="dxa"/>
            <w:vAlign w:val="bottom"/>
          </w:tcPr>
          <w:p>
            <w:pPr>
              <w:spacing w:after="0"/>
              <w:rPr>
                <w:sz w:val="17"/>
                <w:szCs w:val="17"/>
                <w:color w:val="auto"/>
              </w:rPr>
            </w:pPr>
          </w:p>
        </w:tc>
        <w:tc>
          <w:tcPr>
            <w:tcW w:w="7100" w:type="dxa"/>
            <w:vAlign w:val="bottom"/>
          </w:tcPr>
          <w:p>
            <w:pPr>
              <w:ind w:left="740"/>
              <w:spacing w:after="0"/>
              <w:rPr>
                <w:sz w:val="20"/>
                <w:szCs w:val="20"/>
                <w:color w:val="auto"/>
              </w:rPr>
            </w:pPr>
            <w:r>
              <w:rPr>
                <w:rFonts w:ascii="Arial" w:cs="Arial" w:eastAsia="Arial" w:hAnsi="Arial"/>
                <w:sz w:val="16"/>
                <w:szCs w:val="16"/>
                <w:color w:val="auto"/>
              </w:rPr>
              <w:t>needs and strategies.</w:t>
            </w:r>
          </w:p>
        </w:tc>
      </w:tr>
      <w:tr>
        <w:trPr>
          <w:trHeight w:val="93"/>
        </w:trPr>
        <w:tc>
          <w:tcPr>
            <w:tcW w:w="3520" w:type="dxa"/>
            <w:vAlign w:val="bottom"/>
            <w:tcBorders>
              <w:bottom w:val="single" w:sz="8" w:color="7F7F7F"/>
            </w:tcBorders>
          </w:tcPr>
          <w:p>
            <w:pPr>
              <w:spacing w:after="0"/>
              <w:rPr>
                <w:sz w:val="8"/>
                <w:szCs w:val="8"/>
                <w:color w:val="auto"/>
              </w:rPr>
            </w:pPr>
          </w:p>
        </w:tc>
        <w:tc>
          <w:tcPr>
            <w:tcW w:w="7100" w:type="dxa"/>
            <w:vAlign w:val="bottom"/>
            <w:tcBorders>
              <w:bottom w:val="single" w:sz="8" w:color="7F7F7F"/>
            </w:tcBorders>
          </w:tcPr>
          <w:p>
            <w:pPr>
              <w:spacing w:after="0"/>
              <w:rPr>
                <w:sz w:val="8"/>
                <w:szCs w:val="8"/>
                <w:color w:val="auto"/>
              </w:rPr>
            </w:pPr>
          </w:p>
        </w:tc>
      </w:tr>
      <w:tr>
        <w:trPr>
          <w:trHeight w:val="215"/>
        </w:trPr>
        <w:tc>
          <w:tcPr>
            <w:tcW w:w="3520" w:type="dxa"/>
            <w:vAlign w:val="bottom"/>
          </w:tcPr>
          <w:p>
            <w:pPr>
              <w:ind w:left="80"/>
              <w:spacing w:after="0"/>
              <w:rPr>
                <w:sz w:val="20"/>
                <w:szCs w:val="20"/>
                <w:color w:val="auto"/>
              </w:rPr>
            </w:pPr>
            <w:r>
              <w:rPr>
                <w:rFonts w:ascii="Arial" w:cs="Arial" w:eastAsia="Arial" w:hAnsi="Arial"/>
                <w:sz w:val="16"/>
                <w:szCs w:val="16"/>
                <w:color w:val="0A9E50"/>
              </w:rPr>
              <w:t>Identification of Potential Candidates</w:t>
            </w:r>
          </w:p>
        </w:tc>
        <w:tc>
          <w:tcPr>
            <w:tcW w:w="7100" w:type="dxa"/>
            <w:vAlign w:val="bottom"/>
          </w:tcPr>
          <w:p>
            <w:pPr>
              <w:ind w:left="740"/>
              <w:spacing w:after="0"/>
              <w:rPr>
                <w:sz w:val="20"/>
                <w:szCs w:val="20"/>
                <w:color w:val="auto"/>
              </w:rPr>
            </w:pPr>
            <w:r>
              <w:rPr>
                <w:rFonts w:ascii="Arial" w:cs="Arial" w:eastAsia="Arial" w:hAnsi="Arial"/>
                <w:sz w:val="16"/>
                <w:szCs w:val="16"/>
                <w:color w:val="auto"/>
                <w:w w:val="99"/>
              </w:rPr>
              <w:t>The Committee instructs the search firm to provide an initial pool of candidates that reflect</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gender, race, ethnic and cultural diversity, possess the core qualifications required, and</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includes the specific experience and skills as identified during the evaluation of current</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w w:val="98"/>
              </w:rPr>
              <w:t>board composition. The Committee also encourages and considers candidate submissions</w:t>
            </w:r>
          </w:p>
        </w:tc>
      </w:tr>
      <w:tr>
        <w:trPr>
          <w:trHeight w:val="205"/>
        </w:trPr>
        <w:tc>
          <w:tcPr>
            <w:tcW w:w="3520" w:type="dxa"/>
            <w:vAlign w:val="bottom"/>
          </w:tcPr>
          <w:p>
            <w:pPr>
              <w:spacing w:after="0"/>
              <w:rPr>
                <w:sz w:val="17"/>
                <w:szCs w:val="17"/>
                <w:color w:val="auto"/>
              </w:rPr>
            </w:pPr>
          </w:p>
        </w:tc>
        <w:tc>
          <w:tcPr>
            <w:tcW w:w="7100" w:type="dxa"/>
            <w:vAlign w:val="bottom"/>
          </w:tcPr>
          <w:p>
            <w:pPr>
              <w:ind w:left="740"/>
              <w:spacing w:after="0"/>
              <w:rPr>
                <w:sz w:val="20"/>
                <w:szCs w:val="20"/>
                <w:color w:val="auto"/>
              </w:rPr>
            </w:pPr>
            <w:r>
              <w:rPr>
                <w:rFonts w:ascii="Arial" w:cs="Arial" w:eastAsia="Arial" w:hAnsi="Arial"/>
                <w:sz w:val="16"/>
                <w:szCs w:val="16"/>
                <w:color w:val="auto"/>
              </w:rPr>
              <w:t>from other directors and members of Company management.</w:t>
            </w:r>
          </w:p>
        </w:tc>
      </w:tr>
      <w:tr>
        <w:trPr>
          <w:trHeight w:val="93"/>
        </w:trPr>
        <w:tc>
          <w:tcPr>
            <w:tcW w:w="3520" w:type="dxa"/>
            <w:vAlign w:val="bottom"/>
            <w:tcBorders>
              <w:bottom w:val="single" w:sz="8" w:color="7F7F7F"/>
            </w:tcBorders>
          </w:tcPr>
          <w:p>
            <w:pPr>
              <w:spacing w:after="0"/>
              <w:rPr>
                <w:sz w:val="8"/>
                <w:szCs w:val="8"/>
                <w:color w:val="auto"/>
              </w:rPr>
            </w:pPr>
          </w:p>
        </w:tc>
        <w:tc>
          <w:tcPr>
            <w:tcW w:w="7100" w:type="dxa"/>
            <w:vAlign w:val="bottom"/>
            <w:tcBorders>
              <w:bottom w:val="single" w:sz="8" w:color="7F7F7F"/>
            </w:tcBorders>
          </w:tcPr>
          <w:p>
            <w:pPr>
              <w:spacing w:after="0"/>
              <w:rPr>
                <w:sz w:val="8"/>
                <w:szCs w:val="8"/>
                <w:color w:val="auto"/>
              </w:rPr>
            </w:pPr>
          </w:p>
        </w:tc>
      </w:tr>
      <w:tr>
        <w:trPr>
          <w:trHeight w:val="215"/>
        </w:trPr>
        <w:tc>
          <w:tcPr>
            <w:tcW w:w="3520" w:type="dxa"/>
            <w:vAlign w:val="bottom"/>
          </w:tcPr>
          <w:p>
            <w:pPr>
              <w:ind w:left="80"/>
              <w:spacing w:after="0"/>
              <w:rPr>
                <w:sz w:val="20"/>
                <w:szCs w:val="20"/>
                <w:color w:val="auto"/>
              </w:rPr>
            </w:pPr>
            <w:r>
              <w:rPr>
                <w:rFonts w:ascii="Arial" w:cs="Arial" w:eastAsia="Arial" w:hAnsi="Arial"/>
                <w:sz w:val="16"/>
                <w:szCs w:val="16"/>
                <w:color w:val="0A9E50"/>
              </w:rPr>
              <w:t>Evaluation of Candidates</w:t>
            </w:r>
          </w:p>
        </w:tc>
        <w:tc>
          <w:tcPr>
            <w:tcW w:w="7100" w:type="dxa"/>
            <w:vAlign w:val="bottom"/>
          </w:tcPr>
          <w:p>
            <w:pPr>
              <w:ind w:left="740"/>
              <w:spacing w:after="0"/>
              <w:rPr>
                <w:sz w:val="20"/>
                <w:szCs w:val="20"/>
                <w:color w:val="auto"/>
              </w:rPr>
            </w:pPr>
            <w:r>
              <w:rPr>
                <w:rFonts w:ascii="Arial" w:cs="Arial" w:eastAsia="Arial" w:hAnsi="Arial"/>
                <w:sz w:val="16"/>
                <w:szCs w:val="16"/>
                <w:color w:val="auto"/>
              </w:rPr>
              <w:t>Through meetings with the Committee, a screening process of potential candidates is</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conducted with the independent external search firm that includes a thorough review of</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identified candidates’ qualifications, potential conflicts, independence, backgrounds, and</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experience to assess how each candidate fits the needs of the Company and Board. The</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candidate pool is narrowed for individual interviews with the Committee and full Board.</w:t>
            </w:r>
          </w:p>
        </w:tc>
      </w:tr>
      <w:tr>
        <w:trPr>
          <w:trHeight w:val="182"/>
        </w:trPr>
        <w:tc>
          <w:tcPr>
            <w:tcW w:w="3520" w:type="dxa"/>
            <w:vAlign w:val="bottom"/>
          </w:tcPr>
          <w:p>
            <w:pPr>
              <w:spacing w:after="0"/>
              <w:rPr>
                <w:sz w:val="15"/>
                <w:szCs w:val="15"/>
                <w:color w:val="auto"/>
              </w:rPr>
            </w:pPr>
          </w:p>
        </w:tc>
        <w:tc>
          <w:tcPr>
            <w:tcW w:w="7100" w:type="dxa"/>
            <w:vAlign w:val="bottom"/>
          </w:tcPr>
          <w:p>
            <w:pPr>
              <w:ind w:left="740"/>
              <w:spacing w:after="0" w:line="182" w:lineRule="exact"/>
              <w:rPr>
                <w:sz w:val="20"/>
                <w:szCs w:val="20"/>
                <w:color w:val="auto"/>
              </w:rPr>
            </w:pPr>
            <w:r>
              <w:rPr>
                <w:rFonts w:ascii="Arial" w:cs="Arial" w:eastAsia="Arial" w:hAnsi="Arial"/>
                <w:sz w:val="16"/>
                <w:szCs w:val="16"/>
                <w:color w:val="auto"/>
              </w:rPr>
              <w:t>Following the interviews, potential candidates are comprehensively reviewed and the</w:t>
            </w:r>
          </w:p>
        </w:tc>
      </w:tr>
      <w:tr>
        <w:trPr>
          <w:trHeight w:val="205"/>
        </w:trPr>
        <w:tc>
          <w:tcPr>
            <w:tcW w:w="3520" w:type="dxa"/>
            <w:vAlign w:val="bottom"/>
          </w:tcPr>
          <w:p>
            <w:pPr>
              <w:spacing w:after="0"/>
              <w:rPr>
                <w:sz w:val="17"/>
                <w:szCs w:val="17"/>
                <w:color w:val="auto"/>
              </w:rPr>
            </w:pPr>
          </w:p>
        </w:tc>
        <w:tc>
          <w:tcPr>
            <w:tcW w:w="7100" w:type="dxa"/>
            <w:vAlign w:val="bottom"/>
          </w:tcPr>
          <w:p>
            <w:pPr>
              <w:ind w:left="740"/>
              <w:spacing w:after="0"/>
              <w:rPr>
                <w:sz w:val="20"/>
                <w:szCs w:val="20"/>
                <w:color w:val="auto"/>
              </w:rPr>
            </w:pPr>
            <w:r>
              <w:rPr>
                <w:rFonts w:ascii="Arial" w:cs="Arial" w:eastAsia="Arial" w:hAnsi="Arial"/>
                <w:sz w:val="16"/>
                <w:szCs w:val="16"/>
                <w:color w:val="auto"/>
              </w:rPr>
              <w:t>subject of rigorous discussion during Committee and Board meetings.</w:t>
            </w:r>
          </w:p>
        </w:tc>
      </w:tr>
      <w:tr>
        <w:trPr>
          <w:trHeight w:val="93"/>
        </w:trPr>
        <w:tc>
          <w:tcPr>
            <w:tcW w:w="3520" w:type="dxa"/>
            <w:vAlign w:val="bottom"/>
            <w:tcBorders>
              <w:bottom w:val="single" w:sz="8" w:color="7F7F7F"/>
            </w:tcBorders>
          </w:tcPr>
          <w:p>
            <w:pPr>
              <w:spacing w:after="0"/>
              <w:rPr>
                <w:sz w:val="8"/>
                <w:szCs w:val="8"/>
                <w:color w:val="auto"/>
              </w:rPr>
            </w:pPr>
          </w:p>
        </w:tc>
        <w:tc>
          <w:tcPr>
            <w:tcW w:w="7100" w:type="dxa"/>
            <w:vAlign w:val="bottom"/>
            <w:tcBorders>
              <w:bottom w:val="single" w:sz="8" w:color="7F7F7F"/>
            </w:tcBorders>
          </w:tcPr>
          <w:p>
            <w:pPr>
              <w:spacing w:after="0"/>
              <w:rPr>
                <w:sz w:val="8"/>
                <w:szCs w:val="8"/>
                <w:color w:val="auto"/>
              </w:rPr>
            </w:pPr>
          </w:p>
        </w:tc>
      </w:tr>
      <w:tr>
        <w:trPr>
          <w:trHeight w:val="215"/>
        </w:trPr>
        <w:tc>
          <w:tcPr>
            <w:tcW w:w="3520" w:type="dxa"/>
            <w:vAlign w:val="bottom"/>
          </w:tcPr>
          <w:p>
            <w:pPr>
              <w:ind w:left="80"/>
              <w:spacing w:after="0"/>
              <w:rPr>
                <w:sz w:val="20"/>
                <w:szCs w:val="20"/>
                <w:color w:val="auto"/>
              </w:rPr>
            </w:pPr>
            <w:r>
              <w:rPr>
                <w:rFonts w:ascii="Arial" w:cs="Arial" w:eastAsia="Arial" w:hAnsi="Arial"/>
                <w:sz w:val="16"/>
                <w:szCs w:val="16"/>
                <w:color w:val="0A9E50"/>
              </w:rPr>
              <w:t>Recommendation</w:t>
            </w:r>
          </w:p>
        </w:tc>
        <w:tc>
          <w:tcPr>
            <w:tcW w:w="7100" w:type="dxa"/>
            <w:vAlign w:val="bottom"/>
          </w:tcPr>
          <w:p>
            <w:pPr>
              <w:ind w:left="740"/>
              <w:spacing w:after="0"/>
              <w:rPr>
                <w:sz w:val="20"/>
                <w:szCs w:val="20"/>
                <w:color w:val="auto"/>
              </w:rPr>
            </w:pPr>
            <w:r>
              <w:rPr>
                <w:rFonts w:ascii="Arial" w:cs="Arial" w:eastAsia="Arial" w:hAnsi="Arial"/>
                <w:sz w:val="16"/>
                <w:szCs w:val="16"/>
                <w:color w:val="auto"/>
              </w:rPr>
              <w:t>Interview and discussion feedback are assessed, and the Committee recommends final</w:t>
            </w:r>
          </w:p>
        </w:tc>
      </w:tr>
      <w:tr>
        <w:trPr>
          <w:trHeight w:val="205"/>
        </w:trPr>
        <w:tc>
          <w:tcPr>
            <w:tcW w:w="3520" w:type="dxa"/>
            <w:vAlign w:val="bottom"/>
          </w:tcPr>
          <w:p>
            <w:pPr>
              <w:spacing w:after="0"/>
              <w:rPr>
                <w:sz w:val="17"/>
                <w:szCs w:val="17"/>
                <w:color w:val="auto"/>
              </w:rPr>
            </w:pPr>
          </w:p>
        </w:tc>
        <w:tc>
          <w:tcPr>
            <w:tcW w:w="7100" w:type="dxa"/>
            <w:vAlign w:val="bottom"/>
          </w:tcPr>
          <w:p>
            <w:pPr>
              <w:ind w:left="740"/>
              <w:spacing w:after="0"/>
              <w:rPr>
                <w:sz w:val="20"/>
                <w:szCs w:val="20"/>
                <w:color w:val="auto"/>
              </w:rPr>
            </w:pPr>
            <w:r>
              <w:rPr>
                <w:rFonts w:ascii="Arial" w:cs="Arial" w:eastAsia="Arial" w:hAnsi="Arial"/>
                <w:sz w:val="16"/>
                <w:szCs w:val="16"/>
                <w:color w:val="auto"/>
              </w:rPr>
              <w:t>candidate(s) to the full Board for appointment.</w:t>
            </w:r>
          </w:p>
        </w:tc>
      </w:tr>
      <w:tr>
        <w:trPr>
          <w:trHeight w:val="93"/>
        </w:trPr>
        <w:tc>
          <w:tcPr>
            <w:tcW w:w="3520" w:type="dxa"/>
            <w:vAlign w:val="bottom"/>
            <w:tcBorders>
              <w:bottom w:val="single" w:sz="8" w:color="7F7F7F"/>
            </w:tcBorders>
          </w:tcPr>
          <w:p>
            <w:pPr>
              <w:spacing w:after="0"/>
              <w:rPr>
                <w:sz w:val="8"/>
                <w:szCs w:val="8"/>
                <w:color w:val="auto"/>
              </w:rPr>
            </w:pPr>
          </w:p>
        </w:tc>
        <w:tc>
          <w:tcPr>
            <w:tcW w:w="7100" w:type="dxa"/>
            <w:vAlign w:val="bottom"/>
            <w:tcBorders>
              <w:bottom w:val="single" w:sz="8" w:color="7F7F7F"/>
            </w:tcBorders>
          </w:tcPr>
          <w:p>
            <w:pPr>
              <w:spacing w:after="0"/>
              <w:rPr>
                <w:sz w:val="8"/>
                <w:szCs w:val="8"/>
                <w:color w:val="auto"/>
              </w:rPr>
            </w:pPr>
          </w:p>
        </w:tc>
      </w:tr>
      <w:tr>
        <w:trPr>
          <w:trHeight w:val="215"/>
        </w:trPr>
        <w:tc>
          <w:tcPr>
            <w:tcW w:w="3520" w:type="dxa"/>
            <w:vAlign w:val="bottom"/>
          </w:tcPr>
          <w:p>
            <w:pPr>
              <w:ind w:left="80"/>
              <w:spacing w:after="0"/>
              <w:rPr>
                <w:sz w:val="20"/>
                <w:szCs w:val="20"/>
                <w:color w:val="auto"/>
              </w:rPr>
            </w:pPr>
            <w:r>
              <w:rPr>
                <w:rFonts w:ascii="Arial" w:cs="Arial" w:eastAsia="Arial" w:hAnsi="Arial"/>
                <w:sz w:val="16"/>
                <w:szCs w:val="16"/>
                <w:color w:val="0A9E50"/>
              </w:rPr>
              <w:t>Review and Appointment by Full Board</w:t>
            </w:r>
          </w:p>
        </w:tc>
        <w:tc>
          <w:tcPr>
            <w:tcW w:w="7100" w:type="dxa"/>
            <w:vAlign w:val="bottom"/>
          </w:tcPr>
          <w:p>
            <w:pPr>
              <w:ind w:left="740"/>
              <w:spacing w:after="0"/>
              <w:rPr>
                <w:sz w:val="20"/>
                <w:szCs w:val="20"/>
                <w:color w:val="auto"/>
              </w:rPr>
            </w:pPr>
            <w:r>
              <w:rPr>
                <w:rFonts w:ascii="Arial" w:cs="Arial" w:eastAsia="Arial" w:hAnsi="Arial"/>
                <w:sz w:val="16"/>
                <w:szCs w:val="16"/>
                <w:color w:val="auto"/>
                <w:w w:val="99"/>
              </w:rPr>
              <w:t>The full Board appoints new director(s), who then stand for election by shareholders at the</w:t>
            </w:r>
          </w:p>
        </w:tc>
      </w:tr>
      <w:tr>
        <w:trPr>
          <w:trHeight w:val="205"/>
        </w:trPr>
        <w:tc>
          <w:tcPr>
            <w:tcW w:w="3520" w:type="dxa"/>
            <w:vAlign w:val="bottom"/>
          </w:tcPr>
          <w:p>
            <w:pPr>
              <w:spacing w:after="0"/>
              <w:rPr>
                <w:sz w:val="17"/>
                <w:szCs w:val="17"/>
                <w:color w:val="auto"/>
              </w:rPr>
            </w:pPr>
          </w:p>
        </w:tc>
        <w:tc>
          <w:tcPr>
            <w:tcW w:w="7100" w:type="dxa"/>
            <w:vAlign w:val="bottom"/>
          </w:tcPr>
          <w:p>
            <w:pPr>
              <w:ind w:left="740"/>
              <w:spacing w:after="0"/>
              <w:rPr>
                <w:sz w:val="20"/>
                <w:szCs w:val="20"/>
                <w:color w:val="auto"/>
              </w:rPr>
            </w:pPr>
            <w:r>
              <w:rPr>
                <w:rFonts w:ascii="Arial" w:cs="Arial" w:eastAsia="Arial" w:hAnsi="Arial"/>
                <w:sz w:val="16"/>
                <w:szCs w:val="16"/>
                <w:color w:val="auto"/>
              </w:rPr>
              <w:t>next Annual Meeting.</w:t>
            </w:r>
          </w:p>
        </w:tc>
      </w:tr>
      <w:tr>
        <w:trPr>
          <w:trHeight w:val="93"/>
        </w:trPr>
        <w:tc>
          <w:tcPr>
            <w:tcW w:w="3520" w:type="dxa"/>
            <w:vAlign w:val="bottom"/>
            <w:tcBorders>
              <w:bottom w:val="single" w:sz="8" w:color="7F7F7F"/>
            </w:tcBorders>
          </w:tcPr>
          <w:p>
            <w:pPr>
              <w:spacing w:after="0"/>
              <w:rPr>
                <w:sz w:val="8"/>
                <w:szCs w:val="8"/>
                <w:color w:val="auto"/>
              </w:rPr>
            </w:pPr>
          </w:p>
        </w:tc>
        <w:tc>
          <w:tcPr>
            <w:tcW w:w="7100" w:type="dxa"/>
            <w:vAlign w:val="bottom"/>
            <w:tcBorders>
              <w:bottom w:val="single" w:sz="8" w:color="7F7F7F"/>
            </w:tcBorders>
          </w:tcPr>
          <w:p>
            <w:pPr>
              <w:spacing w:after="0"/>
              <w:rPr>
                <w:sz w:val="8"/>
                <w:szCs w:val="8"/>
                <w:color w:val="auto"/>
              </w:rPr>
            </w:pPr>
          </w:p>
        </w:tc>
      </w:tr>
    </w:tbl>
    <w:p>
      <w:pPr>
        <w:spacing w:after="0" w:line="286"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Director Attendance</w:t>
      </w:r>
    </w:p>
    <w:p>
      <w:pPr>
        <w:spacing w:after="0" w:line="85" w:lineRule="exact"/>
        <w:rPr>
          <w:sz w:val="20"/>
          <w:szCs w:val="20"/>
          <w:color w:val="auto"/>
        </w:rPr>
      </w:pPr>
    </w:p>
    <w:p>
      <w:pPr>
        <w:ind w:left="4" w:right="120"/>
        <w:spacing w:after="0" w:line="243" w:lineRule="auto"/>
        <w:rPr>
          <w:sz w:val="20"/>
          <w:szCs w:val="20"/>
          <w:color w:val="auto"/>
        </w:rPr>
      </w:pPr>
      <w:r>
        <w:rPr>
          <w:rFonts w:ascii="Arial" w:cs="Arial" w:eastAsia="Arial" w:hAnsi="Arial"/>
          <w:sz w:val="16"/>
          <w:szCs w:val="16"/>
          <w:color w:val="auto"/>
        </w:rPr>
        <w:t>We expect directors to attend the Annual Meeting of the Shareholders, all Board meetings, and all meetings of the committees on which they individually serve. All directors then in office attended the 2023 Annual Meeting of Shareholders. The Board held twelve meetings during 2023. Director attendance averaged 97.5% of the aggregate number of meetings of the Board and the committees on which they served during 2023. The majority of directors attended 100% of all Board and committee meetings on which they individually served in 2023. The independent directors met in executive sessions at which only they were present at least eight times during 2023.</w:t>
      </w:r>
    </w:p>
    <w:p>
      <w:pPr>
        <w:spacing w:after="0" w:line="2" w:lineRule="exact"/>
        <w:rPr>
          <w:sz w:val="20"/>
          <w:szCs w:val="20"/>
          <w:color w:val="auto"/>
        </w:rPr>
      </w:pPr>
    </w:p>
    <w:p>
      <w:pPr>
        <w:ind w:left="8784"/>
        <w:spacing w:after="0"/>
        <w:tabs>
          <w:tab w:leader="none" w:pos="10023"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6311265</wp:posOffset>
            </wp:positionH>
            <wp:positionV relativeFrom="paragraph">
              <wp:posOffset>-222250</wp:posOffset>
            </wp:positionV>
            <wp:extent cx="8255" cy="2228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Size of the Board</w:t>
      </w:r>
    </w:p>
    <w:p>
      <w:pPr>
        <w:spacing w:after="0" w:line="7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Under the Company’s Amended and Restated Bylaws, the number of directors constituting the Board may be fixed by the Board within the range of five to eleven directors. The size of the Board should not exceed a number that, as determined by the Board, will permit it to function efficiently in discharging its duties. There are currently nine members of the Board. Election of all director nominees will result in a nine-member Board immediately following the Annual Meeting.</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Tenure</w:t>
      </w:r>
    </w:p>
    <w:p>
      <w:pPr>
        <w:spacing w:after="0" w:line="8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Board does not have term or age limits. The Board believes that the contributions and insight of tenured directors into the Company’s operations and strategy outweigh the perceived value of such limits and facilitate Board effectiveness.</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Service on Outside Public Company Boards</w:t>
      </w:r>
    </w:p>
    <w:p>
      <w:pPr>
        <w:spacing w:after="0" w:line="72"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While there is no specified limit on the number of other public company boards on which a director may serve, the number of board memberships is a consideration, along with any other time commitments a director or nominee may have, in determining his or her ability to serve effectively. Directors must be willing and able to devote sufficient time to carrying out their duties and responsibilities effectively and have an intention to serve an appropriate length of time in order to make a meaningful contribution to the Board and the Company. A director is expected to engage in discussion with the Chair of the Corporate Governance and Nominating Committee prior to accepting an invitation to serve on an additional public company board or accepting an invitation to chair a committee of a public company board on which he or she currently serves.</w:t>
      </w: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Orientation and Continuing Education</w:t>
      </w:r>
    </w:p>
    <w:p>
      <w:pPr>
        <w:spacing w:after="0" w:line="72"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Management, working with the Corporate Governance and Nominating Committee, provides an orientation program for new directors to facilitate integration into their roles. The program acquaints new directors with the Company’s business, history, vision, noble purpose , strategic direction and plans, competitive landscape, core values, Code of Business Conduct and Ethics, Insider Trading Policy, other corporate governance practices, financial, accounting, and risk management matters, key policies, sustainability strategy, senior leadership, and internal and independent auditors. The program consists of, as appropriate, a comprehensive review of background materials, briefings by senior management, and visits to Company facilities. The Board also developed a mentoring program to provide additional support and resources to new directors. Based on the feedback from our directors, we believe this onboarding approach provides new directors with a strong foundation for understanding our businesses, connects directors with members of management with whom they will interact, and accelerates their effectiveness to engage fully in Board deliberations.</w:t>
      </w:r>
    </w:p>
    <w:p>
      <w:pPr>
        <w:spacing w:after="0" w:line="57"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Directors are also encouraged to participate in continuing director education programs to help them stay current on emerging practices and issues and in carrying out their responsibilities. These programs include formal education sessions with management or third-party subject matter experts that may occur as part of regular Board or committee meetings, and participation in industry forums on business, financial, accounting, legal, and other subjects relevant to the Company’s business. The Company reimburses reasonable costs and expenses incurred by directors for continuing education that provide updates on issues and programs relevant to public companies and their directors.</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Committee, and Peer Evaluation</w:t>
      </w:r>
    </w:p>
    <w:p>
      <w:pPr>
        <w:spacing w:after="0" w:line="72"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The Board recognizes that a robust and constructive evaluation process is essential to good governance and enhanced effectiveness. The Corporate Governance and Nominating Committee organizes and oversees an annual evaluation by the Board and its committees of their performance. The evaluation facilitates an examination and discussion by the entire Board and each committee of its effectiveness in fulfilling its charter requirements and other responsibilities, its performance as measured against the Company’s Corporate Governance Principles, and areas for improvement. The evaluation also includes individual director assessments, typically in alternating years.</w:t>
      </w:r>
    </w:p>
    <w:p>
      <w:pPr>
        <w:spacing w:after="0" w:line="40"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In 2023, the Corporate Governance and Nominating Committee engaged an independent external advisor to conduct Board and committee evaluations. The independent external advisor also conducted individual director assessments in 2023. The process included the completion of an online self-evaluation with rated and open-ended questions, with follow-up discussions by the advisor on certain individual responses, as needed. Each of the Board’s nine directors participated in the process.</w:t>
      </w:r>
    </w:p>
    <w:p>
      <w:pPr>
        <w:spacing w:after="0" w:line="54"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38 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00"/>
          </w:cols>
          <w:pgMar w:left="640" w:top="296" w:right="659" w:bottom="1440" w:gutter="0" w:footer="0" w:header="0"/>
        </w:sectPr>
      </w:pPr>
    </w:p>
    <w:bookmarkStart w:id="40" w:name="page41"/>
    <w:bookmarkEnd w:id="40"/>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typical process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154940</wp:posOffset>
            </wp:positionV>
            <wp:extent cx="5022850" cy="41636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022850" cy="416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color w:val="auto"/>
        </w:rPr>
        <w:t>In addition to the annual formal evaluation, our Chairman, CEO, General Counsel and Corporate Secretary, and Committee Chairs routinely communicate with directors to obtain real-time feedback. The Board believes that this continuous feedback, along with the formal evaluation process, contribute to its overall strength and ongoing effectiveness.</w:t>
      </w:r>
    </w:p>
    <w:p>
      <w:pPr>
        <w:spacing w:after="0" w:line="3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actions have been taken by Kelly’s Board and its committees in response to the evaluation process over the years:</w:t>
      </w:r>
    </w:p>
    <w:p>
      <w:pPr>
        <w:spacing w:after="0" w:line="5" w:lineRule="exact"/>
        <w:rPr>
          <w:sz w:val="20"/>
          <w:szCs w:val="20"/>
          <w:color w:val="auto"/>
        </w:rPr>
      </w:pPr>
    </w:p>
    <w:p>
      <w:pPr>
        <w:ind w:left="204" w:hanging="204"/>
        <w:spacing w:after="0"/>
        <w:tabs>
          <w:tab w:leader="none" w:pos="204" w:val="left"/>
        </w:tabs>
        <w:numPr>
          <w:ilvl w:val="0"/>
          <w:numId w:val="24"/>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management with varying degrees of seniority present to the Board and its committees;</w:t>
      </w:r>
    </w:p>
    <w:p>
      <w:pPr>
        <w:spacing w:after="0" w:line="68" w:lineRule="exact"/>
        <w:rPr>
          <w:rFonts w:ascii="Times New Roman" w:cs="Times New Roman" w:eastAsia="Times New Roman" w:hAnsi="Times New Roman"/>
          <w:sz w:val="24"/>
          <w:szCs w:val="24"/>
          <w:color w:val="0A9E50"/>
          <w:vertAlign w:val="superscript"/>
        </w:rPr>
      </w:pPr>
    </w:p>
    <w:p>
      <w:pPr>
        <w:ind w:left="204" w:right="880" w:hanging="204"/>
        <w:spacing w:after="0" w:line="194" w:lineRule="auto"/>
        <w:tabs>
          <w:tab w:leader="none" w:pos="204" w:val="left"/>
        </w:tabs>
        <w:numPr>
          <w:ilvl w:val="0"/>
          <w:numId w:val="24"/>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director education and presentations on emerging risk areas including artificial intelligence, corporate governance, industry disruptors, and competitors;</w:t>
      </w:r>
    </w:p>
    <w:p>
      <w:pPr>
        <w:spacing w:after="0" w:line="1" w:lineRule="exact"/>
        <w:rPr>
          <w:rFonts w:ascii="Times New Roman" w:cs="Times New Roman" w:eastAsia="Times New Roman" w:hAnsi="Times New Roman"/>
          <w:sz w:val="24"/>
          <w:szCs w:val="24"/>
          <w:color w:val="0A9E50"/>
          <w:vertAlign w:val="superscript"/>
        </w:rPr>
      </w:pPr>
    </w:p>
    <w:p>
      <w:pPr>
        <w:ind w:left="204" w:hanging="204"/>
        <w:spacing w:after="0" w:line="226" w:lineRule="auto"/>
        <w:tabs>
          <w:tab w:leader="none" w:pos="204" w:val="left"/>
        </w:tabs>
        <w:numPr>
          <w:ilvl w:val="0"/>
          <w:numId w:val="24"/>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format of Board meetings made flexible to allow more time for formal and informal discussions among independent directors;</w:t>
      </w:r>
    </w:p>
    <w:p>
      <w:pPr>
        <w:spacing w:after="0" w:line="69" w:lineRule="exact"/>
        <w:rPr>
          <w:rFonts w:ascii="Times New Roman" w:cs="Times New Roman" w:eastAsia="Times New Roman" w:hAnsi="Times New Roman"/>
          <w:sz w:val="24"/>
          <w:szCs w:val="24"/>
          <w:color w:val="0A9E50"/>
          <w:vertAlign w:val="superscript"/>
        </w:rPr>
      </w:pPr>
    </w:p>
    <w:p>
      <w:pPr>
        <w:ind w:left="204" w:hanging="204"/>
        <w:spacing w:after="0" w:line="181" w:lineRule="auto"/>
        <w:tabs>
          <w:tab w:leader="none" w:pos="204" w:val="left"/>
        </w:tabs>
        <w:numPr>
          <w:ilvl w:val="0"/>
          <w:numId w:val="24"/>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increased opportunities for informal meetings between directors and key executives;</w:t>
      </w:r>
    </w:p>
    <w:p>
      <w:pPr>
        <w:spacing w:after="0" w:line="69" w:lineRule="exact"/>
        <w:rPr>
          <w:rFonts w:ascii="Times New Roman" w:cs="Times New Roman" w:eastAsia="Times New Roman" w:hAnsi="Times New Roman"/>
          <w:sz w:val="22"/>
          <w:szCs w:val="22"/>
          <w:color w:val="0A9E50"/>
          <w:vertAlign w:val="superscript"/>
        </w:rPr>
      </w:pPr>
    </w:p>
    <w:p>
      <w:pPr>
        <w:ind w:left="204" w:hanging="204"/>
        <w:spacing w:after="0" w:line="181" w:lineRule="auto"/>
        <w:tabs>
          <w:tab w:leader="none" w:pos="204" w:val="left"/>
        </w:tabs>
        <w:numPr>
          <w:ilvl w:val="0"/>
          <w:numId w:val="24"/>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increased time for informal director-only gatherings; and</w:t>
      </w:r>
    </w:p>
    <w:p>
      <w:pPr>
        <w:spacing w:after="0" w:line="69" w:lineRule="exact"/>
        <w:rPr>
          <w:rFonts w:ascii="Times New Roman" w:cs="Times New Roman" w:eastAsia="Times New Roman" w:hAnsi="Times New Roman"/>
          <w:sz w:val="22"/>
          <w:szCs w:val="22"/>
          <w:color w:val="0A9E50"/>
          <w:vertAlign w:val="superscript"/>
        </w:rPr>
      </w:pPr>
    </w:p>
    <w:p>
      <w:pPr>
        <w:ind w:left="204" w:hanging="204"/>
        <w:spacing w:after="0" w:line="181" w:lineRule="auto"/>
        <w:tabs>
          <w:tab w:leader="none" w:pos="204" w:val="left"/>
        </w:tabs>
        <w:numPr>
          <w:ilvl w:val="0"/>
          <w:numId w:val="24"/>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Board members added with expertise in areas critical to the Company’s business strategy and operations.</w:t>
      </w:r>
    </w:p>
    <w:p>
      <w:pPr>
        <w:spacing w:after="0" w:line="109" w:lineRule="exact"/>
        <w:rPr>
          <w:rFonts w:ascii="Times New Roman" w:cs="Times New Roman" w:eastAsia="Times New Roman" w:hAnsi="Times New Roman"/>
          <w:sz w:val="22"/>
          <w:szCs w:val="22"/>
          <w:color w:val="0A9E50"/>
          <w:vertAlign w:val="superscript"/>
        </w:rPr>
      </w:pPr>
    </w:p>
    <w:p>
      <w:pPr>
        <w:ind w:left="9064" w:hanging="281"/>
        <w:spacing w:after="0"/>
        <w:tabs>
          <w:tab w:leader="none" w:pos="9064" w:val="left"/>
        </w:tabs>
        <w:numPr>
          <w:ilvl w:val="1"/>
          <w:numId w:val="24"/>
        </w:numPr>
        <w:rPr>
          <w:rFonts w:ascii="Arial" w:cs="Arial" w:eastAsia="Arial" w:hAnsi="Arial"/>
          <w:sz w:val="21"/>
          <w:szCs w:val="21"/>
          <w:color w:val="auto"/>
          <w:vertAlign w:val="subscript"/>
        </w:rPr>
      </w:pPr>
      <w:r>
        <w:rPr>
          <w:sz w:val="1"/>
          <w:szCs w:val="1"/>
          <w:color w:val="auto"/>
        </w:rPr>
        <w:drawing>
          <wp:inline distT="0" distB="0" distL="0" distR="0">
            <wp:extent cx="396240" cy="18986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vertAlign w:val="subscript"/>
        </w:rPr>
        <w:t xml:space="preserve">    </w:t>
      </w:r>
      <w:r>
        <w:rPr>
          <w:rFonts w:ascii="Arial" w:cs="Arial" w:eastAsia="Arial" w:hAnsi="Arial"/>
          <w:sz w:val="21"/>
          <w:szCs w:val="21"/>
          <w:color w:val="auto"/>
        </w:rPr>
        <w: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6311265</wp:posOffset>
            </wp:positionH>
            <wp:positionV relativeFrom="paragraph">
              <wp:posOffset>-203200</wp:posOffset>
            </wp:positionV>
            <wp:extent cx="8255" cy="2228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Corporate Governance</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Code of Business Conduct and Ethics</w:t>
      </w:r>
    </w:p>
    <w:p>
      <w:pPr>
        <w:spacing w:after="0" w:line="72"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auto"/>
        </w:rPr>
        <w:t>The Board is committed to the highest legal and ethical standards and adopted a Code of Business Conduct and Ethics (the “Code of Conduct”) that applies to all directors, officers, and employees. Each year the Company performs a thorough assessment and benchmarking of the Code of Conduct to ensure regulatory compliance and cultural alignment. The Code of Conduct forms the foundation for compliance with corporate policies and procedures and helps individuals recognize and deal with ethical issues, deter wrongdoing, provide mechanisms to report any concerns, promote honest and ethical conduct, provide full, fair, and timely disclosure, comply with applicable law and regulations, and help foster a culture of honesty and accountability. The Code of Conduct addresses conflicts of interest; anti-bribery/anti-corruption; trade compliance; insider trading; corporate opportunities; confidentiality and privacy; external communications; financial reporting and record keeping; protection and proper use of assets; fair dealing; contract management; acceptable behavior in the workplace; global diversity and inclusion; corporate sustainability; compliance with laws, rules and regulations; risk tolerance; anti-human trafficking and slavery; health &amp; safety and workplace violence; seeking advice and reporting concerns; outside activities; political contributions; public company reporting requirements; and other policies. The Code of Conduct includes an enforcement mechanism. Each of the Company’s Board members, officers, and employees is required to acknowledge their acceptance of the Code of Conduct.</w:t>
      </w:r>
    </w:p>
    <w:p>
      <w:pPr>
        <w:spacing w:after="0" w:line="21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 xml:space="preserve">The full text of the Code of Conduct is on the Company’s website at </w:t>
      </w:r>
      <w:r>
        <w:rPr>
          <w:rFonts w:ascii="Arial" w:cs="Arial" w:eastAsia="Arial" w:hAnsi="Arial"/>
          <w:sz w:val="16"/>
          <w:szCs w:val="16"/>
          <w:i w:val="1"/>
          <w:iCs w:val="1"/>
          <w:color w:val="auto"/>
        </w:rPr>
        <w:t>kellyservices.com</w:t>
      </w:r>
      <w:r>
        <w:rPr>
          <w:rFonts w:ascii="Arial" w:cs="Arial" w:eastAsia="Arial" w:hAnsi="Arial"/>
          <w:sz w:val="16"/>
          <w:szCs w:val="16"/>
          <w:color w:val="auto"/>
        </w:rPr>
        <w:t>. This information is also available to any shareholder who requests it from the Company’s Investor Relations department. The Company will disclose future amendments to the Code of Conduct and material waivers of its provisions for its directors and executive officers on its website and/or by filing a current report on Form 8-K within four business days following the date of amendment or waiver, or such earlier period as may be prescribed by Nasdaq or the SEC.</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Related Person Transactions and Certain Relationships</w:t>
      </w:r>
    </w:p>
    <w:p>
      <w:pPr>
        <w:spacing w:after="0" w:line="72"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color w:val="auto"/>
        </w:rPr>
        <w:t>Pursuant to the Company’s Code of Conduct, any situation that involves, or may reasonably be expected to involve, a conflict of interest with the Company must be disclosed immediately to the Vice President of Internal Audit or the General Counsel. In addition, directors, and executive and other senior officers must complete a quarterly questionnaire that solicits information regarding any transactions or relationships between themselves or their immediate family members and the Company of the types described in Item 404(a) of SEC Regulation S-K (“Related Party Transactions”). Directors and executive and senior officers must seek a determination and obtain prior authorization or approval of any potential conflict of interest (including any Related Party Transaction) from the independent Audit Committee. The Audit Committee, pursuant to its charter, is tasked, among other things, with the responsibility to review Related Party Transactions and other potential conflicts of interest involving directors and executive and senior officers. The Company maintains a formal written policy addressing the reporting, review, and approval or ratification of transactions with related persons.</w:t>
      </w:r>
    </w:p>
    <w:p>
      <w:pPr>
        <w:spacing w:after="0" w:line="35"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40 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00"/>
          </w:cols>
          <w:pgMar w:left="640" w:top="296" w:right="659" w:bottom="1440" w:gutter="0" w:footer="0" w:header="0"/>
        </w:sectPr>
      </w:pPr>
    </w:p>
    <w:bookmarkStart w:id="42" w:name="page43"/>
    <w:bookmarkEnd w:id="42"/>
    <w:p>
      <w:pP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Director Compensation</w:t>
      </w:r>
    </w:p>
    <w:p>
      <w:pPr>
        <w:spacing w:after="0" w:line="336"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Our approach to director compensation is to appropriately compensate our non-employee directors for the time, expertise, and effort required to serve as a director of a large, complex company and to align the interests of directors with those of shareholders. Compensation levels for our non-employee directors are periodically reviewed for market competitiveness. Non-employee directors receive compensation payments after election by shareholders at the Annual Meeting. Non-employee directors who begin their Board or committee chair service other than at the Annual Meeting receive a prorated amount of annual compensation based on timing of appointment.</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Compensation Design</w:t>
      </w:r>
    </w:p>
    <w:p>
      <w:pPr>
        <w:spacing w:after="0" w:line="72"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The Compensation and Talent Management Committee reviews market benchmarking of non-employee director compensation annually. In 2023, the Compensation Committee engaged its independent compensation consultant, Pay Governance, to evaluate its non-employee Director compensation, which was last increased in 2022. At its meeting following the 2023 Annual Meeting of Shareholders, the Compensation and Talent Management Committee recommended to the Board of Directors that the cash and equity portion of retainers paid to the non-employee Directors, effective beginning May 17, 2023, remain unchanged. Retainers for the Non-Executive Chairman of the Board, Chair of the Audit Committee, and Chair of the Compensation and Talent Management Committee were also maintained. The compensation of our non-employee directors will next be reviewed in 2024, with the assistance of its compensation consultant. The following table illustrates our 2023 non-employee director compensation: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0A9E50"/>
              </w:rPr>
              <w:t>Board Leadership Positions -</w:t>
            </w:r>
          </w:p>
        </w:tc>
        <w:tc>
          <w:tcPr>
            <w:tcW w:w="1140" w:type="dxa"/>
            <w:vAlign w:val="bottom"/>
          </w:tcPr>
          <w:p>
            <w:pPr>
              <w:spacing w:after="0"/>
              <w:rPr>
                <w:sz w:val="14"/>
                <w:szCs w:val="14"/>
                <w:color w:val="auto"/>
              </w:rPr>
            </w:pPr>
          </w:p>
        </w:tc>
      </w:tr>
      <w:tr>
        <w:trPr>
          <w:trHeight w:val="192"/>
        </w:trPr>
        <w:tc>
          <w:tcPr>
            <w:tcW w:w="2940" w:type="dxa"/>
            <w:vAlign w:val="bottom"/>
          </w:tcPr>
          <w:p>
            <w:pPr>
              <w:spacing w:after="0"/>
              <w:rPr>
                <w:sz w:val="16"/>
                <w:szCs w:val="16"/>
                <w:color w:val="auto"/>
              </w:rPr>
            </w:pPr>
          </w:p>
        </w:tc>
        <w:tc>
          <w:tcPr>
            <w:tcW w:w="3120" w:type="dxa"/>
            <w:vAlign w:val="bottom"/>
            <w:gridSpan w:val="2"/>
          </w:tcPr>
          <w:p>
            <w:pPr>
              <w:jc w:val="right"/>
              <w:ind w:right="651"/>
              <w:spacing w:after="0"/>
              <w:rPr>
                <w:sz w:val="20"/>
                <w:szCs w:val="20"/>
                <w:color w:val="auto"/>
              </w:rPr>
            </w:pPr>
            <w:r>
              <w:rPr>
                <w:rFonts w:ascii="Arial" w:cs="Arial" w:eastAsia="Arial" w:hAnsi="Arial"/>
                <w:sz w:val="14"/>
                <w:szCs w:val="14"/>
                <w:b w:val="1"/>
                <w:bCs w:val="1"/>
                <w:color w:val="0A9E50"/>
              </w:rPr>
              <w:t>Annual Base Retainer</w:t>
            </w:r>
          </w:p>
        </w:tc>
        <w:tc>
          <w:tcPr>
            <w:tcW w:w="1080" w:type="dxa"/>
            <w:vAlign w:val="bottom"/>
          </w:tcPr>
          <w:p>
            <w:pPr>
              <w:spacing w:after="0"/>
              <w:rPr>
                <w:sz w:val="16"/>
                <w:szCs w:val="16"/>
                <w:color w:val="auto"/>
              </w:rPr>
            </w:pPr>
          </w:p>
        </w:tc>
        <w:tc>
          <w:tcPr>
            <w:tcW w:w="3480" w:type="dxa"/>
            <w:vAlign w:val="bottom"/>
            <w:gridSpan w:val="2"/>
          </w:tcPr>
          <w:p>
            <w:pPr>
              <w:jc w:val="right"/>
              <w:ind w:right="811"/>
              <w:spacing w:after="0"/>
              <w:rPr>
                <w:sz w:val="20"/>
                <w:szCs w:val="20"/>
                <w:color w:val="auto"/>
              </w:rPr>
            </w:pPr>
            <w:r>
              <w:rPr>
                <w:rFonts w:ascii="Arial" w:cs="Arial" w:eastAsia="Arial" w:hAnsi="Arial"/>
                <w:sz w:val="14"/>
                <w:szCs w:val="14"/>
                <w:b w:val="1"/>
                <w:bCs w:val="1"/>
                <w:color w:val="0A9E50"/>
                <w:w w:val="98"/>
              </w:rPr>
              <w:t>Additional Retainer (Committee Chairs)</w:t>
            </w:r>
          </w:p>
        </w:tc>
      </w:tr>
      <w:tr>
        <w:trPr>
          <w:trHeight w:val="104"/>
        </w:trPr>
        <w:tc>
          <w:tcPr>
            <w:tcW w:w="2940" w:type="dxa"/>
            <w:vAlign w:val="bottom"/>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r>
        <w:trPr>
          <w:trHeight w:val="192"/>
        </w:trPr>
        <w:tc>
          <w:tcPr>
            <w:tcW w:w="29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40" w:type="dxa"/>
            <w:vAlign w:val="bottom"/>
          </w:tcPr>
          <w:p>
            <w:pPr>
              <w:jc w:val="center"/>
              <w:ind w:left="11"/>
              <w:spacing w:after="0"/>
              <w:rPr>
                <w:sz w:val="20"/>
                <w:szCs w:val="20"/>
                <w:color w:val="auto"/>
              </w:rPr>
            </w:pPr>
            <w:r>
              <w:rPr>
                <w:rFonts w:ascii="Arial" w:cs="Arial" w:eastAsia="Arial" w:hAnsi="Arial"/>
                <w:sz w:val="14"/>
                <w:szCs w:val="14"/>
                <w:b w:val="1"/>
                <w:bCs w:val="1"/>
                <w:color w:val="0A9E50"/>
                <w:w w:val="98"/>
              </w:rPr>
              <w:t>Compensation &amp;</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A9E50"/>
                <w:w w:val="98"/>
              </w:rPr>
              <w:t>Corporate</w:t>
            </w:r>
          </w:p>
        </w:tc>
      </w:tr>
      <w:tr>
        <w:trPr>
          <w:trHeight w:val="156"/>
        </w:trPr>
        <w:tc>
          <w:tcPr>
            <w:tcW w:w="2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4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6"/>
              </w:rPr>
              <w:t>Talent</w:t>
            </w:r>
          </w:p>
        </w:tc>
        <w:tc>
          <w:tcPr>
            <w:tcW w:w="1140" w:type="dxa"/>
            <w:vAlign w:val="bottom"/>
          </w:tcPr>
          <w:p>
            <w:pPr>
              <w:jc w:val="right"/>
              <w:ind w:right="11"/>
              <w:spacing w:after="0" w:line="156" w:lineRule="exact"/>
              <w:rPr>
                <w:sz w:val="20"/>
                <w:szCs w:val="20"/>
                <w:color w:val="auto"/>
              </w:rPr>
            </w:pPr>
            <w:r>
              <w:rPr>
                <w:rFonts w:ascii="Arial" w:cs="Arial" w:eastAsia="Arial" w:hAnsi="Arial"/>
                <w:sz w:val="14"/>
                <w:szCs w:val="14"/>
                <w:b w:val="1"/>
                <w:bCs w:val="1"/>
                <w:color w:val="0A9E50"/>
                <w:w w:val="98"/>
              </w:rPr>
              <w:t>  Governance &amp;</w:t>
            </w:r>
          </w:p>
        </w:tc>
      </w:tr>
      <w:tr>
        <w:trPr>
          <w:trHeight w:val="156"/>
        </w:trPr>
        <w:tc>
          <w:tcPr>
            <w:tcW w:w="2940" w:type="dxa"/>
            <w:vAlign w:val="bottom"/>
          </w:tcPr>
          <w:p>
            <w:pPr>
              <w:spacing w:after="0"/>
              <w:rPr>
                <w:sz w:val="13"/>
                <w:szCs w:val="13"/>
                <w:color w:val="auto"/>
              </w:rPr>
            </w:pPr>
          </w:p>
        </w:tc>
        <w:tc>
          <w:tcPr>
            <w:tcW w:w="1760" w:type="dxa"/>
            <w:vAlign w:val="bottom"/>
          </w:tcPr>
          <w:p>
            <w:pPr>
              <w:jc w:val="right"/>
              <w:ind w:right="251"/>
              <w:spacing w:after="0" w:line="156" w:lineRule="exact"/>
              <w:rPr>
                <w:sz w:val="20"/>
                <w:szCs w:val="20"/>
                <w:color w:val="auto"/>
              </w:rPr>
            </w:pPr>
            <w:r>
              <w:rPr>
                <w:rFonts w:ascii="Arial" w:cs="Arial" w:eastAsia="Arial" w:hAnsi="Arial"/>
                <w:sz w:val="14"/>
                <w:szCs w:val="14"/>
                <w:b w:val="1"/>
                <w:bCs w:val="1"/>
                <w:color w:val="0A9E50"/>
              </w:rPr>
              <w:t>Non-Employee</w:t>
            </w:r>
          </w:p>
        </w:tc>
        <w:tc>
          <w:tcPr>
            <w:tcW w:w="1360" w:type="dxa"/>
            <w:vAlign w:val="bottom"/>
          </w:tcPr>
          <w:p>
            <w:pPr>
              <w:jc w:val="right"/>
              <w:ind w:right="171"/>
              <w:spacing w:after="0" w:line="156" w:lineRule="exact"/>
              <w:rPr>
                <w:sz w:val="20"/>
                <w:szCs w:val="20"/>
                <w:color w:val="auto"/>
              </w:rPr>
            </w:pPr>
            <w:r>
              <w:rPr>
                <w:rFonts w:ascii="Arial" w:cs="Arial" w:eastAsia="Arial" w:hAnsi="Arial"/>
                <w:sz w:val="14"/>
                <w:szCs w:val="14"/>
                <w:b w:val="1"/>
                <w:bCs w:val="1"/>
                <w:color w:val="0A9E50"/>
              </w:rPr>
              <w:t>Chairman of</w:t>
            </w:r>
          </w:p>
        </w:tc>
        <w:tc>
          <w:tcPr>
            <w:tcW w:w="1080" w:type="dxa"/>
            <w:vAlign w:val="bottom"/>
          </w:tcPr>
          <w:p>
            <w:pPr>
              <w:jc w:val="right"/>
              <w:ind w:right="171"/>
              <w:spacing w:after="0" w:line="156" w:lineRule="exact"/>
              <w:rPr>
                <w:sz w:val="20"/>
                <w:szCs w:val="20"/>
                <w:color w:val="auto"/>
              </w:rPr>
            </w:pPr>
            <w:r>
              <w:rPr>
                <w:rFonts w:ascii="Arial" w:cs="Arial" w:eastAsia="Arial" w:hAnsi="Arial"/>
                <w:sz w:val="14"/>
                <w:szCs w:val="14"/>
                <w:b w:val="1"/>
                <w:bCs w:val="1"/>
                <w:color w:val="0A9E50"/>
              </w:rPr>
              <w:t>Audit</w:t>
            </w:r>
          </w:p>
        </w:tc>
        <w:tc>
          <w:tcPr>
            <w:tcW w:w="234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8"/>
              </w:rPr>
              <w:t>Management</w:t>
            </w: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8"/>
              </w:rPr>
              <w:t>Nominating</w:t>
            </w:r>
          </w:p>
        </w:tc>
      </w:tr>
      <w:tr>
        <w:trPr>
          <w:trHeight w:val="192"/>
        </w:trPr>
        <w:tc>
          <w:tcPr>
            <w:tcW w:w="2940" w:type="dxa"/>
            <w:vAlign w:val="bottom"/>
          </w:tcPr>
          <w:p>
            <w:pPr>
              <w:spacing w:after="0"/>
              <w:rPr>
                <w:sz w:val="16"/>
                <w:szCs w:val="16"/>
                <w:color w:val="auto"/>
              </w:rPr>
            </w:pPr>
          </w:p>
        </w:tc>
        <w:tc>
          <w:tcPr>
            <w:tcW w:w="1760" w:type="dxa"/>
            <w:vAlign w:val="bottom"/>
          </w:tcPr>
          <w:p>
            <w:pPr>
              <w:jc w:val="right"/>
              <w:ind w:right="431"/>
              <w:spacing w:after="0"/>
              <w:rPr>
                <w:sz w:val="20"/>
                <w:szCs w:val="20"/>
                <w:color w:val="auto"/>
              </w:rPr>
            </w:pPr>
            <w:r>
              <w:rPr>
                <w:rFonts w:ascii="Arial" w:cs="Arial" w:eastAsia="Arial" w:hAnsi="Arial"/>
                <w:sz w:val="14"/>
                <w:szCs w:val="14"/>
                <w:b w:val="1"/>
                <w:bCs w:val="1"/>
                <w:color w:val="0A9E50"/>
              </w:rPr>
              <w:t>Directors</w:t>
            </w:r>
          </w:p>
        </w:tc>
        <w:tc>
          <w:tcPr>
            <w:tcW w:w="1360" w:type="dxa"/>
            <w:vAlign w:val="bottom"/>
          </w:tcPr>
          <w:p>
            <w:pPr>
              <w:jc w:val="right"/>
              <w:ind w:right="251"/>
              <w:spacing w:after="0"/>
              <w:rPr>
                <w:sz w:val="20"/>
                <w:szCs w:val="20"/>
                <w:color w:val="auto"/>
              </w:rPr>
            </w:pPr>
            <w:r>
              <w:rPr>
                <w:rFonts w:ascii="Arial" w:cs="Arial" w:eastAsia="Arial" w:hAnsi="Arial"/>
                <w:sz w:val="14"/>
                <w:szCs w:val="14"/>
                <w:b w:val="1"/>
                <w:bCs w:val="1"/>
                <w:color w:val="0A9E50"/>
              </w:rPr>
              <w:t>the Board</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0A9E50"/>
              </w:rPr>
              <w:t xml:space="preserve">  Committee </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0A9E50"/>
                <w:w w:val="99"/>
              </w:rPr>
              <w:t>Committee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A9E50"/>
                <w:w w:val="99"/>
              </w:rPr>
              <w:t>Committee</w:t>
            </w:r>
          </w:p>
        </w:tc>
      </w:tr>
      <w:tr>
        <w:trPr>
          <w:trHeight w:val="39"/>
        </w:trPr>
        <w:tc>
          <w:tcPr>
            <w:tcW w:w="29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19"/>
        </w:trPr>
        <w:tc>
          <w:tcPr>
            <w:tcW w:w="2940" w:type="dxa"/>
            <w:vAlign w:val="bottom"/>
          </w:tcPr>
          <w:p>
            <w:pPr>
              <w:ind w:left="60"/>
              <w:spacing w:after="0"/>
              <w:rPr>
                <w:sz w:val="20"/>
                <w:szCs w:val="20"/>
                <w:color w:val="auto"/>
              </w:rPr>
            </w:pPr>
            <w:r>
              <w:rPr>
                <w:rFonts w:ascii="Arial" w:cs="Arial" w:eastAsia="Arial" w:hAnsi="Arial"/>
                <w:sz w:val="14"/>
                <w:szCs w:val="14"/>
                <w:color w:val="auto"/>
              </w:rPr>
              <w:t>Cash</w:t>
            </w:r>
          </w:p>
        </w:tc>
        <w:tc>
          <w:tcPr>
            <w:tcW w:w="1760" w:type="dxa"/>
            <w:vAlign w:val="bottom"/>
          </w:tcPr>
          <w:p>
            <w:pPr>
              <w:jc w:val="right"/>
              <w:ind w:right="291"/>
              <w:spacing w:after="0"/>
              <w:rPr>
                <w:sz w:val="20"/>
                <w:szCs w:val="20"/>
                <w:color w:val="auto"/>
              </w:rPr>
            </w:pPr>
            <w:r>
              <w:rPr>
                <w:rFonts w:ascii="Arial" w:cs="Arial" w:eastAsia="Arial" w:hAnsi="Arial"/>
                <w:sz w:val="14"/>
                <w:szCs w:val="14"/>
                <w:color w:val="auto"/>
              </w:rPr>
              <w:t>$100,000</w:t>
            </w:r>
          </w:p>
        </w:tc>
        <w:tc>
          <w:tcPr>
            <w:tcW w:w="1360" w:type="dxa"/>
            <w:vAlign w:val="bottom"/>
          </w:tcPr>
          <w:p>
            <w:pPr>
              <w:jc w:val="right"/>
              <w:ind w:right="171"/>
              <w:spacing w:after="0"/>
              <w:rPr>
                <w:sz w:val="20"/>
                <w:szCs w:val="20"/>
                <w:color w:val="auto"/>
              </w:rPr>
            </w:pPr>
            <w:r>
              <w:rPr>
                <w:rFonts w:ascii="Arial" w:cs="Arial" w:eastAsia="Arial" w:hAnsi="Arial"/>
                <w:sz w:val="14"/>
                <w:szCs w:val="14"/>
                <w:color w:val="auto"/>
              </w:rPr>
              <w:t>$150,000</w:t>
            </w:r>
          </w:p>
        </w:tc>
        <w:tc>
          <w:tcPr>
            <w:tcW w:w="1080" w:type="dxa"/>
            <w:vAlign w:val="bottom"/>
          </w:tcPr>
          <w:p>
            <w:pPr>
              <w:jc w:val="right"/>
              <w:spacing w:after="0"/>
              <w:rPr>
                <w:sz w:val="20"/>
                <w:szCs w:val="20"/>
                <w:color w:val="auto"/>
              </w:rPr>
            </w:pPr>
            <w:r>
              <w:rPr>
                <w:rFonts w:ascii="Arial" w:cs="Arial" w:eastAsia="Arial" w:hAnsi="Arial"/>
                <w:sz w:val="14"/>
                <w:szCs w:val="14"/>
                <w:color w:val="auto"/>
              </w:rPr>
              <w:t>$20,000</w:t>
            </w:r>
          </w:p>
        </w:tc>
        <w:tc>
          <w:tcPr>
            <w:tcW w:w="2340" w:type="dxa"/>
            <w:vAlign w:val="bottom"/>
          </w:tcPr>
          <w:p>
            <w:pPr>
              <w:jc w:val="right"/>
              <w:ind w:right="631"/>
              <w:spacing w:after="0"/>
              <w:rPr>
                <w:sz w:val="20"/>
                <w:szCs w:val="20"/>
                <w:color w:val="auto"/>
              </w:rPr>
            </w:pPr>
            <w:r>
              <w:rPr>
                <w:rFonts w:ascii="Arial" w:cs="Arial" w:eastAsia="Arial" w:hAnsi="Arial"/>
                <w:sz w:val="14"/>
                <w:szCs w:val="14"/>
                <w:color w:val="auto"/>
              </w:rPr>
              <w:t>$15,000</w:t>
            </w: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$15,000</w:t>
            </w:r>
          </w:p>
        </w:tc>
      </w:tr>
      <w:tr>
        <w:trPr>
          <w:trHeight w:val="47"/>
        </w:trPr>
        <w:tc>
          <w:tcPr>
            <w:tcW w:w="2940" w:type="dxa"/>
            <w:vAlign w:val="bottom"/>
            <w:tcBorders>
              <w:bottom w:val="single" w:sz="8" w:color="7F7F7F"/>
            </w:tcBorders>
          </w:tcPr>
          <w:p>
            <w:pPr>
              <w:spacing w:after="0"/>
              <w:rPr>
                <w:sz w:val="4"/>
                <w:szCs w:val="4"/>
                <w:color w:val="auto"/>
              </w:rPr>
            </w:pPr>
          </w:p>
        </w:tc>
        <w:tc>
          <w:tcPr>
            <w:tcW w:w="1760" w:type="dxa"/>
            <w:vAlign w:val="bottom"/>
            <w:tcBorders>
              <w:bottom w:val="single" w:sz="8" w:color="7F7F7F"/>
            </w:tcBorders>
          </w:tcPr>
          <w:p>
            <w:pPr>
              <w:spacing w:after="0"/>
              <w:rPr>
                <w:sz w:val="4"/>
                <w:szCs w:val="4"/>
                <w:color w:val="auto"/>
              </w:rPr>
            </w:pPr>
          </w:p>
        </w:tc>
        <w:tc>
          <w:tcPr>
            <w:tcW w:w="1360" w:type="dxa"/>
            <w:vAlign w:val="bottom"/>
            <w:tcBorders>
              <w:bottom w:val="single" w:sz="8" w:color="7F7F7F"/>
            </w:tcBorders>
          </w:tcPr>
          <w:p>
            <w:pPr>
              <w:spacing w:after="0"/>
              <w:rPr>
                <w:sz w:val="4"/>
                <w:szCs w:val="4"/>
                <w:color w:val="auto"/>
              </w:rPr>
            </w:pPr>
          </w:p>
        </w:tc>
        <w:tc>
          <w:tcPr>
            <w:tcW w:w="1080" w:type="dxa"/>
            <w:vAlign w:val="bottom"/>
            <w:tcBorders>
              <w:bottom w:val="single" w:sz="8" w:color="7F7F7F"/>
            </w:tcBorders>
          </w:tcPr>
          <w:p>
            <w:pPr>
              <w:spacing w:after="0"/>
              <w:rPr>
                <w:sz w:val="4"/>
                <w:szCs w:val="4"/>
                <w:color w:val="auto"/>
              </w:rPr>
            </w:pPr>
          </w:p>
        </w:tc>
        <w:tc>
          <w:tcPr>
            <w:tcW w:w="234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r>
      <w:tr>
        <w:trPr>
          <w:trHeight w:val="219"/>
        </w:trPr>
        <w:tc>
          <w:tcPr>
            <w:tcW w:w="2940" w:type="dxa"/>
            <w:vAlign w:val="bottom"/>
          </w:tcPr>
          <w:p>
            <w:pPr>
              <w:ind w:left="60"/>
              <w:spacing w:after="0"/>
              <w:rPr>
                <w:sz w:val="20"/>
                <w:szCs w:val="20"/>
                <w:color w:val="auto"/>
              </w:rPr>
            </w:pPr>
            <w:r>
              <w:rPr>
                <w:rFonts w:ascii="Arial" w:cs="Arial" w:eastAsia="Arial" w:hAnsi="Arial"/>
                <w:sz w:val="14"/>
                <w:szCs w:val="14"/>
                <w:color w:val="auto"/>
              </w:rPr>
              <w:t>Equity (Kelly Class A Stock – $ Value)</w:t>
            </w:r>
          </w:p>
        </w:tc>
        <w:tc>
          <w:tcPr>
            <w:tcW w:w="1760" w:type="dxa"/>
            <w:vAlign w:val="bottom"/>
          </w:tcPr>
          <w:p>
            <w:pPr>
              <w:jc w:val="right"/>
              <w:ind w:right="291"/>
              <w:spacing w:after="0"/>
              <w:rPr>
                <w:sz w:val="20"/>
                <w:szCs w:val="20"/>
                <w:color w:val="auto"/>
              </w:rPr>
            </w:pPr>
            <w:r>
              <w:rPr>
                <w:rFonts w:ascii="Arial" w:cs="Arial" w:eastAsia="Arial" w:hAnsi="Arial"/>
                <w:sz w:val="14"/>
                <w:szCs w:val="14"/>
                <w:color w:val="auto"/>
              </w:rPr>
              <w:t>$125,000</w:t>
            </w:r>
          </w:p>
        </w:tc>
        <w:tc>
          <w:tcPr>
            <w:tcW w:w="1360" w:type="dxa"/>
            <w:vAlign w:val="bottom"/>
          </w:tcPr>
          <w:p>
            <w:pPr>
              <w:jc w:val="right"/>
              <w:ind w:right="171"/>
              <w:spacing w:after="0"/>
              <w:rPr>
                <w:sz w:val="20"/>
                <w:szCs w:val="20"/>
                <w:color w:val="auto"/>
              </w:rPr>
            </w:pPr>
            <w:r>
              <w:rPr>
                <w:rFonts w:ascii="Arial" w:cs="Arial" w:eastAsia="Arial" w:hAnsi="Arial"/>
                <w:sz w:val="14"/>
                <w:szCs w:val="14"/>
                <w:color w:val="auto"/>
              </w:rPr>
              <w:t>$165,000</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340" w:type="dxa"/>
            <w:vAlign w:val="bottom"/>
          </w:tcPr>
          <w:p>
            <w:pPr>
              <w:jc w:val="right"/>
              <w:ind w:right="631"/>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w:t>
            </w:r>
          </w:p>
        </w:tc>
      </w:tr>
      <w:tr>
        <w:trPr>
          <w:trHeight w:val="47"/>
        </w:trPr>
        <w:tc>
          <w:tcPr>
            <w:tcW w:w="2940" w:type="dxa"/>
            <w:vAlign w:val="bottom"/>
            <w:tcBorders>
              <w:bottom w:val="single" w:sz="8" w:color="7F7F7F"/>
            </w:tcBorders>
          </w:tcPr>
          <w:p>
            <w:pPr>
              <w:spacing w:after="0"/>
              <w:rPr>
                <w:sz w:val="4"/>
                <w:szCs w:val="4"/>
                <w:color w:val="auto"/>
              </w:rPr>
            </w:pPr>
          </w:p>
        </w:tc>
        <w:tc>
          <w:tcPr>
            <w:tcW w:w="1760" w:type="dxa"/>
            <w:vAlign w:val="bottom"/>
            <w:tcBorders>
              <w:bottom w:val="single" w:sz="8" w:color="7F7F7F"/>
            </w:tcBorders>
          </w:tcPr>
          <w:p>
            <w:pPr>
              <w:spacing w:after="0"/>
              <w:rPr>
                <w:sz w:val="4"/>
                <w:szCs w:val="4"/>
                <w:color w:val="auto"/>
              </w:rPr>
            </w:pPr>
          </w:p>
        </w:tc>
        <w:tc>
          <w:tcPr>
            <w:tcW w:w="1360" w:type="dxa"/>
            <w:vAlign w:val="bottom"/>
            <w:tcBorders>
              <w:bottom w:val="single" w:sz="8" w:color="7F7F7F"/>
            </w:tcBorders>
          </w:tcPr>
          <w:p>
            <w:pPr>
              <w:spacing w:after="0"/>
              <w:rPr>
                <w:sz w:val="4"/>
                <w:szCs w:val="4"/>
                <w:color w:val="auto"/>
              </w:rPr>
            </w:pPr>
          </w:p>
        </w:tc>
        <w:tc>
          <w:tcPr>
            <w:tcW w:w="1080" w:type="dxa"/>
            <w:vAlign w:val="bottom"/>
            <w:tcBorders>
              <w:bottom w:val="single" w:sz="8" w:color="7F7F7F"/>
            </w:tcBorders>
          </w:tcPr>
          <w:p>
            <w:pPr>
              <w:spacing w:after="0"/>
              <w:rPr>
                <w:sz w:val="4"/>
                <w:szCs w:val="4"/>
                <w:color w:val="auto"/>
              </w:rPr>
            </w:pPr>
          </w:p>
        </w:tc>
        <w:tc>
          <w:tcPr>
            <w:tcW w:w="234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r>
      <w:tr>
        <w:trPr>
          <w:trHeight w:val="219"/>
        </w:trPr>
        <w:tc>
          <w:tcPr>
            <w:tcW w:w="2940" w:type="dxa"/>
            <w:vAlign w:val="bottom"/>
          </w:tcPr>
          <w:p>
            <w:pPr>
              <w:ind w:left="60"/>
              <w:spacing w:after="0"/>
              <w:rPr>
                <w:sz w:val="20"/>
                <w:szCs w:val="20"/>
                <w:color w:val="auto"/>
              </w:rPr>
            </w:pPr>
            <w:r>
              <w:rPr>
                <w:rFonts w:ascii="Arial" w:cs="Arial" w:eastAsia="Arial" w:hAnsi="Arial"/>
                <w:sz w:val="14"/>
                <w:szCs w:val="14"/>
                <w:color w:val="auto"/>
              </w:rPr>
              <w:t>Total</w:t>
            </w:r>
          </w:p>
        </w:tc>
        <w:tc>
          <w:tcPr>
            <w:tcW w:w="1760" w:type="dxa"/>
            <w:vAlign w:val="bottom"/>
          </w:tcPr>
          <w:p>
            <w:pPr>
              <w:jc w:val="right"/>
              <w:ind w:right="291"/>
              <w:spacing w:after="0"/>
              <w:rPr>
                <w:sz w:val="20"/>
                <w:szCs w:val="20"/>
                <w:color w:val="auto"/>
              </w:rPr>
            </w:pPr>
            <w:r>
              <w:rPr>
                <w:rFonts w:ascii="Arial" w:cs="Arial" w:eastAsia="Arial" w:hAnsi="Arial"/>
                <w:sz w:val="14"/>
                <w:szCs w:val="14"/>
                <w:color w:val="auto"/>
              </w:rPr>
              <w:t>$225,000</w:t>
            </w:r>
          </w:p>
        </w:tc>
        <w:tc>
          <w:tcPr>
            <w:tcW w:w="1360" w:type="dxa"/>
            <w:vAlign w:val="bottom"/>
          </w:tcPr>
          <w:p>
            <w:pPr>
              <w:jc w:val="right"/>
              <w:ind w:right="171"/>
              <w:spacing w:after="0"/>
              <w:rPr>
                <w:sz w:val="20"/>
                <w:szCs w:val="20"/>
                <w:color w:val="auto"/>
              </w:rPr>
            </w:pPr>
            <w:r>
              <w:rPr>
                <w:rFonts w:ascii="Arial" w:cs="Arial" w:eastAsia="Arial" w:hAnsi="Arial"/>
                <w:sz w:val="14"/>
                <w:szCs w:val="14"/>
                <w:color w:val="auto"/>
              </w:rPr>
              <w:t>$315,000</w:t>
            </w:r>
          </w:p>
        </w:tc>
        <w:tc>
          <w:tcPr>
            <w:tcW w:w="1080" w:type="dxa"/>
            <w:vAlign w:val="bottom"/>
          </w:tcPr>
          <w:p>
            <w:pPr>
              <w:jc w:val="right"/>
              <w:spacing w:after="0"/>
              <w:rPr>
                <w:sz w:val="20"/>
                <w:szCs w:val="20"/>
                <w:color w:val="auto"/>
              </w:rPr>
            </w:pPr>
            <w:r>
              <w:rPr>
                <w:rFonts w:ascii="Arial" w:cs="Arial" w:eastAsia="Arial" w:hAnsi="Arial"/>
                <w:sz w:val="14"/>
                <w:szCs w:val="14"/>
                <w:color w:val="auto"/>
              </w:rPr>
              <w:t>$20,000</w:t>
            </w:r>
          </w:p>
        </w:tc>
        <w:tc>
          <w:tcPr>
            <w:tcW w:w="2340" w:type="dxa"/>
            <w:vAlign w:val="bottom"/>
          </w:tcPr>
          <w:p>
            <w:pPr>
              <w:jc w:val="right"/>
              <w:ind w:right="631"/>
              <w:spacing w:after="0"/>
              <w:rPr>
                <w:sz w:val="20"/>
                <w:szCs w:val="20"/>
                <w:color w:val="auto"/>
              </w:rPr>
            </w:pPr>
            <w:r>
              <w:rPr>
                <w:rFonts w:ascii="Arial" w:cs="Arial" w:eastAsia="Arial" w:hAnsi="Arial"/>
                <w:sz w:val="14"/>
                <w:szCs w:val="14"/>
                <w:color w:val="auto"/>
              </w:rPr>
              <w:t>$15,000</w:t>
            </w:r>
          </w:p>
        </w:tc>
        <w:tc>
          <w:tcPr>
            <w:tcW w:w="1140" w:type="dxa"/>
            <w:vAlign w:val="bottom"/>
          </w:tcPr>
          <w:p>
            <w:pPr>
              <w:jc w:val="right"/>
              <w:ind w:right="51"/>
              <w:spacing w:after="0"/>
              <w:rPr>
                <w:sz w:val="20"/>
                <w:szCs w:val="20"/>
                <w:color w:val="auto"/>
              </w:rPr>
            </w:pPr>
            <w:r>
              <w:rPr>
                <w:rFonts w:ascii="Arial" w:cs="Arial" w:eastAsia="Arial" w:hAnsi="Arial"/>
                <w:sz w:val="14"/>
                <w:szCs w:val="14"/>
                <w:color w:val="auto"/>
              </w:rPr>
              <w:t>$15,000</w:t>
            </w:r>
          </w:p>
        </w:tc>
      </w:tr>
      <w:tr>
        <w:trPr>
          <w:trHeight w:val="47"/>
        </w:trPr>
        <w:tc>
          <w:tcPr>
            <w:tcW w:w="2940" w:type="dxa"/>
            <w:vAlign w:val="bottom"/>
            <w:tcBorders>
              <w:bottom w:val="single" w:sz="8" w:color="7F7F7F"/>
            </w:tcBorders>
          </w:tcPr>
          <w:p>
            <w:pPr>
              <w:spacing w:after="0"/>
              <w:rPr>
                <w:sz w:val="4"/>
                <w:szCs w:val="4"/>
                <w:color w:val="auto"/>
              </w:rPr>
            </w:pPr>
          </w:p>
        </w:tc>
        <w:tc>
          <w:tcPr>
            <w:tcW w:w="1760" w:type="dxa"/>
            <w:vAlign w:val="bottom"/>
            <w:tcBorders>
              <w:bottom w:val="single" w:sz="8" w:color="7F7F7F"/>
            </w:tcBorders>
          </w:tcPr>
          <w:p>
            <w:pPr>
              <w:spacing w:after="0"/>
              <w:rPr>
                <w:sz w:val="4"/>
                <w:szCs w:val="4"/>
                <w:color w:val="auto"/>
              </w:rPr>
            </w:pPr>
          </w:p>
        </w:tc>
        <w:tc>
          <w:tcPr>
            <w:tcW w:w="1360" w:type="dxa"/>
            <w:vAlign w:val="bottom"/>
            <w:tcBorders>
              <w:bottom w:val="single" w:sz="8" w:color="7F7F7F"/>
            </w:tcBorders>
          </w:tcPr>
          <w:p>
            <w:pPr>
              <w:spacing w:after="0"/>
              <w:rPr>
                <w:sz w:val="4"/>
                <w:szCs w:val="4"/>
                <w:color w:val="auto"/>
              </w:rPr>
            </w:pPr>
          </w:p>
        </w:tc>
        <w:tc>
          <w:tcPr>
            <w:tcW w:w="1080" w:type="dxa"/>
            <w:vAlign w:val="bottom"/>
            <w:tcBorders>
              <w:bottom w:val="single" w:sz="8" w:color="7F7F7F"/>
            </w:tcBorders>
          </w:tcPr>
          <w:p>
            <w:pPr>
              <w:spacing w:after="0"/>
              <w:rPr>
                <w:sz w:val="4"/>
                <w:szCs w:val="4"/>
                <w:color w:val="auto"/>
              </w:rPr>
            </w:pPr>
          </w:p>
        </w:tc>
        <w:tc>
          <w:tcPr>
            <w:tcW w:w="234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r>
    </w:tbl>
    <w:p>
      <w:pPr>
        <w:spacing w:after="0" w:line="196"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Under the Company’s amended and restated Equity Incentive Plan (“EIP”), the Board of Directors must periodically determine the percentage of the base retainer that will be issued to non-employee directors in shares of Class A Common Stock. At the meeting of the Board following the 2023 Annual Meeting of Shareholders, the Board determined that $125,000 of the base retainer would be issued in shares (55.6%) and $100,000 of the base retainer would be paid in cash (44.4%). Equity portion of $165,000 and cash portion of $150,000 were maintained for the Chairman of the Board.</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 Ownership Requirements</w:t>
      </w:r>
    </w:p>
    <w:p>
      <w:pPr>
        <w:spacing w:after="0" w:line="85"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Non-employee directors are subject to a stock ownership requirement that is a minimum fair market value of four times the value of the cash portion of the annual base retainer (which currently equates to $400,000). Although there is not a fixed compliance period, it is expected that new directors will likely reach the ownership requirements within five years from their appointment date. All directors, except for recently appointed directors Mses. Duggirala and Johnson, are compliant with the Company’s stock ownership requirements.</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Non-Employee Directors Deferred Compensation Plan</w:t>
      </w:r>
    </w:p>
    <w:p>
      <w:pPr>
        <w:spacing w:after="0" w:line="72"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The Company established the Non-Employee Directors Deferred Compensation Plan (“DDCP”), which provides non-employee directors with the opportunity to defer all or a portion of all fees payable to them, pursuant to a valid deferral election. The DDCP is a non-qualified plan that allows for the deferral of all or a portion of annual cash payments to a notional account with investment fund choices that mirror those provided to participants in the Company’s Management Retirement Plan (“MRP”). In addition to those fund choices, the Plan also includes the option to defer annual cash payments into Company common stock units. Non-employee directors may also elect to defer all or a portion of their annual stock retainer into Company common stock units. Participants may elect to receive distributions from their DDCP account at the time they cease</w:t>
      </w:r>
    </w:p>
    <w:p>
      <w:pPr>
        <w:spacing w:after="0" w:line="3" w:lineRule="exact"/>
        <w:rPr>
          <w:sz w:val="20"/>
          <w:szCs w:val="20"/>
          <w:color w:val="auto"/>
        </w:rPr>
      </w:pPr>
    </w:p>
    <w:p>
      <w:pPr>
        <w:ind w:left="8780"/>
        <w:spacing w:after="0"/>
        <w:tabs>
          <w:tab w:leader="none" w:pos="1002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6308725</wp:posOffset>
            </wp:positionH>
            <wp:positionV relativeFrom="paragraph">
              <wp:posOffset>-222250</wp:posOffset>
            </wp:positionV>
            <wp:extent cx="8255" cy="2228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423" w:right="639" w:bottom="1440" w:gutter="0" w:footer="0" w:header="0"/>
        </w:sectPr>
      </w:pPr>
    </w:p>
    <w:bookmarkStart w:id="43" w:name="page44"/>
    <w:bookmarkEnd w:id="43"/>
    <w:p>
      <w:pPr>
        <w:ind w:left="4"/>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Director Compensation</w:t>
      </w:r>
    </w:p>
    <w:p>
      <w:pPr>
        <w:spacing w:after="0" w:line="137" w:lineRule="exact"/>
        <w:rPr>
          <w:sz w:val="20"/>
          <w:szCs w:val="20"/>
          <w:color w:val="auto"/>
        </w:rPr>
      </w:pPr>
    </w:p>
    <w:p>
      <w:pPr>
        <w:ind w:left="4" w:right="460"/>
        <w:spacing w:after="0" w:line="251" w:lineRule="auto"/>
        <w:rPr>
          <w:sz w:val="20"/>
          <w:szCs w:val="20"/>
          <w:color w:val="auto"/>
        </w:rPr>
      </w:pPr>
      <w:r>
        <w:rPr>
          <w:rFonts w:ascii="Arial" w:cs="Arial" w:eastAsia="Arial" w:hAnsi="Arial"/>
          <w:sz w:val="16"/>
          <w:szCs w:val="16"/>
          <w:color w:val="auto"/>
        </w:rPr>
        <w:t>to be a director of the Company or at a future date that is between one and ten years following the date they cease to be a director of the Company. Non-employee directors can elect to have distributions from the DDCP made in either a lump sum or in annual installment payments made over a two-to-ten-year period.</w:t>
      </w:r>
    </w:p>
    <w:p>
      <w:pPr>
        <w:spacing w:after="0" w:line="34"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color w:val="auto"/>
        </w:rPr>
        <w:t>The following table sets forth the compensation paid during 2023 to the Company’s non-employee directors. Mr. Quigley received no compensation for his services as a director in 2023. Mr. Quigley’s compensation as President and Chief Executive Officer is disclosed in the Compensation Discussion &amp; Analysis section of this Proxy Statement.</w:t>
      </w:r>
    </w:p>
    <w:p>
      <w:pPr>
        <w:spacing w:after="0" w:line="267"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2023 Director Compensation</w:t>
      </w:r>
    </w:p>
    <w:p>
      <w:pPr>
        <w:spacing w:after="0" w:line="8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0A9E50"/>
                <w:w w:val="99"/>
              </w:rPr>
              <w:t>Change in Pension</w:t>
            </w: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0A9E50"/>
                <w:w w:val="99"/>
              </w:rPr>
              <w:t>Value and</w:t>
            </w:r>
          </w:p>
        </w:tc>
        <w:tc>
          <w:tcPr>
            <w:tcW w:w="13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0A9E50"/>
                <w:w w:val="99"/>
              </w:rPr>
              <w:t>Nonqualified</w:t>
            </w:r>
          </w:p>
        </w:tc>
        <w:tc>
          <w:tcPr>
            <w:tcW w:w="13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1540" w:type="dxa"/>
            <w:vAlign w:val="bottom"/>
          </w:tcPr>
          <w:p>
            <w:pPr>
              <w:jc w:val="right"/>
              <w:ind w:right="111"/>
              <w:spacing w:after="0" w:line="156" w:lineRule="exact"/>
              <w:rPr>
                <w:sz w:val="20"/>
                <w:szCs w:val="20"/>
                <w:color w:val="auto"/>
              </w:rPr>
            </w:pPr>
            <w:r>
              <w:rPr>
                <w:rFonts w:ascii="Arial" w:cs="Arial" w:eastAsia="Arial" w:hAnsi="Arial"/>
                <w:sz w:val="14"/>
                <w:szCs w:val="14"/>
                <w:b w:val="1"/>
                <w:bCs w:val="1"/>
                <w:color w:val="0A9E50"/>
              </w:rPr>
              <w:t>Fees Earned</w:t>
            </w: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9"/>
              </w:rPr>
              <w:t>Non-Equity</w:t>
            </w:r>
          </w:p>
        </w:tc>
        <w:tc>
          <w:tcPr>
            <w:tcW w:w="16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0A9E50"/>
              </w:rPr>
              <w:t>Deferred</w:t>
            </w:r>
          </w:p>
        </w:tc>
        <w:tc>
          <w:tcPr>
            <w:tcW w:w="13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2"/>
        </w:trPr>
        <w:tc>
          <w:tcPr>
            <w:tcW w:w="1920" w:type="dxa"/>
            <w:vAlign w:val="bottom"/>
          </w:tcPr>
          <w:p>
            <w:pPr>
              <w:spacing w:after="0"/>
              <w:rPr>
                <w:sz w:val="13"/>
                <w:szCs w:val="13"/>
                <w:color w:val="auto"/>
              </w:rPr>
            </w:pPr>
          </w:p>
        </w:tc>
        <w:tc>
          <w:tcPr>
            <w:tcW w:w="1540" w:type="dxa"/>
            <w:vAlign w:val="bottom"/>
          </w:tcPr>
          <w:p>
            <w:pPr>
              <w:jc w:val="right"/>
              <w:ind w:right="211"/>
              <w:spacing w:after="0" w:line="153" w:lineRule="exact"/>
              <w:rPr>
                <w:sz w:val="20"/>
                <w:szCs w:val="20"/>
                <w:color w:val="auto"/>
              </w:rPr>
            </w:pPr>
            <w:r>
              <w:rPr>
                <w:rFonts w:ascii="Arial" w:cs="Arial" w:eastAsia="Arial" w:hAnsi="Arial"/>
                <w:sz w:val="14"/>
                <w:szCs w:val="14"/>
                <w:b w:val="1"/>
                <w:bCs w:val="1"/>
                <w:color w:val="0A9E50"/>
              </w:rPr>
              <w:t>or Paid in</w:t>
            </w:r>
          </w:p>
        </w:tc>
        <w:tc>
          <w:tcPr>
            <w:tcW w:w="100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0A9E50"/>
              </w:rPr>
              <w:t>Stock</w:t>
            </w:r>
          </w:p>
        </w:tc>
        <w:tc>
          <w:tcPr>
            <w:tcW w:w="920" w:type="dxa"/>
            <w:vAlign w:val="bottom"/>
          </w:tcPr>
          <w:p>
            <w:pPr>
              <w:ind w:left="220"/>
              <w:spacing w:after="0" w:line="153" w:lineRule="exact"/>
              <w:rPr>
                <w:sz w:val="20"/>
                <w:szCs w:val="20"/>
                <w:color w:val="auto"/>
              </w:rPr>
            </w:pPr>
            <w:r>
              <w:rPr>
                <w:rFonts w:ascii="Arial" w:cs="Arial" w:eastAsia="Arial" w:hAnsi="Arial"/>
                <w:sz w:val="14"/>
                <w:szCs w:val="14"/>
                <w:b w:val="1"/>
                <w:bCs w:val="1"/>
                <w:color w:val="0A9E50"/>
              </w:rPr>
              <w:t>Award</w:t>
            </w: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0A9E50"/>
                <w:w w:val="99"/>
              </w:rPr>
              <w:t>Incentive Plan</w:t>
            </w:r>
          </w:p>
        </w:tc>
        <w:tc>
          <w:tcPr>
            <w:tcW w:w="16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0A9E50"/>
                <w:w w:val="98"/>
              </w:rPr>
              <w:t>Compensation</w:t>
            </w:r>
          </w:p>
        </w:tc>
        <w:tc>
          <w:tcPr>
            <w:tcW w:w="1360" w:type="dxa"/>
            <w:vAlign w:val="bottom"/>
          </w:tcPr>
          <w:p>
            <w:pPr>
              <w:ind w:left="380"/>
              <w:spacing w:after="0" w:line="153" w:lineRule="exact"/>
              <w:rPr>
                <w:sz w:val="20"/>
                <w:szCs w:val="20"/>
                <w:color w:val="auto"/>
              </w:rPr>
            </w:pPr>
            <w:r>
              <w:rPr>
                <w:rFonts w:ascii="Arial" w:cs="Arial" w:eastAsia="Arial" w:hAnsi="Arial"/>
                <w:sz w:val="14"/>
                <w:szCs w:val="14"/>
                <w:b w:val="1"/>
                <w:bCs w:val="1"/>
                <w:color w:val="0A9E50"/>
              </w:rPr>
              <w:t>All Other</w:t>
            </w:r>
          </w:p>
        </w:tc>
        <w:tc>
          <w:tcPr>
            <w:tcW w:w="860" w:type="dxa"/>
            <w:vAlign w:val="bottom"/>
          </w:tcPr>
          <w:p>
            <w:pPr>
              <w:spacing w:after="0"/>
              <w:rPr>
                <w:sz w:val="13"/>
                <w:szCs w:val="13"/>
                <w:color w:val="auto"/>
              </w:rPr>
            </w:pPr>
          </w:p>
        </w:tc>
      </w:tr>
      <w:tr>
        <w:trPr>
          <w:trHeight w:val="234"/>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  Name</w:t>
            </w:r>
          </w:p>
        </w:tc>
        <w:tc>
          <w:tcPr>
            <w:tcW w:w="15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0A9E50"/>
              </w:rPr>
              <w:t>Cash</w:t>
            </w:r>
            <w:r>
              <w:rPr>
                <w:rFonts w:ascii="Arial" w:cs="Arial" w:eastAsia="Arial" w:hAnsi="Arial"/>
                <w:sz w:val="20"/>
                <w:szCs w:val="20"/>
                <w:b w:val="1"/>
                <w:bCs w:val="1"/>
                <w:color w:val="0A9E50"/>
                <w:vertAlign w:val="superscript"/>
              </w:rPr>
              <w:t>(1)</w:t>
            </w: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0A9E50"/>
              </w:rPr>
              <w:t>Awards</w:t>
            </w:r>
            <w:r>
              <w:rPr>
                <w:rFonts w:ascii="Arial" w:cs="Arial" w:eastAsia="Arial" w:hAnsi="Arial"/>
                <w:sz w:val="20"/>
                <w:szCs w:val="20"/>
                <w:b w:val="1"/>
                <w:bCs w:val="1"/>
                <w:color w:val="0A9E50"/>
                <w:vertAlign w:val="superscript"/>
              </w:rPr>
              <w:t>(2)</w:t>
            </w: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0A9E50"/>
              </w:rPr>
              <w:t>Options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w w:val="98"/>
              </w:rPr>
              <w:t>Compensation</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A9E50"/>
                <w:w w:val="96"/>
              </w:rPr>
              <w:t>Earnings</w:t>
            </w:r>
          </w:p>
        </w:tc>
        <w:tc>
          <w:tcPr>
            <w:tcW w:w="13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0A9E50"/>
              </w:rPr>
              <w:t>Compensation</w:t>
            </w:r>
          </w:p>
        </w:tc>
        <w:tc>
          <w:tcPr>
            <w:tcW w:w="860" w:type="dxa"/>
            <w:vAlign w:val="bottom"/>
            <w:tcBorders>
              <w:bottom w:val="single" w:sz="8" w:color="auto"/>
            </w:tcBorders>
          </w:tcPr>
          <w:p>
            <w:pPr>
              <w:jc w:val="center"/>
              <w:ind w:left="71"/>
              <w:spacing w:after="0"/>
              <w:rPr>
                <w:sz w:val="20"/>
                <w:szCs w:val="20"/>
                <w:color w:val="auto"/>
              </w:rPr>
            </w:pPr>
            <w:r>
              <w:rPr>
                <w:rFonts w:ascii="Arial" w:cs="Arial" w:eastAsia="Arial" w:hAnsi="Arial"/>
                <w:sz w:val="14"/>
                <w:szCs w:val="14"/>
                <w:b w:val="1"/>
                <w:bCs w:val="1"/>
                <w:color w:val="0A9E50"/>
                <w:w w:val="95"/>
              </w:rPr>
              <w:t>Total</w:t>
            </w:r>
          </w:p>
        </w:tc>
      </w:tr>
      <w:tr>
        <w:trPr>
          <w:trHeight w:val="227"/>
        </w:trPr>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Gerald S. Adolph</w:t>
            </w:r>
          </w:p>
        </w:tc>
        <w:tc>
          <w:tcPr>
            <w:tcW w:w="1540" w:type="dxa"/>
            <w:vAlign w:val="bottom"/>
          </w:tcPr>
          <w:p>
            <w:pPr>
              <w:jc w:val="right"/>
              <w:ind w:right="111"/>
              <w:spacing w:after="0"/>
              <w:rPr>
                <w:sz w:val="20"/>
                <w:szCs w:val="20"/>
                <w:color w:val="auto"/>
              </w:rPr>
            </w:pPr>
            <w:r>
              <w:rPr>
                <w:rFonts w:ascii="Arial" w:cs="Arial" w:eastAsia="Arial" w:hAnsi="Arial"/>
                <w:sz w:val="14"/>
                <w:szCs w:val="14"/>
                <w:color w:val="auto"/>
              </w:rPr>
              <w:t>$ 115,000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$125,000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38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w w:val="98"/>
              </w:rPr>
              <w:t>196,960</w:t>
            </w:r>
          </w:p>
        </w:tc>
        <w:tc>
          <w:tcPr>
            <w:tcW w:w="136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51"/>
              <w:spacing w:after="0"/>
              <w:rPr>
                <w:sz w:val="20"/>
                <w:szCs w:val="20"/>
                <w:color w:val="auto"/>
              </w:rPr>
            </w:pPr>
            <w:r>
              <w:rPr>
                <w:rFonts w:ascii="Arial" w:cs="Arial" w:eastAsia="Arial" w:hAnsi="Arial"/>
                <w:sz w:val="14"/>
                <w:szCs w:val="14"/>
                <w:color w:val="auto"/>
                <w:w w:val="99"/>
              </w:rPr>
              <w:t>$436,960</w:t>
            </w:r>
          </w:p>
        </w:tc>
      </w:tr>
      <w:tr>
        <w:trPr>
          <w:trHeight w:val="39"/>
        </w:trPr>
        <w:tc>
          <w:tcPr>
            <w:tcW w:w="192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r>
      <w:tr>
        <w:trPr>
          <w:trHeight w:val="227"/>
        </w:trPr>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George S. Corona</w:t>
            </w:r>
          </w:p>
        </w:tc>
        <w:tc>
          <w:tcPr>
            <w:tcW w:w="1540" w:type="dxa"/>
            <w:vAlign w:val="bottom"/>
          </w:tcPr>
          <w:p>
            <w:pPr>
              <w:jc w:val="right"/>
              <w:ind w:right="111"/>
              <w:spacing w:after="0"/>
              <w:rPr>
                <w:sz w:val="20"/>
                <w:szCs w:val="20"/>
                <w:color w:val="auto"/>
              </w:rPr>
            </w:pPr>
            <w:r>
              <w:rPr>
                <w:rFonts w:ascii="Arial" w:cs="Arial" w:eastAsia="Arial" w:hAnsi="Arial"/>
                <w:sz w:val="14"/>
                <w:szCs w:val="14"/>
                <w:color w:val="auto"/>
              </w:rPr>
              <w:t>$100,000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$125,000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38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w w:val="98"/>
              </w:rPr>
              <w:t>112,414</w:t>
            </w:r>
          </w:p>
        </w:tc>
        <w:tc>
          <w:tcPr>
            <w:tcW w:w="136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51"/>
              <w:spacing w:after="0"/>
              <w:rPr>
                <w:sz w:val="20"/>
                <w:szCs w:val="20"/>
                <w:color w:val="auto"/>
              </w:rPr>
            </w:pPr>
            <w:r>
              <w:rPr>
                <w:rFonts w:ascii="Arial" w:cs="Arial" w:eastAsia="Arial" w:hAnsi="Arial"/>
                <w:sz w:val="14"/>
                <w:szCs w:val="14"/>
                <w:color w:val="auto"/>
                <w:w w:val="99"/>
              </w:rPr>
              <w:t>$337,414</w:t>
            </w:r>
          </w:p>
        </w:tc>
      </w:tr>
      <w:tr>
        <w:trPr>
          <w:trHeight w:val="39"/>
        </w:trPr>
        <w:tc>
          <w:tcPr>
            <w:tcW w:w="192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r>
      <w:tr>
        <w:trPr>
          <w:trHeight w:val="227"/>
        </w:trPr>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Robert S. Cubbin</w:t>
            </w:r>
          </w:p>
        </w:tc>
        <w:tc>
          <w:tcPr>
            <w:tcW w:w="1540" w:type="dxa"/>
            <w:vAlign w:val="bottom"/>
          </w:tcPr>
          <w:p>
            <w:pPr>
              <w:jc w:val="right"/>
              <w:ind w:right="111"/>
              <w:spacing w:after="0"/>
              <w:rPr>
                <w:sz w:val="20"/>
                <w:szCs w:val="20"/>
                <w:color w:val="auto"/>
              </w:rPr>
            </w:pPr>
            <w:r>
              <w:rPr>
                <w:rFonts w:ascii="Arial" w:cs="Arial" w:eastAsia="Arial" w:hAnsi="Arial"/>
                <w:sz w:val="14"/>
                <w:szCs w:val="14"/>
                <w:color w:val="auto"/>
              </w:rPr>
              <w:t>$ 115,000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$125,000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38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w w:val="98"/>
              </w:rPr>
              <w:t>205,314</w:t>
            </w:r>
          </w:p>
        </w:tc>
        <w:tc>
          <w:tcPr>
            <w:tcW w:w="136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51"/>
              <w:spacing w:after="0"/>
              <w:rPr>
                <w:sz w:val="20"/>
                <w:szCs w:val="20"/>
                <w:color w:val="auto"/>
              </w:rPr>
            </w:pPr>
            <w:r>
              <w:rPr>
                <w:rFonts w:ascii="Arial" w:cs="Arial" w:eastAsia="Arial" w:hAnsi="Arial"/>
                <w:sz w:val="14"/>
                <w:szCs w:val="14"/>
                <w:color w:val="auto"/>
                <w:w w:val="99"/>
              </w:rPr>
              <w:t>$445,314</w:t>
            </w:r>
          </w:p>
        </w:tc>
      </w:tr>
      <w:tr>
        <w:trPr>
          <w:trHeight w:val="39"/>
        </w:trPr>
        <w:tc>
          <w:tcPr>
            <w:tcW w:w="192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r>
      <w:tr>
        <w:trPr>
          <w:trHeight w:val="227"/>
        </w:trPr>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Amala Duggirala</w:t>
            </w:r>
          </w:p>
        </w:tc>
        <w:tc>
          <w:tcPr>
            <w:tcW w:w="1540" w:type="dxa"/>
            <w:vAlign w:val="bottom"/>
          </w:tcPr>
          <w:p>
            <w:pPr>
              <w:jc w:val="right"/>
              <w:ind w:right="111"/>
              <w:spacing w:after="0"/>
              <w:rPr>
                <w:sz w:val="20"/>
                <w:szCs w:val="20"/>
                <w:color w:val="auto"/>
              </w:rPr>
            </w:pPr>
            <w:r>
              <w:rPr>
                <w:rFonts w:ascii="Arial" w:cs="Arial" w:eastAsia="Arial" w:hAnsi="Arial"/>
                <w:sz w:val="14"/>
                <w:szCs w:val="14"/>
                <w:color w:val="auto"/>
              </w:rPr>
              <w:t>$100,000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$125,000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38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w w:val="98"/>
              </w:rPr>
              <w:t>116,807</w:t>
            </w:r>
          </w:p>
        </w:tc>
        <w:tc>
          <w:tcPr>
            <w:tcW w:w="136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51"/>
              <w:spacing w:after="0"/>
              <w:rPr>
                <w:sz w:val="20"/>
                <w:szCs w:val="20"/>
                <w:color w:val="auto"/>
              </w:rPr>
            </w:pPr>
            <w:r>
              <w:rPr>
                <w:rFonts w:ascii="Arial" w:cs="Arial" w:eastAsia="Arial" w:hAnsi="Arial"/>
                <w:sz w:val="14"/>
                <w:szCs w:val="14"/>
                <w:color w:val="auto"/>
                <w:w w:val="99"/>
              </w:rPr>
              <w:t>$341,807</w:t>
            </w:r>
          </w:p>
        </w:tc>
      </w:tr>
      <w:tr>
        <w:trPr>
          <w:trHeight w:val="39"/>
        </w:trPr>
        <w:tc>
          <w:tcPr>
            <w:tcW w:w="192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r>
      <w:tr>
        <w:trPr>
          <w:trHeight w:val="227"/>
        </w:trPr>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InaMarie F. Johnson</w:t>
            </w:r>
          </w:p>
        </w:tc>
        <w:tc>
          <w:tcPr>
            <w:tcW w:w="1540" w:type="dxa"/>
            <w:vAlign w:val="bottom"/>
          </w:tcPr>
          <w:p>
            <w:pPr>
              <w:jc w:val="right"/>
              <w:ind w:right="111"/>
              <w:spacing w:after="0"/>
              <w:rPr>
                <w:sz w:val="20"/>
                <w:szCs w:val="20"/>
                <w:color w:val="auto"/>
              </w:rPr>
            </w:pPr>
            <w:r>
              <w:rPr>
                <w:rFonts w:ascii="Arial" w:cs="Arial" w:eastAsia="Arial" w:hAnsi="Arial"/>
                <w:sz w:val="14"/>
                <w:szCs w:val="14"/>
                <w:color w:val="auto"/>
              </w:rPr>
              <w:t>$100,000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$125,000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38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77,037</w:t>
            </w:r>
          </w:p>
        </w:tc>
        <w:tc>
          <w:tcPr>
            <w:tcW w:w="136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51"/>
              <w:spacing w:after="0"/>
              <w:rPr>
                <w:sz w:val="20"/>
                <w:szCs w:val="20"/>
                <w:color w:val="auto"/>
              </w:rPr>
            </w:pPr>
            <w:r>
              <w:rPr>
                <w:rFonts w:ascii="Arial" w:cs="Arial" w:eastAsia="Arial" w:hAnsi="Arial"/>
                <w:sz w:val="14"/>
                <w:szCs w:val="14"/>
                <w:color w:val="auto"/>
                <w:w w:val="99"/>
              </w:rPr>
              <w:t>$302,037</w:t>
            </w:r>
          </w:p>
        </w:tc>
      </w:tr>
      <w:tr>
        <w:trPr>
          <w:trHeight w:val="39"/>
        </w:trPr>
        <w:tc>
          <w:tcPr>
            <w:tcW w:w="192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r>
      <w:tr>
        <w:trPr>
          <w:trHeight w:val="227"/>
        </w:trPr>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Terrence B. Larkin</w:t>
            </w:r>
          </w:p>
        </w:tc>
        <w:tc>
          <w:tcPr>
            <w:tcW w:w="1540" w:type="dxa"/>
            <w:vAlign w:val="bottom"/>
          </w:tcPr>
          <w:p>
            <w:pPr>
              <w:jc w:val="right"/>
              <w:ind w:right="111"/>
              <w:spacing w:after="0"/>
              <w:rPr>
                <w:sz w:val="20"/>
                <w:szCs w:val="20"/>
                <w:color w:val="auto"/>
              </w:rPr>
            </w:pPr>
            <w:r>
              <w:rPr>
                <w:rFonts w:ascii="Arial" w:cs="Arial" w:eastAsia="Arial" w:hAnsi="Arial"/>
                <w:sz w:val="14"/>
                <w:szCs w:val="14"/>
                <w:color w:val="auto"/>
              </w:rPr>
              <w:t>$150,000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$165,000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38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9"/>
                <w:szCs w:val="19"/>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36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51"/>
              <w:spacing w:after="0"/>
              <w:rPr>
                <w:sz w:val="20"/>
                <w:szCs w:val="20"/>
                <w:color w:val="auto"/>
              </w:rPr>
            </w:pPr>
            <w:r>
              <w:rPr>
                <w:rFonts w:ascii="Arial" w:cs="Arial" w:eastAsia="Arial" w:hAnsi="Arial"/>
                <w:sz w:val="14"/>
                <w:szCs w:val="14"/>
                <w:color w:val="auto"/>
                <w:w w:val="99"/>
              </w:rPr>
              <w:t>$315,000</w:t>
            </w:r>
          </w:p>
        </w:tc>
      </w:tr>
      <w:tr>
        <w:trPr>
          <w:trHeight w:val="39"/>
        </w:trPr>
        <w:tc>
          <w:tcPr>
            <w:tcW w:w="192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r>
      <w:tr>
        <w:trPr>
          <w:trHeight w:val="227"/>
        </w:trPr>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Leslie A. Murphy</w:t>
            </w:r>
          </w:p>
        </w:tc>
        <w:tc>
          <w:tcPr>
            <w:tcW w:w="1540" w:type="dxa"/>
            <w:vAlign w:val="bottom"/>
          </w:tcPr>
          <w:p>
            <w:pPr>
              <w:jc w:val="right"/>
              <w:ind w:right="111"/>
              <w:spacing w:after="0"/>
              <w:rPr>
                <w:sz w:val="20"/>
                <w:szCs w:val="20"/>
                <w:color w:val="auto"/>
              </w:rPr>
            </w:pPr>
            <w:r>
              <w:rPr>
                <w:rFonts w:ascii="Arial" w:cs="Arial" w:eastAsia="Arial" w:hAnsi="Arial"/>
                <w:sz w:val="14"/>
                <w:szCs w:val="14"/>
                <w:color w:val="auto"/>
              </w:rPr>
              <w:t>$120,000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$125,000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38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11"/>
              <w:spacing w:after="0"/>
              <w:rPr>
                <w:sz w:val="20"/>
                <w:szCs w:val="20"/>
                <w:color w:val="auto"/>
              </w:rPr>
            </w:pPr>
            <w:r>
              <w:rPr>
                <w:rFonts w:ascii="Arial" w:cs="Arial" w:eastAsia="Arial" w:hAnsi="Arial"/>
                <w:sz w:val="14"/>
                <w:szCs w:val="14"/>
                <w:color w:val="auto"/>
                <w:w w:val="98"/>
              </w:rPr>
              <w:t>166,964</w:t>
            </w:r>
          </w:p>
        </w:tc>
        <w:tc>
          <w:tcPr>
            <w:tcW w:w="136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51"/>
              <w:spacing w:after="0"/>
              <w:rPr>
                <w:sz w:val="20"/>
                <w:szCs w:val="20"/>
                <w:color w:val="auto"/>
              </w:rPr>
            </w:pPr>
            <w:r>
              <w:rPr>
                <w:rFonts w:ascii="Arial" w:cs="Arial" w:eastAsia="Arial" w:hAnsi="Arial"/>
                <w:sz w:val="14"/>
                <w:szCs w:val="14"/>
                <w:color w:val="auto"/>
                <w:w w:val="99"/>
              </w:rPr>
              <w:t>$411,964</w:t>
            </w:r>
          </w:p>
        </w:tc>
      </w:tr>
      <w:tr>
        <w:trPr>
          <w:trHeight w:val="39"/>
        </w:trPr>
        <w:tc>
          <w:tcPr>
            <w:tcW w:w="192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r>
      <w:tr>
        <w:trPr>
          <w:trHeight w:val="227"/>
        </w:trPr>
        <w:tc>
          <w:tcPr>
            <w:tcW w:w="1920" w:type="dxa"/>
            <w:vAlign w:val="bottom"/>
          </w:tcPr>
          <w:p>
            <w:pPr>
              <w:ind w:left="60"/>
              <w:spacing w:after="0"/>
              <w:rPr>
                <w:sz w:val="20"/>
                <w:szCs w:val="20"/>
                <w:color w:val="auto"/>
              </w:rPr>
            </w:pPr>
            <w:r>
              <w:rPr>
                <w:rFonts w:ascii="Arial" w:cs="Arial" w:eastAsia="Arial" w:hAnsi="Arial"/>
                <w:sz w:val="14"/>
                <w:szCs w:val="14"/>
                <w:b w:val="1"/>
                <w:bCs w:val="1"/>
                <w:color w:val="auto"/>
              </w:rPr>
              <w:t>Donald R. Parfet</w:t>
            </w:r>
          </w:p>
        </w:tc>
        <w:tc>
          <w:tcPr>
            <w:tcW w:w="1540" w:type="dxa"/>
            <w:vAlign w:val="bottom"/>
          </w:tcPr>
          <w:p>
            <w:pPr>
              <w:jc w:val="right"/>
              <w:ind w:right="111"/>
              <w:spacing w:after="0"/>
              <w:rPr>
                <w:sz w:val="20"/>
                <w:szCs w:val="20"/>
                <w:color w:val="auto"/>
              </w:rPr>
            </w:pPr>
            <w:r>
              <w:rPr>
                <w:rFonts w:ascii="Arial" w:cs="Arial" w:eastAsia="Arial" w:hAnsi="Arial"/>
                <w:sz w:val="14"/>
                <w:szCs w:val="14"/>
                <w:color w:val="auto"/>
              </w:rPr>
              <w:t>$100,000</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$125,000</w:t>
            </w:r>
          </w:p>
        </w:tc>
        <w:tc>
          <w:tcPr>
            <w:tcW w:w="920" w:type="dxa"/>
            <w:vAlign w:val="bottom"/>
          </w:tcPr>
          <w:p>
            <w:pPr>
              <w:ind w:left="440"/>
              <w:spacing w:after="0"/>
              <w:rPr>
                <w:sz w:val="20"/>
                <w:szCs w:val="20"/>
                <w:color w:val="auto"/>
              </w:rPr>
            </w:pPr>
            <w:r>
              <w:rPr>
                <w:rFonts w:ascii="Arial" w:cs="Arial" w:eastAsia="Arial" w:hAnsi="Arial"/>
                <w:sz w:val="14"/>
                <w:szCs w:val="14"/>
                <w:color w:val="auto"/>
              </w:rPr>
              <w:t>—</w:t>
            </w:r>
          </w:p>
        </w:tc>
        <w:tc>
          <w:tcPr>
            <w:tcW w:w="1380" w:type="dxa"/>
            <w:vAlign w:val="bottom"/>
          </w:tcPr>
          <w:p>
            <w:pPr>
              <w:ind w:left="6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9"/>
                <w:szCs w:val="19"/>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360" w:type="dxa"/>
            <w:vAlign w:val="bottom"/>
          </w:tcPr>
          <w:p>
            <w:pPr>
              <w:ind w:left="66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left="51"/>
              <w:spacing w:after="0"/>
              <w:rPr>
                <w:sz w:val="20"/>
                <w:szCs w:val="20"/>
                <w:color w:val="auto"/>
              </w:rPr>
            </w:pPr>
            <w:r>
              <w:rPr>
                <w:rFonts w:ascii="Arial" w:cs="Arial" w:eastAsia="Arial" w:hAnsi="Arial"/>
                <w:sz w:val="14"/>
                <w:szCs w:val="14"/>
                <w:color w:val="auto"/>
                <w:w w:val="99"/>
              </w:rPr>
              <w:t>$225,000</w:t>
            </w:r>
          </w:p>
        </w:tc>
      </w:tr>
      <w:tr>
        <w:trPr>
          <w:trHeight w:val="39"/>
        </w:trPr>
        <w:tc>
          <w:tcPr>
            <w:tcW w:w="1920" w:type="dxa"/>
            <w:vAlign w:val="bottom"/>
            <w:tcBorders>
              <w:bottom w:val="single" w:sz="8" w:color="7F7F7F"/>
            </w:tcBorders>
          </w:tcPr>
          <w:p>
            <w:pPr>
              <w:spacing w:after="0"/>
              <w:rPr>
                <w:sz w:val="3"/>
                <w:szCs w:val="3"/>
                <w:color w:val="auto"/>
              </w:rPr>
            </w:pPr>
          </w:p>
        </w:tc>
        <w:tc>
          <w:tcPr>
            <w:tcW w:w="154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92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tcPr>
          <w:p>
            <w:pPr>
              <w:spacing w:after="0"/>
              <w:rPr>
                <w:sz w:val="3"/>
                <w:szCs w:val="3"/>
                <w:color w:val="auto"/>
              </w:rPr>
            </w:pPr>
          </w:p>
        </w:tc>
        <w:tc>
          <w:tcPr>
            <w:tcW w:w="13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r>
    </w:tbl>
    <w:p>
      <w:pPr>
        <w:spacing w:after="0" w:line="99" w:lineRule="exact"/>
        <w:rPr>
          <w:sz w:val="20"/>
          <w:szCs w:val="20"/>
          <w:color w:val="auto"/>
        </w:rPr>
      </w:pPr>
    </w:p>
    <w:p>
      <w:pPr>
        <w:ind w:left="304" w:hanging="304"/>
        <w:spacing w:after="0"/>
        <w:tabs>
          <w:tab w:leader="none" w:pos="304" w:val="left"/>
        </w:tabs>
        <w:numPr>
          <w:ilvl w:val="0"/>
          <w:numId w:val="25"/>
        </w:numPr>
        <w:rPr>
          <w:rFonts w:ascii="Arial" w:cs="Arial" w:eastAsia="Arial" w:hAnsi="Arial"/>
          <w:sz w:val="12"/>
          <w:szCs w:val="12"/>
          <w:color w:val="auto"/>
        </w:rPr>
      </w:pPr>
      <w:r>
        <w:rPr>
          <w:rFonts w:ascii="Arial" w:cs="Arial" w:eastAsia="Arial" w:hAnsi="Arial"/>
          <w:sz w:val="12"/>
          <w:szCs w:val="12"/>
          <w:color w:val="auto"/>
        </w:rPr>
        <w:t>Two of our directors deferred the following amounts from their 2023 cash retainer fee: Mr. Adolph – $115,000 and Ms. Duggirala – $100,000.</w:t>
      </w:r>
    </w:p>
    <w:p>
      <w:pPr>
        <w:spacing w:after="0" w:line="70" w:lineRule="exact"/>
        <w:rPr>
          <w:rFonts w:ascii="Arial" w:cs="Arial" w:eastAsia="Arial" w:hAnsi="Arial"/>
          <w:sz w:val="12"/>
          <w:szCs w:val="12"/>
          <w:color w:val="auto"/>
        </w:rPr>
      </w:pPr>
    </w:p>
    <w:p>
      <w:pPr>
        <w:ind w:left="304" w:right="100" w:hanging="304"/>
        <w:spacing w:after="0" w:line="245" w:lineRule="auto"/>
        <w:tabs>
          <w:tab w:leader="none" w:pos="304"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Represents the aggregate fair market value of grants awarded on May 17, 2023. Each director received a grant of 6,815 shares of the Company’s Class A Common Stock having a fair market value of $18.34 per share. Each of Mr. Adolph, Mr. Corona, Mr. Cubbin, Ms. Duggirala, Ms. Johnson, and Ms. Murphy deferred 100% of their 2023 annual stock grant into deferred common stock units.</w:t>
      </w:r>
    </w:p>
    <w:p>
      <w:pPr>
        <w:spacing w:after="0" w:line="54" w:lineRule="exact"/>
        <w:rPr>
          <w:sz w:val="20"/>
          <w:szCs w:val="20"/>
          <w:color w:val="auto"/>
        </w:rPr>
      </w:pPr>
    </w:p>
    <w:p>
      <w:pPr>
        <w:ind w:left="64"/>
        <w:spacing w:after="0"/>
        <w:tabs>
          <w:tab w:leader="none" w:pos="563" w:val="left"/>
        </w:tabs>
        <w:rPr>
          <w:sz w:val="20"/>
          <w:szCs w:val="20"/>
          <w:color w:val="auto"/>
        </w:rPr>
      </w:pPr>
      <w:r>
        <w:rPr>
          <w:rFonts w:ascii="Arial" w:cs="Arial" w:eastAsia="Arial" w:hAnsi="Arial"/>
          <w:sz w:val="36"/>
          <w:szCs w:val="36"/>
          <w:color w:val="auto"/>
          <w:vertAlign w:val="superscript"/>
        </w:rPr>
        <w:t>42 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-214630</wp:posOffset>
            </wp:positionV>
            <wp:extent cx="8255" cy="2228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bookmarkStart w:id="44" w:name="page45"/>
    <w:bookmarkEnd w:id="44"/>
    <w:p>
      <w:pPr>
        <w:ind w:left="4"/>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Beneficial Ownership of Shares</w:t>
      </w:r>
    </w:p>
    <w:p>
      <w:pPr>
        <w:spacing w:after="0" w:line="336" w:lineRule="exact"/>
        <w:rPr>
          <w:sz w:val="20"/>
          <w:szCs w:val="20"/>
          <w:color w:val="auto"/>
        </w:rPr>
      </w:pPr>
    </w:p>
    <w:p>
      <w:pPr>
        <w:ind w:left="4" w:right="120"/>
        <w:spacing w:after="0" w:line="246" w:lineRule="auto"/>
        <w:rPr>
          <w:sz w:val="20"/>
          <w:szCs w:val="20"/>
          <w:color w:val="auto"/>
        </w:rPr>
      </w:pPr>
      <w:r>
        <w:rPr>
          <w:rFonts w:ascii="Arial" w:cs="Arial" w:eastAsia="Arial" w:hAnsi="Arial"/>
          <w:sz w:val="16"/>
          <w:szCs w:val="16"/>
          <w:color w:val="auto"/>
        </w:rPr>
        <w:t>The following table sets forth, as of March 21, 2024, (i) the beneficial ownership of the Company’s Class B Common Stock by each person known by the Company to own beneficially more than 5% of the Class B Common Stock, and (ii) the beneficial ownership of the Company’s Class A and Class B Common Stock by (a) each director (each of whom is a nominee for election as a director at the Annual Meeting), (b) each of the named executive officers, and (c) all directors and executive officers as a group.</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3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2"/>
          </w:tcPr>
          <w:p>
            <w:pPr>
              <w:jc w:val="right"/>
              <w:ind w:right="752"/>
              <w:spacing w:after="0"/>
              <w:rPr>
                <w:sz w:val="20"/>
                <w:szCs w:val="20"/>
                <w:color w:val="auto"/>
              </w:rPr>
            </w:pPr>
            <w:r>
              <w:rPr>
                <w:rFonts w:ascii="Arial" w:cs="Arial" w:eastAsia="Arial" w:hAnsi="Arial"/>
                <w:sz w:val="14"/>
                <w:szCs w:val="14"/>
                <w:b w:val="1"/>
                <w:bCs w:val="1"/>
                <w:color w:val="0A9E50"/>
              </w:rPr>
              <w:t>Class B Common Stock</w:t>
            </w:r>
          </w:p>
        </w:tc>
        <w:tc>
          <w:tcPr>
            <w:tcW w:w="8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36"/>
        </w:trPr>
        <w:tc>
          <w:tcPr>
            <w:tcW w:w="3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80" w:type="dxa"/>
            <w:vAlign w:val="bottom"/>
            <w:gridSpan w:val="2"/>
          </w:tcPr>
          <w:p>
            <w:pPr>
              <w:jc w:val="center"/>
              <w:spacing w:after="0" w:line="136" w:lineRule="exact"/>
              <w:rPr>
                <w:sz w:val="20"/>
                <w:szCs w:val="20"/>
                <w:color w:val="auto"/>
              </w:rPr>
            </w:pPr>
            <w:r>
              <w:rPr>
                <w:rFonts w:ascii="Arial" w:cs="Arial" w:eastAsia="Arial" w:hAnsi="Arial"/>
                <w:sz w:val="14"/>
                <w:szCs w:val="14"/>
                <w:b w:val="1"/>
                <w:bCs w:val="1"/>
                <w:color w:val="0A9E50"/>
                <w:w w:val="98"/>
              </w:rPr>
              <w:t>  Number of Shares and Nature of Beneficial</w:t>
            </w:r>
          </w:p>
        </w:tc>
        <w:tc>
          <w:tcPr>
            <w:tcW w:w="1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34"/>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Greater than Five Percent Class B Stockholders</w:t>
            </w:r>
          </w:p>
        </w:tc>
        <w:tc>
          <w:tcPr>
            <w:tcW w:w="1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991"/>
              <w:spacing w:after="0"/>
              <w:rPr>
                <w:sz w:val="20"/>
                <w:szCs w:val="20"/>
                <w:color w:val="auto"/>
              </w:rPr>
            </w:pPr>
            <w:r>
              <w:rPr>
                <w:rFonts w:ascii="Arial" w:cs="Arial" w:eastAsia="Arial" w:hAnsi="Arial"/>
                <w:sz w:val="14"/>
                <w:szCs w:val="14"/>
                <w:b w:val="1"/>
                <w:bCs w:val="1"/>
                <w:color w:val="0A9E50"/>
                <w:w w:val="94"/>
              </w:rPr>
              <w:t>Ownership</w:t>
            </w:r>
            <w:r>
              <w:rPr>
                <w:rFonts w:ascii="Arial" w:cs="Arial" w:eastAsia="Arial" w:hAnsi="Arial"/>
                <w:sz w:val="20"/>
                <w:szCs w:val="20"/>
                <w:b w:val="1"/>
                <w:bCs w:val="1"/>
                <w:color w:val="0A9E50"/>
                <w:w w:val="94"/>
                <w:vertAlign w:val="superscript"/>
              </w:rPr>
              <w:t>(1)</w:t>
            </w:r>
          </w:p>
        </w:tc>
        <w:tc>
          <w:tcPr>
            <w:tcW w:w="2480" w:type="dxa"/>
            <w:vAlign w:val="bottom"/>
            <w:tcBorders>
              <w:bottom w:val="single" w:sz="8" w:color="auto"/>
            </w:tcBorders>
            <w:gridSpan w:val="2"/>
          </w:tcPr>
          <w:p>
            <w:pPr>
              <w:jc w:val="center"/>
              <w:ind w:left="652"/>
              <w:spacing w:after="0"/>
              <w:rPr>
                <w:sz w:val="20"/>
                <w:szCs w:val="20"/>
                <w:color w:val="auto"/>
              </w:rPr>
            </w:pPr>
            <w:r>
              <w:rPr>
                <w:rFonts w:ascii="Arial" w:cs="Arial" w:eastAsia="Arial" w:hAnsi="Arial"/>
                <w:sz w:val="14"/>
                <w:szCs w:val="14"/>
                <w:b w:val="1"/>
                <w:bCs w:val="1"/>
                <w:color w:val="0A9E50"/>
                <w:w w:val="93"/>
              </w:rPr>
              <w:t>            Percent of Class </w:t>
            </w: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0A9E50"/>
              </w:rPr>
              <w:t xml:space="preserve">          </w:t>
            </w:r>
          </w:p>
        </w:tc>
      </w:tr>
      <w:tr>
        <w:trPr>
          <w:trHeight w:val="219"/>
        </w:trPr>
        <w:tc>
          <w:tcPr>
            <w:tcW w:w="3340" w:type="dxa"/>
            <w:vAlign w:val="bottom"/>
          </w:tcPr>
          <w:p>
            <w:pPr>
              <w:ind w:left="60"/>
              <w:spacing w:after="0"/>
              <w:rPr>
                <w:sz w:val="20"/>
                <w:szCs w:val="20"/>
                <w:color w:val="auto"/>
              </w:rPr>
            </w:pPr>
            <w:r>
              <w:rPr>
                <w:rFonts w:ascii="Arial" w:cs="Arial" w:eastAsia="Arial" w:hAnsi="Arial"/>
                <w:sz w:val="14"/>
                <w:szCs w:val="14"/>
                <w:color w:val="auto"/>
              </w:rPr>
              <w:t>Terence E. Adderley Revocable Trust K</w:t>
            </w: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20" w:type="dxa"/>
            <w:vAlign w:val="bottom"/>
          </w:tcPr>
          <w:p>
            <w:pPr>
              <w:jc w:val="center"/>
              <w:ind w:right="971"/>
              <w:spacing w:after="0"/>
              <w:rPr>
                <w:sz w:val="20"/>
                <w:szCs w:val="20"/>
                <w:color w:val="auto"/>
              </w:rPr>
            </w:pPr>
            <w:r>
              <w:rPr>
                <w:rFonts w:ascii="Arial" w:cs="Arial" w:eastAsia="Arial" w:hAnsi="Arial"/>
                <w:sz w:val="14"/>
                <w:szCs w:val="14"/>
                <w:color w:val="auto"/>
                <w:w w:val="99"/>
              </w:rPr>
              <w:t>3,139,940</w:t>
            </w:r>
          </w:p>
        </w:tc>
        <w:tc>
          <w:tcPr>
            <w:tcW w:w="1620" w:type="dxa"/>
            <w:vAlign w:val="bottom"/>
          </w:tcPr>
          <w:p>
            <w:pPr>
              <w:spacing w:after="0"/>
              <w:rPr>
                <w:sz w:val="19"/>
                <w:szCs w:val="19"/>
                <w:color w:val="auto"/>
              </w:rPr>
            </w:pPr>
          </w:p>
        </w:tc>
        <w:tc>
          <w:tcPr>
            <w:tcW w:w="860" w:type="dxa"/>
            <w:vAlign w:val="bottom"/>
          </w:tcPr>
          <w:p>
            <w:pPr>
              <w:jc w:val="right"/>
              <w:ind w:right="311"/>
              <w:spacing w:after="0"/>
              <w:rPr>
                <w:sz w:val="20"/>
                <w:szCs w:val="20"/>
                <w:color w:val="auto"/>
              </w:rPr>
            </w:pPr>
            <w:r>
              <w:rPr>
                <w:rFonts w:ascii="Arial" w:cs="Arial" w:eastAsia="Arial" w:hAnsi="Arial"/>
                <w:sz w:val="14"/>
                <w:szCs w:val="14"/>
                <w:color w:val="auto"/>
              </w:rPr>
              <w:t>94.5%</w:t>
            </w:r>
          </w:p>
        </w:tc>
        <w:tc>
          <w:tcPr>
            <w:tcW w:w="620" w:type="dxa"/>
            <w:vAlign w:val="bottom"/>
          </w:tcPr>
          <w:p>
            <w:pPr>
              <w:spacing w:after="0"/>
              <w:rPr>
                <w:sz w:val="19"/>
                <w:szCs w:val="19"/>
                <w:color w:val="auto"/>
              </w:rPr>
            </w:pPr>
          </w:p>
        </w:tc>
      </w:tr>
      <w:tr>
        <w:trPr>
          <w:trHeight w:val="47"/>
        </w:trPr>
        <w:tc>
          <w:tcPr>
            <w:tcW w:w="334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3080" w:type="dxa"/>
            <w:vAlign w:val="bottom"/>
            <w:tcBorders>
              <w:bottom w:val="single" w:sz="8" w:color="7F7F7F"/>
            </w:tcBorders>
            <w:gridSpan w:val="2"/>
          </w:tcPr>
          <w:p>
            <w:pPr>
              <w:spacing w:after="0"/>
              <w:rPr>
                <w:sz w:val="4"/>
                <w:szCs w:val="4"/>
                <w:color w:val="auto"/>
              </w:rPr>
            </w:pPr>
          </w:p>
        </w:tc>
        <w:tc>
          <w:tcPr>
            <w:tcW w:w="2480" w:type="dxa"/>
            <w:vAlign w:val="bottom"/>
            <w:tcBorders>
              <w:bottom w:val="single" w:sz="8" w:color="7F7F7F"/>
            </w:tcBorders>
            <w:gridSpan w:val="2"/>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r>
      <w:tr>
        <w:trPr>
          <w:trHeight w:val="383"/>
        </w:trPr>
        <w:tc>
          <w:tcPr>
            <w:tcW w:w="33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jc w:val="right"/>
              <w:ind w:right="1251"/>
              <w:spacing w:after="0"/>
              <w:rPr>
                <w:sz w:val="20"/>
                <w:szCs w:val="20"/>
                <w:color w:val="auto"/>
              </w:rPr>
            </w:pPr>
            <w:r>
              <w:rPr>
                <w:rFonts w:ascii="Arial" w:cs="Arial" w:eastAsia="Arial" w:hAnsi="Arial"/>
                <w:sz w:val="14"/>
                <w:szCs w:val="14"/>
                <w:b w:val="1"/>
                <w:bCs w:val="1"/>
                <w:color w:val="0A9E50"/>
              </w:rPr>
              <w:t>Class A Common Stock</w:t>
            </w:r>
          </w:p>
        </w:tc>
        <w:tc>
          <w:tcPr>
            <w:tcW w:w="2480" w:type="dxa"/>
            <w:vAlign w:val="bottom"/>
            <w:tcBorders>
              <w:bottom w:val="single" w:sz="8" w:color="auto"/>
            </w:tcBorders>
            <w:gridSpan w:val="2"/>
          </w:tcPr>
          <w:p>
            <w:pPr>
              <w:jc w:val="center"/>
              <w:ind w:left="612"/>
              <w:spacing w:after="0"/>
              <w:rPr>
                <w:sz w:val="20"/>
                <w:szCs w:val="20"/>
                <w:color w:val="auto"/>
              </w:rPr>
            </w:pPr>
            <w:r>
              <w:rPr>
                <w:rFonts w:ascii="Arial" w:cs="Arial" w:eastAsia="Arial" w:hAnsi="Arial"/>
                <w:sz w:val="14"/>
                <w:szCs w:val="14"/>
                <w:b w:val="1"/>
                <w:bCs w:val="1"/>
                <w:color w:val="0A9E50"/>
                <w:w w:val="98"/>
              </w:rPr>
              <w:t>Class B Common Stock</w:t>
            </w:r>
          </w:p>
        </w:tc>
        <w:tc>
          <w:tcPr>
            <w:tcW w:w="620" w:type="dxa"/>
            <w:vAlign w:val="bottom"/>
            <w:tcBorders>
              <w:bottom w:val="single" w:sz="8" w:color="auto"/>
            </w:tcBorders>
          </w:tcPr>
          <w:p>
            <w:pPr>
              <w:spacing w:after="0"/>
              <w:rPr>
                <w:sz w:val="24"/>
                <w:szCs w:val="24"/>
                <w:color w:val="auto"/>
              </w:rPr>
            </w:pPr>
          </w:p>
        </w:tc>
      </w:tr>
      <w:tr>
        <w:trPr>
          <w:trHeight w:val="140"/>
        </w:trPr>
        <w:tc>
          <w:tcPr>
            <w:tcW w:w="3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Pr>
          <w:p>
            <w:pPr>
              <w:jc w:val="center"/>
              <w:ind w:right="476"/>
              <w:spacing w:after="0"/>
              <w:rPr>
                <w:sz w:val="20"/>
                <w:szCs w:val="20"/>
                <w:color w:val="auto"/>
              </w:rPr>
            </w:pPr>
            <w:r>
              <w:rPr>
                <w:rFonts w:ascii="Arial" w:cs="Arial" w:eastAsia="Arial" w:hAnsi="Arial"/>
                <w:sz w:val="10"/>
                <w:szCs w:val="10"/>
                <w:b w:val="1"/>
                <w:bCs w:val="1"/>
                <w:color w:val="0A9E50"/>
                <w:w w:val="79"/>
              </w:rPr>
              <w:t> </w:t>
            </w:r>
          </w:p>
        </w:tc>
        <w:tc>
          <w:tcPr>
            <w:tcW w:w="20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0"/>
                <w:szCs w:val="10"/>
                <w:b w:val="1"/>
                <w:bCs w:val="1"/>
                <w:color w:val="0A9E50"/>
                <w:w w:val="79"/>
              </w:rPr>
              <w:t> </w:t>
            </w: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6"/>
        </w:trPr>
        <w:tc>
          <w:tcPr>
            <w:tcW w:w="3340" w:type="dxa"/>
            <w:vAlign w:val="bottom"/>
          </w:tcPr>
          <w:p>
            <w:pPr>
              <w:spacing w:after="0"/>
              <w:rPr>
                <w:sz w:val="13"/>
                <w:szCs w:val="13"/>
                <w:color w:val="auto"/>
              </w:rPr>
            </w:pPr>
          </w:p>
        </w:tc>
        <w:tc>
          <w:tcPr>
            <w:tcW w:w="2160" w:type="dxa"/>
            <w:vAlign w:val="bottom"/>
            <w:gridSpan w:val="2"/>
          </w:tcPr>
          <w:p>
            <w:pPr>
              <w:jc w:val="right"/>
              <w:ind w:right="16"/>
              <w:spacing w:after="0" w:line="156" w:lineRule="exact"/>
              <w:rPr>
                <w:sz w:val="20"/>
                <w:szCs w:val="20"/>
                <w:color w:val="auto"/>
              </w:rPr>
            </w:pPr>
            <w:r>
              <w:rPr>
                <w:rFonts w:ascii="Arial" w:cs="Arial" w:eastAsia="Arial" w:hAnsi="Arial"/>
                <w:sz w:val="14"/>
                <w:szCs w:val="14"/>
                <w:b w:val="1"/>
                <w:bCs w:val="1"/>
                <w:color w:val="0A9E50"/>
              </w:rPr>
              <w:t>Number of Shares and</w:t>
            </w:r>
          </w:p>
        </w:tc>
        <w:tc>
          <w:tcPr>
            <w:tcW w:w="2020" w:type="dxa"/>
            <w:vAlign w:val="bottom"/>
          </w:tcPr>
          <w:p>
            <w:pPr>
              <w:jc w:val="right"/>
              <w:ind w:right="931"/>
              <w:spacing w:after="0" w:line="156" w:lineRule="exact"/>
              <w:rPr>
                <w:sz w:val="20"/>
                <w:szCs w:val="20"/>
                <w:color w:val="auto"/>
              </w:rPr>
            </w:pPr>
            <w:r>
              <w:rPr>
                <w:rFonts w:ascii="Arial" w:cs="Arial" w:eastAsia="Arial" w:hAnsi="Arial"/>
                <w:sz w:val="14"/>
                <w:szCs w:val="14"/>
                <w:b w:val="1"/>
                <w:bCs w:val="1"/>
                <w:color w:val="0A9E50"/>
              </w:rPr>
              <w:t> </w:t>
            </w:r>
          </w:p>
        </w:tc>
        <w:tc>
          <w:tcPr>
            <w:tcW w:w="1620" w:type="dxa"/>
            <w:vAlign w:val="bottom"/>
          </w:tcPr>
          <w:p>
            <w:pPr>
              <w:jc w:val="right"/>
              <w:spacing w:after="0" w:line="156" w:lineRule="exact"/>
              <w:rPr>
                <w:sz w:val="20"/>
                <w:szCs w:val="20"/>
                <w:color w:val="auto"/>
              </w:rPr>
            </w:pPr>
            <w:r>
              <w:rPr>
                <w:rFonts w:ascii="Arial" w:cs="Arial" w:eastAsia="Arial" w:hAnsi="Arial"/>
                <w:sz w:val="14"/>
                <w:szCs w:val="14"/>
                <w:b w:val="1"/>
                <w:bCs w:val="1"/>
                <w:color w:val="0A9E50"/>
              </w:rPr>
              <w:t>Number of Shares and</w:t>
            </w:r>
          </w:p>
        </w:tc>
        <w:tc>
          <w:tcPr>
            <w:tcW w:w="860" w:type="dxa"/>
            <w:vAlign w:val="bottom"/>
          </w:tcPr>
          <w:p>
            <w:pPr>
              <w:spacing w:after="0"/>
              <w:rPr>
                <w:sz w:val="13"/>
                <w:szCs w:val="13"/>
                <w:color w:val="auto"/>
              </w:rPr>
            </w:pPr>
          </w:p>
        </w:tc>
        <w:tc>
          <w:tcPr>
            <w:tcW w:w="620" w:type="dxa"/>
            <w:vAlign w:val="bottom"/>
          </w:tcPr>
          <w:p>
            <w:pPr>
              <w:jc w:val="right"/>
              <w:ind w:right="311"/>
              <w:spacing w:after="0" w:line="156" w:lineRule="exact"/>
              <w:rPr>
                <w:sz w:val="20"/>
                <w:szCs w:val="20"/>
                <w:color w:val="auto"/>
              </w:rPr>
            </w:pPr>
            <w:r>
              <w:rPr>
                <w:rFonts w:ascii="Arial" w:cs="Arial" w:eastAsia="Arial" w:hAnsi="Arial"/>
                <w:sz w:val="14"/>
                <w:szCs w:val="14"/>
                <w:b w:val="1"/>
                <w:bCs w:val="1"/>
                <w:color w:val="0A9E50"/>
              </w:rPr>
              <w:t> </w:t>
            </w:r>
          </w:p>
        </w:tc>
      </w:tr>
      <w:tr>
        <w:trPr>
          <w:trHeight w:val="156"/>
        </w:trPr>
        <w:tc>
          <w:tcPr>
            <w:tcW w:w="3340" w:type="dxa"/>
            <w:vAlign w:val="bottom"/>
          </w:tcPr>
          <w:p>
            <w:pPr>
              <w:spacing w:after="0"/>
              <w:rPr>
                <w:sz w:val="13"/>
                <w:szCs w:val="13"/>
                <w:color w:val="auto"/>
              </w:rPr>
            </w:pPr>
          </w:p>
        </w:tc>
        <w:tc>
          <w:tcPr>
            <w:tcW w:w="2160" w:type="dxa"/>
            <w:vAlign w:val="bottom"/>
            <w:gridSpan w:val="2"/>
          </w:tcPr>
          <w:p>
            <w:pPr>
              <w:jc w:val="center"/>
              <w:ind w:left="511"/>
              <w:spacing w:after="0" w:line="156" w:lineRule="exact"/>
              <w:rPr>
                <w:sz w:val="20"/>
                <w:szCs w:val="20"/>
                <w:color w:val="auto"/>
              </w:rPr>
            </w:pPr>
            <w:r>
              <w:rPr>
                <w:rFonts w:ascii="Arial" w:cs="Arial" w:eastAsia="Arial" w:hAnsi="Arial"/>
                <w:sz w:val="14"/>
                <w:szCs w:val="14"/>
                <w:b w:val="1"/>
                <w:bCs w:val="1"/>
                <w:color w:val="0A9E50"/>
                <w:w w:val="98"/>
              </w:rPr>
              <w:t>Nature of Beneficial</w:t>
            </w:r>
          </w:p>
        </w:tc>
        <w:tc>
          <w:tcPr>
            <w:tcW w:w="2020" w:type="dxa"/>
            <w:vAlign w:val="bottom"/>
          </w:tcPr>
          <w:p>
            <w:pPr>
              <w:jc w:val="right"/>
              <w:ind w:right="631"/>
              <w:spacing w:after="0" w:line="156" w:lineRule="exact"/>
              <w:rPr>
                <w:sz w:val="20"/>
                <w:szCs w:val="20"/>
                <w:color w:val="auto"/>
              </w:rPr>
            </w:pPr>
            <w:r>
              <w:rPr>
                <w:rFonts w:ascii="Arial" w:cs="Arial" w:eastAsia="Arial" w:hAnsi="Arial"/>
                <w:sz w:val="14"/>
                <w:szCs w:val="14"/>
                <w:b w:val="1"/>
                <w:bCs w:val="1"/>
                <w:color w:val="0A9E50"/>
              </w:rPr>
              <w:t>Percent of</w:t>
            </w:r>
          </w:p>
        </w:tc>
        <w:tc>
          <w:tcPr>
            <w:tcW w:w="1620" w:type="dxa"/>
            <w:vAlign w:val="bottom"/>
          </w:tcPr>
          <w:p>
            <w:pPr>
              <w:jc w:val="center"/>
              <w:ind w:left="12"/>
              <w:spacing w:after="0" w:line="156" w:lineRule="exact"/>
              <w:rPr>
                <w:sz w:val="20"/>
                <w:szCs w:val="20"/>
                <w:color w:val="auto"/>
              </w:rPr>
            </w:pPr>
            <w:r>
              <w:rPr>
                <w:rFonts w:ascii="Arial" w:cs="Arial" w:eastAsia="Arial" w:hAnsi="Arial"/>
                <w:sz w:val="14"/>
                <w:szCs w:val="14"/>
                <w:b w:val="1"/>
                <w:bCs w:val="1"/>
                <w:color w:val="0A9E50"/>
                <w:w w:val="98"/>
              </w:rPr>
              <w:t>Nature of Beneficial</w:t>
            </w:r>
          </w:p>
        </w:tc>
        <w:tc>
          <w:tcPr>
            <w:tcW w:w="1480" w:type="dxa"/>
            <w:vAlign w:val="bottom"/>
            <w:gridSpan w:val="2"/>
          </w:tcPr>
          <w:p>
            <w:pPr>
              <w:jc w:val="right"/>
              <w:ind w:right="11"/>
              <w:spacing w:after="0" w:line="156" w:lineRule="exact"/>
              <w:rPr>
                <w:sz w:val="20"/>
                <w:szCs w:val="20"/>
                <w:color w:val="auto"/>
              </w:rPr>
            </w:pPr>
            <w:r>
              <w:rPr>
                <w:rFonts w:ascii="Arial" w:cs="Arial" w:eastAsia="Arial" w:hAnsi="Arial"/>
                <w:sz w:val="14"/>
                <w:szCs w:val="14"/>
                <w:b w:val="1"/>
                <w:bCs w:val="1"/>
                <w:color w:val="0A9E50"/>
              </w:rPr>
              <w:t>Percent of</w:t>
            </w:r>
          </w:p>
        </w:tc>
      </w:tr>
      <w:tr>
        <w:trPr>
          <w:trHeight w:val="192"/>
        </w:trPr>
        <w:tc>
          <w:tcPr>
            <w:tcW w:w="3340" w:type="dxa"/>
            <w:vAlign w:val="bottom"/>
          </w:tcPr>
          <w:p>
            <w:pPr>
              <w:spacing w:after="0"/>
              <w:rPr>
                <w:sz w:val="20"/>
                <w:szCs w:val="20"/>
                <w:color w:val="auto"/>
              </w:rPr>
            </w:pPr>
            <w:r>
              <w:rPr>
                <w:rFonts w:ascii="Arial" w:cs="Arial" w:eastAsia="Arial" w:hAnsi="Arial"/>
                <w:sz w:val="14"/>
                <w:szCs w:val="14"/>
                <w:b w:val="1"/>
                <w:bCs w:val="1"/>
                <w:color w:val="0A9E50"/>
              </w:rPr>
              <w:t>Directors and Named Executive Officers</w:t>
            </w:r>
          </w:p>
        </w:tc>
        <w:tc>
          <w:tcPr>
            <w:tcW w:w="2160" w:type="dxa"/>
            <w:vAlign w:val="bottom"/>
            <w:gridSpan w:val="2"/>
          </w:tcPr>
          <w:p>
            <w:pPr>
              <w:jc w:val="center"/>
              <w:ind w:left="531"/>
              <w:spacing w:after="0"/>
              <w:rPr>
                <w:sz w:val="20"/>
                <w:szCs w:val="20"/>
                <w:color w:val="auto"/>
              </w:rPr>
            </w:pPr>
            <w:r>
              <w:rPr>
                <w:rFonts w:ascii="Arial" w:cs="Arial" w:eastAsia="Arial" w:hAnsi="Arial"/>
                <w:sz w:val="14"/>
                <w:szCs w:val="14"/>
                <w:b w:val="1"/>
                <w:bCs w:val="1"/>
                <w:color w:val="0A9E50"/>
                <w:w w:val="99"/>
              </w:rPr>
              <w:t>Ownership</w:t>
            </w:r>
          </w:p>
        </w:tc>
        <w:tc>
          <w:tcPr>
            <w:tcW w:w="2020" w:type="dxa"/>
            <w:vAlign w:val="bottom"/>
          </w:tcPr>
          <w:p>
            <w:pPr>
              <w:jc w:val="right"/>
              <w:ind w:right="751"/>
              <w:spacing w:after="0"/>
              <w:rPr>
                <w:sz w:val="20"/>
                <w:szCs w:val="20"/>
                <w:color w:val="auto"/>
              </w:rPr>
            </w:pPr>
            <w:r>
              <w:rPr>
                <w:rFonts w:ascii="Arial" w:cs="Arial" w:eastAsia="Arial" w:hAnsi="Arial"/>
                <w:sz w:val="14"/>
                <w:szCs w:val="14"/>
                <w:b w:val="1"/>
                <w:bCs w:val="1"/>
                <w:color w:val="0A9E50"/>
              </w:rPr>
              <w:t>Class</w:t>
            </w:r>
          </w:p>
        </w:tc>
        <w:tc>
          <w:tcPr>
            <w:tcW w:w="1620" w:type="dxa"/>
            <w:vAlign w:val="bottom"/>
          </w:tcPr>
          <w:p>
            <w:pPr>
              <w:jc w:val="center"/>
              <w:ind w:left="32"/>
              <w:spacing w:after="0"/>
              <w:rPr>
                <w:sz w:val="20"/>
                <w:szCs w:val="20"/>
                <w:color w:val="auto"/>
              </w:rPr>
            </w:pPr>
            <w:r>
              <w:rPr>
                <w:rFonts w:ascii="Arial" w:cs="Arial" w:eastAsia="Arial" w:hAnsi="Arial"/>
                <w:sz w:val="14"/>
                <w:szCs w:val="14"/>
                <w:b w:val="1"/>
                <w:bCs w:val="1"/>
                <w:color w:val="0A9E50"/>
                <w:w w:val="99"/>
              </w:rPr>
              <w:t>Ownership</w:t>
            </w:r>
          </w:p>
        </w:tc>
        <w:tc>
          <w:tcPr>
            <w:tcW w:w="860" w:type="dxa"/>
            <w:vAlign w:val="bottom"/>
          </w:tcPr>
          <w:p>
            <w:pPr>
              <w:spacing w:after="0"/>
              <w:rPr>
                <w:sz w:val="16"/>
                <w:szCs w:val="16"/>
                <w:color w:val="auto"/>
              </w:rPr>
            </w:pPr>
          </w:p>
        </w:tc>
        <w:tc>
          <w:tcPr>
            <w:tcW w:w="620" w:type="dxa"/>
            <w:vAlign w:val="bottom"/>
          </w:tcPr>
          <w:p>
            <w:pPr>
              <w:jc w:val="right"/>
              <w:ind w:right="131"/>
              <w:spacing w:after="0"/>
              <w:rPr>
                <w:sz w:val="20"/>
                <w:szCs w:val="20"/>
                <w:color w:val="auto"/>
              </w:rPr>
            </w:pPr>
            <w:r>
              <w:rPr>
                <w:rFonts w:ascii="Arial" w:cs="Arial" w:eastAsia="Arial" w:hAnsi="Arial"/>
                <w:sz w:val="14"/>
                <w:szCs w:val="14"/>
                <w:b w:val="1"/>
                <w:bCs w:val="1"/>
                <w:color w:val="0A9E50"/>
              </w:rPr>
              <w:t>Class</w:t>
            </w:r>
          </w:p>
        </w:tc>
      </w:tr>
      <w:tr>
        <w:trPr>
          <w:trHeight w:val="39"/>
        </w:trPr>
        <w:tc>
          <w:tcPr>
            <w:tcW w:w="3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27"/>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Directors:</w:t>
            </w: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9"/>
        </w:trPr>
        <w:tc>
          <w:tcPr>
            <w:tcW w:w="3340" w:type="dxa"/>
            <w:vAlign w:val="bottom"/>
            <w:tcBorders>
              <w:bottom w:val="single" w:sz="8" w:color="7F7F7F"/>
            </w:tcBorders>
          </w:tcPr>
          <w:p>
            <w:pPr>
              <w:spacing w:after="0"/>
              <w:rPr>
                <w:sz w:val="3"/>
                <w:szCs w:val="3"/>
                <w:color w:val="auto"/>
              </w:rPr>
            </w:pPr>
          </w:p>
        </w:tc>
        <w:tc>
          <w:tcPr>
            <w:tcW w:w="2160" w:type="dxa"/>
            <w:vAlign w:val="bottom"/>
            <w:tcBorders>
              <w:bottom w:val="single" w:sz="8" w:color="7F7F7F"/>
            </w:tcBorders>
            <w:gridSpan w:val="2"/>
          </w:tcPr>
          <w:p>
            <w:pPr>
              <w:spacing w:after="0"/>
              <w:rPr>
                <w:sz w:val="3"/>
                <w:szCs w:val="3"/>
                <w:color w:val="auto"/>
              </w:rPr>
            </w:pPr>
          </w:p>
        </w:tc>
        <w:tc>
          <w:tcPr>
            <w:tcW w:w="2020" w:type="dxa"/>
            <w:vAlign w:val="bottom"/>
            <w:tcBorders>
              <w:bottom w:val="single" w:sz="8" w:color="7F7F7F"/>
            </w:tcBorders>
          </w:tcPr>
          <w:p>
            <w:pPr>
              <w:spacing w:after="0"/>
              <w:rPr>
                <w:sz w:val="3"/>
                <w:szCs w:val="3"/>
                <w:color w:val="auto"/>
              </w:rPr>
            </w:pPr>
          </w:p>
        </w:tc>
        <w:tc>
          <w:tcPr>
            <w:tcW w:w="162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r>
      <w:tr>
        <w:trPr>
          <w:trHeight w:val="266"/>
        </w:trPr>
        <w:tc>
          <w:tcPr>
            <w:tcW w:w="334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auto"/>
              </w:rPr>
              <w:t>Gerald S. Adolph</w:t>
            </w:r>
          </w:p>
        </w:tc>
        <w:tc>
          <w:tcPr>
            <w:tcW w:w="2160" w:type="dxa"/>
            <w:vAlign w:val="bottom"/>
            <w:tcBorders>
              <w:bottom w:val="single" w:sz="8" w:color="7F7F7F"/>
            </w:tcBorders>
            <w:gridSpan w:val="2"/>
          </w:tcPr>
          <w:p>
            <w:pPr>
              <w:jc w:val="right"/>
              <w:ind w:right="36"/>
              <w:spacing w:after="0"/>
              <w:rPr>
                <w:sz w:val="20"/>
                <w:szCs w:val="20"/>
                <w:color w:val="auto"/>
              </w:rPr>
            </w:pPr>
            <w:r>
              <w:rPr>
                <w:rFonts w:ascii="Arial" w:cs="Arial" w:eastAsia="Arial" w:hAnsi="Arial"/>
                <w:sz w:val="14"/>
                <w:szCs w:val="14"/>
                <w:color w:val="auto"/>
              </w:rPr>
              <w:t>47,559</w:t>
            </w:r>
            <w:r>
              <w:rPr>
                <w:rFonts w:ascii="Arial" w:cs="Arial" w:eastAsia="Arial" w:hAnsi="Arial"/>
                <w:sz w:val="20"/>
                <w:szCs w:val="20"/>
                <w:color w:val="auto"/>
                <w:vertAlign w:val="superscript"/>
              </w:rPr>
              <w:t>(2)</w:t>
            </w:r>
          </w:p>
        </w:tc>
        <w:tc>
          <w:tcPr>
            <w:tcW w:w="2020" w:type="dxa"/>
            <w:vAlign w:val="bottom"/>
            <w:tcBorders>
              <w:bottom w:val="single" w:sz="8" w:color="7F7F7F"/>
            </w:tcBorders>
          </w:tcPr>
          <w:p>
            <w:pPr>
              <w:jc w:val="right"/>
              <w:ind w:right="771"/>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7F7F7F"/>
            </w:tcBorders>
          </w:tcPr>
          <w:p>
            <w:pPr>
              <w:jc w:val="right"/>
              <w:ind w:right="472"/>
              <w:spacing w:after="0"/>
              <w:rPr>
                <w:sz w:val="20"/>
                <w:szCs w:val="20"/>
                <w:color w:val="auto"/>
              </w:rPr>
            </w:pPr>
            <w:r>
              <w:rPr>
                <w:rFonts w:ascii="Arial" w:cs="Arial" w:eastAsia="Arial" w:hAnsi="Arial"/>
                <w:sz w:val="14"/>
                <w:szCs w:val="14"/>
                <w:color w:val="auto"/>
              </w:rPr>
              <w:t>100</w:t>
            </w:r>
          </w:p>
        </w:tc>
        <w:tc>
          <w:tcPr>
            <w:tcW w:w="860" w:type="dxa"/>
            <w:vAlign w:val="bottom"/>
            <w:tcBorders>
              <w:bottom w:val="single" w:sz="8" w:color="7F7F7F"/>
            </w:tcBorders>
          </w:tcPr>
          <w:p>
            <w:pPr>
              <w:spacing w:after="0"/>
              <w:rPr>
                <w:sz w:val="23"/>
                <w:szCs w:val="23"/>
                <w:color w:val="auto"/>
              </w:rPr>
            </w:pPr>
          </w:p>
        </w:tc>
        <w:tc>
          <w:tcPr>
            <w:tcW w:w="620" w:type="dxa"/>
            <w:vAlign w:val="bottom"/>
            <w:tcBorders>
              <w:bottom w:val="single" w:sz="8" w:color="7F7F7F"/>
            </w:tcBorders>
          </w:tcPr>
          <w:p>
            <w:pPr>
              <w:jc w:val="right"/>
              <w:ind w:right="151"/>
              <w:spacing w:after="0"/>
              <w:rPr>
                <w:sz w:val="20"/>
                <w:szCs w:val="20"/>
                <w:color w:val="auto"/>
              </w:rPr>
            </w:pPr>
            <w:r>
              <w:rPr>
                <w:rFonts w:ascii="Arial" w:cs="Arial" w:eastAsia="Arial" w:hAnsi="Arial"/>
                <w:sz w:val="14"/>
                <w:szCs w:val="14"/>
                <w:color w:val="auto"/>
              </w:rPr>
              <w:t>*</w:t>
            </w:r>
          </w:p>
        </w:tc>
      </w:tr>
      <w:tr>
        <w:trPr>
          <w:trHeight w:val="266"/>
        </w:trPr>
        <w:tc>
          <w:tcPr>
            <w:tcW w:w="334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auto"/>
              </w:rPr>
              <w:t>George S. Corona</w:t>
            </w:r>
          </w:p>
        </w:tc>
        <w:tc>
          <w:tcPr>
            <w:tcW w:w="2160" w:type="dxa"/>
            <w:vAlign w:val="bottom"/>
            <w:tcBorders>
              <w:bottom w:val="single" w:sz="8" w:color="7F7F7F"/>
            </w:tcBorders>
            <w:gridSpan w:val="2"/>
          </w:tcPr>
          <w:p>
            <w:pPr>
              <w:jc w:val="right"/>
              <w:ind w:right="36"/>
              <w:spacing w:after="0"/>
              <w:rPr>
                <w:sz w:val="20"/>
                <w:szCs w:val="20"/>
                <w:color w:val="auto"/>
              </w:rPr>
            </w:pPr>
            <w:r>
              <w:rPr>
                <w:rFonts w:ascii="Arial" w:cs="Arial" w:eastAsia="Arial" w:hAnsi="Arial"/>
                <w:sz w:val="14"/>
                <w:szCs w:val="14"/>
                <w:color w:val="auto"/>
              </w:rPr>
              <w:t>92,886</w:t>
            </w:r>
            <w:r>
              <w:rPr>
                <w:rFonts w:ascii="Arial" w:cs="Arial" w:eastAsia="Arial" w:hAnsi="Arial"/>
                <w:sz w:val="20"/>
                <w:szCs w:val="20"/>
                <w:color w:val="auto"/>
                <w:vertAlign w:val="superscript"/>
              </w:rPr>
              <w:t>(2)</w:t>
            </w:r>
          </w:p>
        </w:tc>
        <w:tc>
          <w:tcPr>
            <w:tcW w:w="2020" w:type="dxa"/>
            <w:vAlign w:val="bottom"/>
            <w:tcBorders>
              <w:bottom w:val="single" w:sz="8" w:color="7F7F7F"/>
            </w:tcBorders>
          </w:tcPr>
          <w:p>
            <w:pPr>
              <w:jc w:val="right"/>
              <w:ind w:right="771"/>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7F7F7F"/>
            </w:tcBorders>
          </w:tcPr>
          <w:p>
            <w:pPr>
              <w:jc w:val="right"/>
              <w:ind w:right="472"/>
              <w:spacing w:after="0"/>
              <w:rPr>
                <w:sz w:val="20"/>
                <w:szCs w:val="20"/>
                <w:color w:val="auto"/>
              </w:rPr>
            </w:pPr>
            <w:r>
              <w:rPr>
                <w:rFonts w:ascii="Arial" w:cs="Arial" w:eastAsia="Arial" w:hAnsi="Arial"/>
                <w:sz w:val="14"/>
                <w:szCs w:val="14"/>
                <w:color w:val="auto"/>
              </w:rPr>
              <w:t>100</w:t>
            </w:r>
          </w:p>
        </w:tc>
        <w:tc>
          <w:tcPr>
            <w:tcW w:w="860" w:type="dxa"/>
            <w:vAlign w:val="bottom"/>
            <w:tcBorders>
              <w:bottom w:val="single" w:sz="8" w:color="7F7F7F"/>
            </w:tcBorders>
          </w:tcPr>
          <w:p>
            <w:pPr>
              <w:spacing w:after="0"/>
              <w:rPr>
                <w:sz w:val="23"/>
                <w:szCs w:val="23"/>
                <w:color w:val="auto"/>
              </w:rPr>
            </w:pPr>
          </w:p>
        </w:tc>
        <w:tc>
          <w:tcPr>
            <w:tcW w:w="620" w:type="dxa"/>
            <w:vAlign w:val="bottom"/>
            <w:tcBorders>
              <w:bottom w:val="single" w:sz="8" w:color="7F7F7F"/>
            </w:tcBorders>
          </w:tcPr>
          <w:p>
            <w:pPr>
              <w:jc w:val="right"/>
              <w:ind w:right="151"/>
              <w:spacing w:after="0"/>
              <w:rPr>
                <w:sz w:val="20"/>
                <w:szCs w:val="20"/>
                <w:color w:val="auto"/>
              </w:rPr>
            </w:pPr>
            <w:r>
              <w:rPr>
                <w:rFonts w:ascii="Arial" w:cs="Arial" w:eastAsia="Arial" w:hAnsi="Arial"/>
                <w:sz w:val="14"/>
                <w:szCs w:val="14"/>
                <w:color w:val="auto"/>
              </w:rPr>
              <w:t>*</w:t>
            </w:r>
          </w:p>
        </w:tc>
      </w:tr>
      <w:tr>
        <w:trPr>
          <w:trHeight w:val="266"/>
        </w:trPr>
        <w:tc>
          <w:tcPr>
            <w:tcW w:w="334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auto"/>
              </w:rPr>
              <w:t>Robert S. Cubbin</w:t>
            </w:r>
          </w:p>
        </w:tc>
        <w:tc>
          <w:tcPr>
            <w:tcW w:w="2160" w:type="dxa"/>
            <w:vAlign w:val="bottom"/>
            <w:tcBorders>
              <w:bottom w:val="single" w:sz="8" w:color="7F7F7F"/>
            </w:tcBorders>
            <w:gridSpan w:val="2"/>
          </w:tcPr>
          <w:p>
            <w:pPr>
              <w:jc w:val="right"/>
              <w:ind w:right="36"/>
              <w:spacing w:after="0"/>
              <w:rPr>
                <w:sz w:val="20"/>
                <w:szCs w:val="20"/>
                <w:color w:val="auto"/>
              </w:rPr>
            </w:pPr>
            <w:r>
              <w:rPr>
                <w:rFonts w:ascii="Arial" w:cs="Arial" w:eastAsia="Arial" w:hAnsi="Arial"/>
                <w:sz w:val="14"/>
                <w:szCs w:val="14"/>
                <w:color w:val="auto"/>
              </w:rPr>
              <w:t>54,125</w:t>
            </w:r>
            <w:r>
              <w:rPr>
                <w:rFonts w:ascii="Arial" w:cs="Arial" w:eastAsia="Arial" w:hAnsi="Arial"/>
                <w:sz w:val="20"/>
                <w:szCs w:val="20"/>
                <w:color w:val="auto"/>
                <w:vertAlign w:val="superscript"/>
              </w:rPr>
              <w:t>(2)</w:t>
            </w:r>
          </w:p>
        </w:tc>
        <w:tc>
          <w:tcPr>
            <w:tcW w:w="2020" w:type="dxa"/>
            <w:vAlign w:val="bottom"/>
            <w:tcBorders>
              <w:bottom w:val="single" w:sz="8" w:color="7F7F7F"/>
            </w:tcBorders>
          </w:tcPr>
          <w:p>
            <w:pPr>
              <w:jc w:val="right"/>
              <w:ind w:right="771"/>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7F7F7F"/>
            </w:tcBorders>
          </w:tcPr>
          <w:p>
            <w:pPr>
              <w:jc w:val="right"/>
              <w:ind w:right="472"/>
              <w:spacing w:after="0"/>
              <w:rPr>
                <w:sz w:val="20"/>
                <w:szCs w:val="20"/>
                <w:color w:val="auto"/>
              </w:rPr>
            </w:pPr>
            <w:r>
              <w:rPr>
                <w:rFonts w:ascii="Arial" w:cs="Arial" w:eastAsia="Arial" w:hAnsi="Arial"/>
                <w:sz w:val="14"/>
                <w:szCs w:val="14"/>
                <w:color w:val="auto"/>
              </w:rPr>
              <w:t>100</w:t>
            </w:r>
          </w:p>
        </w:tc>
        <w:tc>
          <w:tcPr>
            <w:tcW w:w="860" w:type="dxa"/>
            <w:vAlign w:val="bottom"/>
            <w:tcBorders>
              <w:bottom w:val="single" w:sz="8" w:color="7F7F7F"/>
            </w:tcBorders>
          </w:tcPr>
          <w:p>
            <w:pPr>
              <w:spacing w:after="0"/>
              <w:rPr>
                <w:sz w:val="23"/>
                <w:szCs w:val="23"/>
                <w:color w:val="auto"/>
              </w:rPr>
            </w:pPr>
          </w:p>
        </w:tc>
        <w:tc>
          <w:tcPr>
            <w:tcW w:w="620" w:type="dxa"/>
            <w:vAlign w:val="bottom"/>
            <w:tcBorders>
              <w:bottom w:val="single" w:sz="8" w:color="7F7F7F"/>
            </w:tcBorders>
          </w:tcPr>
          <w:p>
            <w:pPr>
              <w:jc w:val="right"/>
              <w:ind w:right="151"/>
              <w:spacing w:after="0"/>
              <w:rPr>
                <w:sz w:val="20"/>
                <w:szCs w:val="20"/>
                <w:color w:val="auto"/>
              </w:rPr>
            </w:pPr>
            <w:r>
              <w:rPr>
                <w:rFonts w:ascii="Arial" w:cs="Arial" w:eastAsia="Arial" w:hAnsi="Arial"/>
                <w:sz w:val="14"/>
                <w:szCs w:val="14"/>
                <w:color w:val="auto"/>
              </w:rPr>
              <w:t>*</w:t>
            </w:r>
          </w:p>
        </w:tc>
      </w:tr>
      <w:tr>
        <w:trPr>
          <w:trHeight w:val="266"/>
        </w:trPr>
        <w:tc>
          <w:tcPr>
            <w:tcW w:w="334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auto"/>
              </w:rPr>
              <w:t>Amala Duggirala</w:t>
            </w:r>
            <w:r>
              <w:rPr>
                <w:rFonts w:ascii="Arial" w:cs="Arial" w:eastAsia="Arial" w:hAnsi="Arial"/>
                <w:sz w:val="20"/>
                <w:szCs w:val="20"/>
                <w:color w:val="auto"/>
                <w:vertAlign w:val="superscript"/>
              </w:rPr>
              <w:t>(3)</w:t>
            </w:r>
          </w:p>
        </w:tc>
        <w:tc>
          <w:tcPr>
            <w:tcW w:w="2160" w:type="dxa"/>
            <w:vAlign w:val="bottom"/>
            <w:tcBorders>
              <w:bottom w:val="single" w:sz="8" w:color="7F7F7F"/>
            </w:tcBorders>
            <w:gridSpan w:val="2"/>
          </w:tcPr>
          <w:p>
            <w:pPr>
              <w:jc w:val="right"/>
              <w:ind w:right="36"/>
              <w:spacing w:after="0"/>
              <w:rPr>
                <w:sz w:val="20"/>
                <w:szCs w:val="20"/>
                <w:color w:val="auto"/>
              </w:rPr>
            </w:pPr>
            <w:r>
              <w:rPr>
                <w:rFonts w:ascii="Arial" w:cs="Arial" w:eastAsia="Arial" w:hAnsi="Arial"/>
                <w:sz w:val="14"/>
                <w:szCs w:val="14"/>
                <w:color w:val="auto"/>
              </w:rPr>
              <w:t>17,175</w:t>
            </w:r>
            <w:r>
              <w:rPr>
                <w:rFonts w:ascii="Arial" w:cs="Arial" w:eastAsia="Arial" w:hAnsi="Arial"/>
                <w:sz w:val="20"/>
                <w:szCs w:val="20"/>
                <w:color w:val="auto"/>
                <w:vertAlign w:val="superscript"/>
              </w:rPr>
              <w:t>(2)</w:t>
            </w:r>
          </w:p>
        </w:tc>
        <w:tc>
          <w:tcPr>
            <w:tcW w:w="2020" w:type="dxa"/>
            <w:vAlign w:val="bottom"/>
            <w:tcBorders>
              <w:bottom w:val="single" w:sz="8" w:color="7F7F7F"/>
            </w:tcBorders>
          </w:tcPr>
          <w:p>
            <w:pPr>
              <w:jc w:val="right"/>
              <w:ind w:right="771"/>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7F7F7F"/>
            </w:tcBorders>
          </w:tcPr>
          <w:p>
            <w:pPr>
              <w:jc w:val="right"/>
              <w:ind w:right="47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7F7F7F"/>
            </w:tcBorders>
          </w:tcPr>
          <w:p>
            <w:pPr>
              <w:spacing w:after="0"/>
              <w:rPr>
                <w:sz w:val="23"/>
                <w:szCs w:val="23"/>
                <w:color w:val="auto"/>
              </w:rPr>
            </w:pPr>
          </w:p>
        </w:tc>
        <w:tc>
          <w:tcPr>
            <w:tcW w:w="620" w:type="dxa"/>
            <w:vAlign w:val="bottom"/>
            <w:tcBorders>
              <w:bottom w:val="single" w:sz="8" w:color="7F7F7F"/>
            </w:tcBorders>
          </w:tcPr>
          <w:p>
            <w:pPr>
              <w:jc w:val="right"/>
              <w:ind w:right="151"/>
              <w:spacing w:after="0"/>
              <w:rPr>
                <w:sz w:val="20"/>
                <w:szCs w:val="20"/>
                <w:color w:val="auto"/>
              </w:rPr>
            </w:pPr>
            <w:r>
              <w:rPr>
                <w:rFonts w:ascii="Arial" w:cs="Arial" w:eastAsia="Arial" w:hAnsi="Arial"/>
                <w:sz w:val="14"/>
                <w:szCs w:val="14"/>
                <w:color w:val="auto"/>
              </w:rPr>
              <w:t>*</w:t>
            </w:r>
          </w:p>
        </w:tc>
      </w:tr>
      <w:tr>
        <w:trPr>
          <w:trHeight w:val="266"/>
        </w:trPr>
        <w:tc>
          <w:tcPr>
            <w:tcW w:w="334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auto"/>
              </w:rPr>
              <w:t>InaMarie F. Johnson</w:t>
            </w:r>
            <w:r>
              <w:rPr>
                <w:rFonts w:ascii="Arial" w:cs="Arial" w:eastAsia="Arial" w:hAnsi="Arial"/>
                <w:sz w:val="20"/>
                <w:szCs w:val="20"/>
                <w:color w:val="auto"/>
                <w:vertAlign w:val="superscript"/>
              </w:rPr>
              <w:t>(3)</w:t>
            </w:r>
          </w:p>
        </w:tc>
        <w:tc>
          <w:tcPr>
            <w:tcW w:w="2160" w:type="dxa"/>
            <w:vAlign w:val="bottom"/>
            <w:tcBorders>
              <w:bottom w:val="single" w:sz="8" w:color="7F7F7F"/>
            </w:tcBorders>
            <w:gridSpan w:val="2"/>
          </w:tcPr>
          <w:p>
            <w:pPr>
              <w:jc w:val="right"/>
              <w:ind w:right="36"/>
              <w:spacing w:after="0"/>
              <w:rPr>
                <w:sz w:val="20"/>
                <w:szCs w:val="20"/>
                <w:color w:val="auto"/>
              </w:rPr>
            </w:pPr>
            <w:r>
              <w:rPr>
                <w:rFonts w:ascii="Arial" w:cs="Arial" w:eastAsia="Arial" w:hAnsi="Arial"/>
                <w:sz w:val="14"/>
                <w:szCs w:val="14"/>
                <w:color w:val="auto"/>
              </w:rPr>
              <w:t>15,880</w:t>
            </w:r>
            <w:r>
              <w:rPr>
                <w:rFonts w:ascii="Arial" w:cs="Arial" w:eastAsia="Arial" w:hAnsi="Arial"/>
                <w:sz w:val="20"/>
                <w:szCs w:val="20"/>
                <w:color w:val="auto"/>
                <w:vertAlign w:val="superscript"/>
              </w:rPr>
              <w:t>(2)</w:t>
            </w:r>
          </w:p>
        </w:tc>
        <w:tc>
          <w:tcPr>
            <w:tcW w:w="2020" w:type="dxa"/>
            <w:vAlign w:val="bottom"/>
            <w:tcBorders>
              <w:bottom w:val="single" w:sz="8" w:color="7F7F7F"/>
            </w:tcBorders>
          </w:tcPr>
          <w:p>
            <w:pPr>
              <w:jc w:val="right"/>
              <w:ind w:right="771"/>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7F7F7F"/>
            </w:tcBorders>
          </w:tcPr>
          <w:p>
            <w:pPr>
              <w:jc w:val="right"/>
              <w:ind w:right="47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7F7F7F"/>
            </w:tcBorders>
          </w:tcPr>
          <w:p>
            <w:pPr>
              <w:spacing w:after="0"/>
              <w:rPr>
                <w:sz w:val="23"/>
                <w:szCs w:val="23"/>
                <w:color w:val="auto"/>
              </w:rPr>
            </w:pPr>
          </w:p>
        </w:tc>
        <w:tc>
          <w:tcPr>
            <w:tcW w:w="620" w:type="dxa"/>
            <w:vAlign w:val="bottom"/>
            <w:tcBorders>
              <w:bottom w:val="single" w:sz="8" w:color="7F7F7F"/>
            </w:tcBorders>
          </w:tcPr>
          <w:p>
            <w:pPr>
              <w:jc w:val="right"/>
              <w:ind w:right="151"/>
              <w:spacing w:after="0"/>
              <w:rPr>
                <w:sz w:val="20"/>
                <w:szCs w:val="20"/>
                <w:color w:val="auto"/>
              </w:rPr>
            </w:pPr>
            <w:r>
              <w:rPr>
                <w:rFonts w:ascii="Arial" w:cs="Arial" w:eastAsia="Arial" w:hAnsi="Arial"/>
                <w:sz w:val="14"/>
                <w:szCs w:val="14"/>
                <w:color w:val="auto"/>
              </w:rPr>
              <w:t>*</w:t>
            </w:r>
          </w:p>
        </w:tc>
      </w:tr>
      <w:tr>
        <w:trPr>
          <w:trHeight w:val="219"/>
        </w:trPr>
        <w:tc>
          <w:tcPr>
            <w:tcW w:w="3340" w:type="dxa"/>
            <w:vAlign w:val="bottom"/>
          </w:tcPr>
          <w:p>
            <w:pPr>
              <w:ind w:left="60"/>
              <w:spacing w:after="0"/>
              <w:rPr>
                <w:sz w:val="20"/>
                <w:szCs w:val="20"/>
                <w:color w:val="auto"/>
              </w:rPr>
            </w:pPr>
            <w:r>
              <w:rPr>
                <w:rFonts w:ascii="Arial" w:cs="Arial" w:eastAsia="Arial" w:hAnsi="Arial"/>
                <w:sz w:val="14"/>
                <w:szCs w:val="14"/>
                <w:color w:val="auto"/>
              </w:rPr>
              <w:t>Terrence B. Larkin</w:t>
            </w:r>
          </w:p>
        </w:tc>
        <w:tc>
          <w:tcPr>
            <w:tcW w:w="2160" w:type="dxa"/>
            <w:vAlign w:val="bottom"/>
            <w:gridSpan w:val="2"/>
          </w:tcPr>
          <w:p>
            <w:pPr>
              <w:jc w:val="right"/>
              <w:ind w:right="176"/>
              <w:spacing w:after="0"/>
              <w:rPr>
                <w:sz w:val="20"/>
                <w:szCs w:val="20"/>
                <w:color w:val="auto"/>
              </w:rPr>
            </w:pPr>
            <w:r>
              <w:rPr>
                <w:rFonts w:ascii="Arial" w:cs="Arial" w:eastAsia="Arial" w:hAnsi="Arial"/>
                <w:sz w:val="14"/>
                <w:szCs w:val="14"/>
                <w:color w:val="auto"/>
              </w:rPr>
              <w:t>49,843</w:t>
            </w:r>
          </w:p>
        </w:tc>
        <w:tc>
          <w:tcPr>
            <w:tcW w:w="202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72"/>
              <w:spacing w:after="0"/>
              <w:rPr>
                <w:sz w:val="20"/>
                <w:szCs w:val="20"/>
                <w:color w:val="auto"/>
              </w:rPr>
            </w:pPr>
            <w:r>
              <w:rPr>
                <w:rFonts w:ascii="Arial" w:cs="Arial" w:eastAsia="Arial" w:hAnsi="Arial"/>
                <w:sz w:val="14"/>
                <w:szCs w:val="14"/>
                <w:color w:val="auto"/>
              </w:rPr>
              <w:t>100</w:t>
            </w:r>
          </w:p>
        </w:tc>
        <w:tc>
          <w:tcPr>
            <w:tcW w:w="860" w:type="dxa"/>
            <w:vAlign w:val="bottom"/>
          </w:tcPr>
          <w:p>
            <w:pPr>
              <w:spacing w:after="0"/>
              <w:rPr>
                <w:sz w:val="19"/>
                <w:szCs w:val="19"/>
                <w:color w:val="auto"/>
              </w:rPr>
            </w:pPr>
          </w:p>
        </w:tc>
        <w:tc>
          <w:tcPr>
            <w:tcW w:w="620" w:type="dxa"/>
            <w:vAlign w:val="bottom"/>
          </w:tcPr>
          <w:p>
            <w:pPr>
              <w:jc w:val="right"/>
              <w:ind w:right="151"/>
              <w:spacing w:after="0"/>
              <w:rPr>
                <w:sz w:val="20"/>
                <w:szCs w:val="20"/>
                <w:color w:val="auto"/>
              </w:rPr>
            </w:pPr>
            <w:r>
              <w:rPr>
                <w:rFonts w:ascii="Arial" w:cs="Arial" w:eastAsia="Arial" w:hAnsi="Arial"/>
                <w:sz w:val="14"/>
                <w:szCs w:val="14"/>
                <w:color w:val="auto"/>
              </w:rPr>
              <w:t>*</w:t>
            </w:r>
          </w:p>
        </w:tc>
      </w:tr>
      <w:tr>
        <w:trPr>
          <w:trHeight w:val="47"/>
        </w:trPr>
        <w:tc>
          <w:tcPr>
            <w:tcW w:w="3340" w:type="dxa"/>
            <w:vAlign w:val="bottom"/>
            <w:tcBorders>
              <w:bottom w:val="single" w:sz="8" w:color="7F7F7F"/>
            </w:tcBorders>
          </w:tcPr>
          <w:p>
            <w:pPr>
              <w:spacing w:after="0"/>
              <w:rPr>
                <w:sz w:val="4"/>
                <w:szCs w:val="4"/>
                <w:color w:val="auto"/>
              </w:rPr>
            </w:pPr>
          </w:p>
        </w:tc>
        <w:tc>
          <w:tcPr>
            <w:tcW w:w="2160" w:type="dxa"/>
            <w:vAlign w:val="bottom"/>
            <w:tcBorders>
              <w:bottom w:val="single" w:sz="8" w:color="7F7F7F"/>
            </w:tcBorders>
            <w:gridSpan w:val="2"/>
          </w:tcPr>
          <w:p>
            <w:pPr>
              <w:spacing w:after="0"/>
              <w:rPr>
                <w:sz w:val="4"/>
                <w:szCs w:val="4"/>
                <w:color w:val="auto"/>
              </w:rPr>
            </w:pPr>
          </w:p>
        </w:tc>
        <w:tc>
          <w:tcPr>
            <w:tcW w:w="2020" w:type="dxa"/>
            <w:vAlign w:val="bottom"/>
            <w:tcBorders>
              <w:bottom w:val="single" w:sz="8" w:color="7F7F7F"/>
            </w:tcBorders>
          </w:tcPr>
          <w:p>
            <w:pPr>
              <w:spacing w:after="0"/>
              <w:rPr>
                <w:sz w:val="4"/>
                <w:szCs w:val="4"/>
                <w:color w:val="auto"/>
              </w:rPr>
            </w:pPr>
          </w:p>
        </w:tc>
        <w:tc>
          <w:tcPr>
            <w:tcW w:w="162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r>
      <w:tr>
        <w:trPr>
          <w:trHeight w:val="266"/>
        </w:trPr>
        <w:tc>
          <w:tcPr>
            <w:tcW w:w="334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auto"/>
              </w:rPr>
              <w:t>Leslie A. Murphy</w:t>
            </w:r>
          </w:p>
        </w:tc>
        <w:tc>
          <w:tcPr>
            <w:tcW w:w="2160" w:type="dxa"/>
            <w:vAlign w:val="bottom"/>
            <w:tcBorders>
              <w:bottom w:val="single" w:sz="8" w:color="7F7F7F"/>
            </w:tcBorders>
            <w:gridSpan w:val="2"/>
          </w:tcPr>
          <w:p>
            <w:pPr>
              <w:jc w:val="right"/>
              <w:ind w:right="36"/>
              <w:spacing w:after="0"/>
              <w:rPr>
                <w:sz w:val="20"/>
                <w:szCs w:val="20"/>
                <w:color w:val="auto"/>
              </w:rPr>
            </w:pPr>
            <w:r>
              <w:rPr>
                <w:rFonts w:ascii="Arial" w:cs="Arial" w:eastAsia="Arial" w:hAnsi="Arial"/>
                <w:sz w:val="14"/>
                <w:szCs w:val="14"/>
                <w:color w:val="auto"/>
              </w:rPr>
              <w:t>48,292</w:t>
            </w:r>
            <w:r>
              <w:rPr>
                <w:rFonts w:ascii="Arial" w:cs="Arial" w:eastAsia="Arial" w:hAnsi="Arial"/>
                <w:sz w:val="20"/>
                <w:szCs w:val="20"/>
                <w:color w:val="auto"/>
                <w:vertAlign w:val="superscript"/>
              </w:rPr>
              <w:t>(2)</w:t>
            </w:r>
          </w:p>
        </w:tc>
        <w:tc>
          <w:tcPr>
            <w:tcW w:w="2020" w:type="dxa"/>
            <w:vAlign w:val="bottom"/>
            <w:tcBorders>
              <w:bottom w:val="single" w:sz="8" w:color="7F7F7F"/>
            </w:tcBorders>
          </w:tcPr>
          <w:p>
            <w:pPr>
              <w:jc w:val="right"/>
              <w:ind w:right="771"/>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7F7F7F"/>
            </w:tcBorders>
          </w:tcPr>
          <w:p>
            <w:pPr>
              <w:jc w:val="right"/>
              <w:ind w:right="472"/>
              <w:spacing w:after="0"/>
              <w:rPr>
                <w:sz w:val="20"/>
                <w:szCs w:val="20"/>
                <w:color w:val="auto"/>
              </w:rPr>
            </w:pPr>
            <w:r>
              <w:rPr>
                <w:rFonts w:ascii="Arial" w:cs="Arial" w:eastAsia="Arial" w:hAnsi="Arial"/>
                <w:sz w:val="14"/>
                <w:szCs w:val="14"/>
                <w:color w:val="auto"/>
              </w:rPr>
              <w:t>100</w:t>
            </w:r>
          </w:p>
        </w:tc>
        <w:tc>
          <w:tcPr>
            <w:tcW w:w="860" w:type="dxa"/>
            <w:vAlign w:val="bottom"/>
            <w:tcBorders>
              <w:bottom w:val="single" w:sz="8" w:color="7F7F7F"/>
            </w:tcBorders>
          </w:tcPr>
          <w:p>
            <w:pPr>
              <w:spacing w:after="0"/>
              <w:rPr>
                <w:sz w:val="23"/>
                <w:szCs w:val="23"/>
                <w:color w:val="auto"/>
              </w:rPr>
            </w:pPr>
          </w:p>
        </w:tc>
        <w:tc>
          <w:tcPr>
            <w:tcW w:w="620" w:type="dxa"/>
            <w:vAlign w:val="bottom"/>
            <w:tcBorders>
              <w:bottom w:val="single" w:sz="8" w:color="7F7F7F"/>
            </w:tcBorders>
          </w:tcPr>
          <w:p>
            <w:pPr>
              <w:jc w:val="right"/>
              <w:ind w:right="151"/>
              <w:spacing w:after="0"/>
              <w:rPr>
                <w:sz w:val="20"/>
                <w:szCs w:val="20"/>
                <w:color w:val="auto"/>
              </w:rPr>
            </w:pPr>
            <w:r>
              <w:rPr>
                <w:rFonts w:ascii="Arial" w:cs="Arial" w:eastAsia="Arial" w:hAnsi="Arial"/>
                <w:sz w:val="14"/>
                <w:szCs w:val="14"/>
                <w:color w:val="auto"/>
              </w:rPr>
              <w:t>*</w:t>
            </w:r>
          </w:p>
        </w:tc>
      </w:tr>
      <w:tr>
        <w:trPr>
          <w:trHeight w:val="219"/>
        </w:trPr>
        <w:tc>
          <w:tcPr>
            <w:tcW w:w="3340" w:type="dxa"/>
            <w:vAlign w:val="bottom"/>
          </w:tcPr>
          <w:p>
            <w:pPr>
              <w:ind w:left="60"/>
              <w:spacing w:after="0"/>
              <w:rPr>
                <w:sz w:val="20"/>
                <w:szCs w:val="20"/>
                <w:color w:val="auto"/>
              </w:rPr>
            </w:pPr>
            <w:r>
              <w:rPr>
                <w:rFonts w:ascii="Arial" w:cs="Arial" w:eastAsia="Arial" w:hAnsi="Arial"/>
                <w:sz w:val="14"/>
                <w:szCs w:val="14"/>
                <w:color w:val="auto"/>
              </w:rPr>
              <w:t>Donald R. Parfet</w:t>
            </w:r>
          </w:p>
        </w:tc>
        <w:tc>
          <w:tcPr>
            <w:tcW w:w="2160" w:type="dxa"/>
            <w:vAlign w:val="bottom"/>
            <w:gridSpan w:val="2"/>
          </w:tcPr>
          <w:p>
            <w:pPr>
              <w:jc w:val="right"/>
              <w:ind w:right="176"/>
              <w:spacing w:after="0"/>
              <w:rPr>
                <w:sz w:val="20"/>
                <w:szCs w:val="20"/>
                <w:color w:val="auto"/>
              </w:rPr>
            </w:pPr>
            <w:r>
              <w:rPr>
                <w:rFonts w:ascii="Arial" w:cs="Arial" w:eastAsia="Arial" w:hAnsi="Arial"/>
                <w:sz w:val="14"/>
                <w:szCs w:val="14"/>
                <w:color w:val="auto"/>
              </w:rPr>
              <w:t>93,485</w:t>
            </w:r>
          </w:p>
        </w:tc>
        <w:tc>
          <w:tcPr>
            <w:tcW w:w="202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72"/>
              <w:spacing w:after="0"/>
              <w:rPr>
                <w:sz w:val="20"/>
                <w:szCs w:val="20"/>
                <w:color w:val="auto"/>
              </w:rPr>
            </w:pPr>
            <w:r>
              <w:rPr>
                <w:rFonts w:ascii="Arial" w:cs="Arial" w:eastAsia="Arial" w:hAnsi="Arial"/>
                <w:sz w:val="14"/>
                <w:szCs w:val="14"/>
                <w:color w:val="auto"/>
              </w:rPr>
              <w:t>100</w:t>
            </w:r>
          </w:p>
        </w:tc>
        <w:tc>
          <w:tcPr>
            <w:tcW w:w="860" w:type="dxa"/>
            <w:vAlign w:val="bottom"/>
          </w:tcPr>
          <w:p>
            <w:pPr>
              <w:spacing w:after="0"/>
              <w:rPr>
                <w:sz w:val="19"/>
                <w:szCs w:val="19"/>
                <w:color w:val="auto"/>
              </w:rPr>
            </w:pPr>
          </w:p>
        </w:tc>
        <w:tc>
          <w:tcPr>
            <w:tcW w:w="620" w:type="dxa"/>
            <w:vAlign w:val="bottom"/>
          </w:tcPr>
          <w:p>
            <w:pPr>
              <w:jc w:val="right"/>
              <w:ind w:right="151"/>
              <w:spacing w:after="0"/>
              <w:rPr>
                <w:sz w:val="20"/>
                <w:szCs w:val="20"/>
                <w:color w:val="auto"/>
              </w:rPr>
            </w:pPr>
            <w:r>
              <w:rPr>
                <w:rFonts w:ascii="Arial" w:cs="Arial" w:eastAsia="Arial" w:hAnsi="Arial"/>
                <w:sz w:val="14"/>
                <w:szCs w:val="14"/>
                <w:color w:val="auto"/>
              </w:rPr>
              <w:t>*</w:t>
            </w:r>
          </w:p>
        </w:tc>
      </w:tr>
      <w:tr>
        <w:trPr>
          <w:trHeight w:val="47"/>
        </w:trPr>
        <w:tc>
          <w:tcPr>
            <w:tcW w:w="334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2020" w:type="dxa"/>
            <w:vAlign w:val="bottom"/>
            <w:tcBorders>
              <w:bottom w:val="single" w:sz="8" w:color="7F7F7F"/>
            </w:tcBorders>
          </w:tcPr>
          <w:p>
            <w:pPr>
              <w:spacing w:after="0"/>
              <w:rPr>
                <w:sz w:val="4"/>
                <w:szCs w:val="4"/>
                <w:color w:val="auto"/>
              </w:rPr>
            </w:pPr>
          </w:p>
        </w:tc>
        <w:tc>
          <w:tcPr>
            <w:tcW w:w="162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r>
      <w:tr>
        <w:trPr>
          <w:trHeight w:val="227"/>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Named Executive Officers:</w:t>
            </w: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9"/>
        </w:trPr>
        <w:tc>
          <w:tcPr>
            <w:tcW w:w="3340" w:type="dxa"/>
            <w:vAlign w:val="bottom"/>
            <w:tcBorders>
              <w:bottom w:val="single" w:sz="8" w:color="7F7F7F"/>
            </w:tcBorders>
          </w:tcPr>
          <w:p>
            <w:pPr>
              <w:spacing w:after="0"/>
              <w:rPr>
                <w:sz w:val="3"/>
                <w:szCs w:val="3"/>
                <w:color w:val="auto"/>
              </w:rPr>
            </w:pPr>
          </w:p>
        </w:tc>
        <w:tc>
          <w:tcPr>
            <w:tcW w:w="2160" w:type="dxa"/>
            <w:vAlign w:val="bottom"/>
            <w:tcBorders>
              <w:bottom w:val="single" w:sz="8" w:color="7F7F7F"/>
            </w:tcBorders>
            <w:gridSpan w:val="2"/>
          </w:tcPr>
          <w:p>
            <w:pPr>
              <w:spacing w:after="0"/>
              <w:rPr>
                <w:sz w:val="3"/>
                <w:szCs w:val="3"/>
                <w:color w:val="auto"/>
              </w:rPr>
            </w:pPr>
          </w:p>
        </w:tc>
        <w:tc>
          <w:tcPr>
            <w:tcW w:w="2020" w:type="dxa"/>
            <w:vAlign w:val="bottom"/>
            <w:tcBorders>
              <w:bottom w:val="single" w:sz="8" w:color="7F7F7F"/>
            </w:tcBorders>
          </w:tcPr>
          <w:p>
            <w:pPr>
              <w:spacing w:after="0"/>
              <w:rPr>
                <w:sz w:val="3"/>
                <w:szCs w:val="3"/>
                <w:color w:val="auto"/>
              </w:rPr>
            </w:pPr>
          </w:p>
        </w:tc>
        <w:tc>
          <w:tcPr>
            <w:tcW w:w="162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r>
      <w:tr>
        <w:trPr>
          <w:trHeight w:val="219"/>
        </w:trPr>
        <w:tc>
          <w:tcPr>
            <w:tcW w:w="3340" w:type="dxa"/>
            <w:vAlign w:val="bottom"/>
          </w:tcPr>
          <w:p>
            <w:pPr>
              <w:ind w:left="60"/>
              <w:spacing w:after="0"/>
              <w:rPr>
                <w:sz w:val="20"/>
                <w:szCs w:val="20"/>
                <w:color w:val="auto"/>
              </w:rPr>
            </w:pPr>
            <w:r>
              <w:rPr>
                <w:rFonts w:ascii="Arial" w:cs="Arial" w:eastAsia="Arial" w:hAnsi="Arial"/>
                <w:sz w:val="14"/>
                <w:szCs w:val="14"/>
                <w:color w:val="auto"/>
              </w:rPr>
              <w:t>Peter W. Quigley (also a director)</w:t>
            </w:r>
          </w:p>
        </w:tc>
        <w:tc>
          <w:tcPr>
            <w:tcW w:w="2160" w:type="dxa"/>
            <w:vAlign w:val="bottom"/>
            <w:gridSpan w:val="2"/>
          </w:tcPr>
          <w:p>
            <w:pPr>
              <w:jc w:val="right"/>
              <w:ind w:right="176"/>
              <w:spacing w:after="0"/>
              <w:rPr>
                <w:sz w:val="20"/>
                <w:szCs w:val="20"/>
                <w:color w:val="auto"/>
              </w:rPr>
            </w:pPr>
            <w:r>
              <w:rPr>
                <w:rFonts w:ascii="Arial" w:cs="Arial" w:eastAsia="Arial" w:hAnsi="Arial"/>
                <w:sz w:val="14"/>
                <w:szCs w:val="14"/>
                <w:color w:val="auto"/>
              </w:rPr>
              <w:t>346,996</w:t>
            </w:r>
          </w:p>
        </w:tc>
        <w:tc>
          <w:tcPr>
            <w:tcW w:w="202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72"/>
              <w:spacing w:after="0"/>
              <w:rPr>
                <w:sz w:val="20"/>
                <w:szCs w:val="20"/>
                <w:color w:val="auto"/>
              </w:rPr>
            </w:pPr>
            <w:r>
              <w:rPr>
                <w:rFonts w:ascii="Arial" w:cs="Arial" w:eastAsia="Arial" w:hAnsi="Arial"/>
                <w:sz w:val="14"/>
                <w:szCs w:val="14"/>
                <w:color w:val="auto"/>
              </w:rPr>
              <w:t>100</w:t>
            </w:r>
          </w:p>
        </w:tc>
        <w:tc>
          <w:tcPr>
            <w:tcW w:w="860" w:type="dxa"/>
            <w:vAlign w:val="bottom"/>
          </w:tcPr>
          <w:p>
            <w:pPr>
              <w:spacing w:after="0"/>
              <w:rPr>
                <w:sz w:val="19"/>
                <w:szCs w:val="19"/>
                <w:color w:val="auto"/>
              </w:rPr>
            </w:pPr>
          </w:p>
        </w:tc>
        <w:tc>
          <w:tcPr>
            <w:tcW w:w="620" w:type="dxa"/>
            <w:vAlign w:val="bottom"/>
          </w:tcPr>
          <w:p>
            <w:pPr>
              <w:jc w:val="right"/>
              <w:ind w:right="151"/>
              <w:spacing w:after="0"/>
              <w:rPr>
                <w:sz w:val="20"/>
                <w:szCs w:val="20"/>
                <w:color w:val="auto"/>
              </w:rPr>
            </w:pPr>
            <w:r>
              <w:rPr>
                <w:rFonts w:ascii="Arial" w:cs="Arial" w:eastAsia="Arial" w:hAnsi="Arial"/>
                <w:sz w:val="14"/>
                <w:szCs w:val="14"/>
                <w:color w:val="auto"/>
              </w:rPr>
              <w:t>*</w:t>
            </w:r>
          </w:p>
        </w:tc>
      </w:tr>
      <w:tr>
        <w:trPr>
          <w:trHeight w:val="47"/>
        </w:trPr>
        <w:tc>
          <w:tcPr>
            <w:tcW w:w="3340" w:type="dxa"/>
            <w:vAlign w:val="bottom"/>
            <w:tcBorders>
              <w:bottom w:val="single" w:sz="8" w:color="7F7F7F"/>
            </w:tcBorders>
          </w:tcPr>
          <w:p>
            <w:pPr>
              <w:spacing w:after="0"/>
              <w:rPr>
                <w:sz w:val="4"/>
                <w:szCs w:val="4"/>
                <w:color w:val="auto"/>
              </w:rPr>
            </w:pPr>
          </w:p>
        </w:tc>
        <w:tc>
          <w:tcPr>
            <w:tcW w:w="2160" w:type="dxa"/>
            <w:vAlign w:val="bottom"/>
            <w:tcBorders>
              <w:bottom w:val="single" w:sz="8" w:color="7F7F7F"/>
            </w:tcBorders>
            <w:gridSpan w:val="2"/>
          </w:tcPr>
          <w:p>
            <w:pPr>
              <w:spacing w:after="0"/>
              <w:rPr>
                <w:sz w:val="4"/>
                <w:szCs w:val="4"/>
                <w:color w:val="auto"/>
              </w:rPr>
            </w:pPr>
          </w:p>
        </w:tc>
        <w:tc>
          <w:tcPr>
            <w:tcW w:w="2020" w:type="dxa"/>
            <w:vAlign w:val="bottom"/>
            <w:tcBorders>
              <w:bottom w:val="single" w:sz="8" w:color="7F7F7F"/>
            </w:tcBorders>
          </w:tcPr>
          <w:p>
            <w:pPr>
              <w:spacing w:after="0"/>
              <w:rPr>
                <w:sz w:val="4"/>
                <w:szCs w:val="4"/>
                <w:color w:val="auto"/>
              </w:rPr>
            </w:pPr>
          </w:p>
        </w:tc>
        <w:tc>
          <w:tcPr>
            <w:tcW w:w="162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r>
      <w:tr>
        <w:trPr>
          <w:trHeight w:val="219"/>
        </w:trPr>
        <w:tc>
          <w:tcPr>
            <w:tcW w:w="3340" w:type="dxa"/>
            <w:vAlign w:val="bottom"/>
          </w:tcPr>
          <w:p>
            <w:pPr>
              <w:ind w:left="60"/>
              <w:spacing w:after="0"/>
              <w:rPr>
                <w:sz w:val="20"/>
                <w:szCs w:val="20"/>
                <w:color w:val="auto"/>
              </w:rPr>
            </w:pPr>
            <w:r>
              <w:rPr>
                <w:rFonts w:ascii="Arial" w:cs="Arial" w:eastAsia="Arial" w:hAnsi="Arial"/>
                <w:sz w:val="14"/>
                <w:szCs w:val="14"/>
                <w:color w:val="auto"/>
              </w:rPr>
              <w:t>Olivier G. Thirot</w:t>
            </w:r>
          </w:p>
        </w:tc>
        <w:tc>
          <w:tcPr>
            <w:tcW w:w="2160" w:type="dxa"/>
            <w:vAlign w:val="bottom"/>
            <w:gridSpan w:val="2"/>
          </w:tcPr>
          <w:p>
            <w:pPr>
              <w:jc w:val="right"/>
              <w:ind w:right="176"/>
              <w:spacing w:after="0"/>
              <w:rPr>
                <w:sz w:val="20"/>
                <w:szCs w:val="20"/>
                <w:color w:val="auto"/>
              </w:rPr>
            </w:pPr>
            <w:r>
              <w:rPr>
                <w:rFonts w:ascii="Arial" w:cs="Arial" w:eastAsia="Arial" w:hAnsi="Arial"/>
                <w:sz w:val="14"/>
                <w:szCs w:val="14"/>
                <w:color w:val="auto"/>
              </w:rPr>
              <w:t>175,113</w:t>
            </w:r>
          </w:p>
        </w:tc>
        <w:tc>
          <w:tcPr>
            <w:tcW w:w="202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72"/>
              <w:spacing w:after="0"/>
              <w:rPr>
                <w:sz w:val="20"/>
                <w:szCs w:val="20"/>
                <w:color w:val="auto"/>
              </w:rPr>
            </w:pPr>
            <w:r>
              <w:rPr>
                <w:rFonts w:ascii="Arial" w:cs="Arial" w:eastAsia="Arial" w:hAnsi="Arial"/>
                <w:sz w:val="14"/>
                <w:szCs w:val="14"/>
                <w:color w:val="auto"/>
              </w:rPr>
              <w:t>10</w:t>
            </w:r>
          </w:p>
        </w:tc>
        <w:tc>
          <w:tcPr>
            <w:tcW w:w="860" w:type="dxa"/>
            <w:vAlign w:val="bottom"/>
          </w:tcPr>
          <w:p>
            <w:pPr>
              <w:spacing w:after="0"/>
              <w:rPr>
                <w:sz w:val="19"/>
                <w:szCs w:val="19"/>
                <w:color w:val="auto"/>
              </w:rPr>
            </w:pPr>
          </w:p>
        </w:tc>
        <w:tc>
          <w:tcPr>
            <w:tcW w:w="620" w:type="dxa"/>
            <w:vAlign w:val="bottom"/>
          </w:tcPr>
          <w:p>
            <w:pPr>
              <w:jc w:val="right"/>
              <w:ind w:right="151"/>
              <w:spacing w:after="0"/>
              <w:rPr>
                <w:sz w:val="20"/>
                <w:szCs w:val="20"/>
                <w:color w:val="auto"/>
              </w:rPr>
            </w:pPr>
            <w:r>
              <w:rPr>
                <w:rFonts w:ascii="Arial" w:cs="Arial" w:eastAsia="Arial" w:hAnsi="Arial"/>
                <w:sz w:val="14"/>
                <w:szCs w:val="14"/>
                <w:color w:val="auto"/>
              </w:rPr>
              <w:t>*</w:t>
            </w:r>
          </w:p>
        </w:tc>
      </w:tr>
      <w:tr>
        <w:trPr>
          <w:trHeight w:val="47"/>
        </w:trPr>
        <w:tc>
          <w:tcPr>
            <w:tcW w:w="3340" w:type="dxa"/>
            <w:vAlign w:val="bottom"/>
            <w:tcBorders>
              <w:bottom w:val="single" w:sz="8" w:color="7F7F7F"/>
            </w:tcBorders>
          </w:tcPr>
          <w:p>
            <w:pPr>
              <w:spacing w:after="0"/>
              <w:rPr>
                <w:sz w:val="4"/>
                <w:szCs w:val="4"/>
                <w:color w:val="auto"/>
              </w:rPr>
            </w:pPr>
          </w:p>
        </w:tc>
        <w:tc>
          <w:tcPr>
            <w:tcW w:w="2160" w:type="dxa"/>
            <w:vAlign w:val="bottom"/>
            <w:tcBorders>
              <w:bottom w:val="single" w:sz="8" w:color="7F7F7F"/>
            </w:tcBorders>
            <w:gridSpan w:val="2"/>
          </w:tcPr>
          <w:p>
            <w:pPr>
              <w:spacing w:after="0"/>
              <w:rPr>
                <w:sz w:val="4"/>
                <w:szCs w:val="4"/>
                <w:color w:val="auto"/>
              </w:rPr>
            </w:pPr>
          </w:p>
        </w:tc>
        <w:tc>
          <w:tcPr>
            <w:tcW w:w="2020" w:type="dxa"/>
            <w:vAlign w:val="bottom"/>
            <w:tcBorders>
              <w:bottom w:val="single" w:sz="8" w:color="7F7F7F"/>
            </w:tcBorders>
          </w:tcPr>
          <w:p>
            <w:pPr>
              <w:spacing w:after="0"/>
              <w:rPr>
                <w:sz w:val="4"/>
                <w:szCs w:val="4"/>
                <w:color w:val="auto"/>
              </w:rPr>
            </w:pPr>
          </w:p>
        </w:tc>
        <w:tc>
          <w:tcPr>
            <w:tcW w:w="162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r>
      <w:tr>
        <w:trPr>
          <w:trHeight w:val="219"/>
        </w:trPr>
        <w:tc>
          <w:tcPr>
            <w:tcW w:w="3340" w:type="dxa"/>
            <w:vAlign w:val="bottom"/>
          </w:tcPr>
          <w:p>
            <w:pPr>
              <w:ind w:left="60"/>
              <w:spacing w:after="0"/>
              <w:rPr>
                <w:sz w:val="20"/>
                <w:szCs w:val="20"/>
                <w:color w:val="auto"/>
              </w:rPr>
            </w:pPr>
            <w:r>
              <w:rPr>
                <w:rFonts w:ascii="Arial" w:cs="Arial" w:eastAsia="Arial" w:hAnsi="Arial"/>
                <w:sz w:val="14"/>
                <w:szCs w:val="14"/>
                <w:color w:val="auto"/>
              </w:rPr>
              <w:t>Daniel H. Malan</w:t>
            </w:r>
          </w:p>
        </w:tc>
        <w:tc>
          <w:tcPr>
            <w:tcW w:w="2160" w:type="dxa"/>
            <w:vAlign w:val="bottom"/>
            <w:gridSpan w:val="2"/>
          </w:tcPr>
          <w:p>
            <w:pPr>
              <w:jc w:val="right"/>
              <w:ind w:right="176"/>
              <w:spacing w:after="0"/>
              <w:rPr>
                <w:sz w:val="20"/>
                <w:szCs w:val="20"/>
                <w:color w:val="auto"/>
              </w:rPr>
            </w:pPr>
            <w:r>
              <w:rPr>
                <w:rFonts w:ascii="Arial" w:cs="Arial" w:eastAsia="Arial" w:hAnsi="Arial"/>
                <w:sz w:val="14"/>
                <w:szCs w:val="14"/>
                <w:color w:val="auto"/>
              </w:rPr>
              <w:t>83,373</w:t>
            </w:r>
          </w:p>
        </w:tc>
        <w:tc>
          <w:tcPr>
            <w:tcW w:w="202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9"/>
                <w:szCs w:val="19"/>
                <w:color w:val="auto"/>
              </w:rPr>
            </w:pPr>
          </w:p>
        </w:tc>
        <w:tc>
          <w:tcPr>
            <w:tcW w:w="620" w:type="dxa"/>
            <w:vAlign w:val="bottom"/>
          </w:tcPr>
          <w:p>
            <w:pPr>
              <w:jc w:val="right"/>
              <w:ind w:right="151"/>
              <w:spacing w:after="0"/>
              <w:rPr>
                <w:sz w:val="20"/>
                <w:szCs w:val="20"/>
                <w:color w:val="auto"/>
              </w:rPr>
            </w:pPr>
            <w:r>
              <w:rPr>
                <w:rFonts w:ascii="Arial" w:cs="Arial" w:eastAsia="Arial" w:hAnsi="Arial"/>
                <w:sz w:val="14"/>
                <w:szCs w:val="14"/>
                <w:color w:val="auto"/>
              </w:rPr>
              <w:t>*</w:t>
            </w:r>
          </w:p>
        </w:tc>
      </w:tr>
      <w:tr>
        <w:trPr>
          <w:trHeight w:val="47"/>
        </w:trPr>
        <w:tc>
          <w:tcPr>
            <w:tcW w:w="3340" w:type="dxa"/>
            <w:vAlign w:val="bottom"/>
            <w:tcBorders>
              <w:bottom w:val="single" w:sz="8" w:color="7F7F7F"/>
            </w:tcBorders>
          </w:tcPr>
          <w:p>
            <w:pPr>
              <w:spacing w:after="0"/>
              <w:rPr>
                <w:sz w:val="4"/>
                <w:szCs w:val="4"/>
                <w:color w:val="auto"/>
              </w:rPr>
            </w:pPr>
          </w:p>
        </w:tc>
        <w:tc>
          <w:tcPr>
            <w:tcW w:w="2160" w:type="dxa"/>
            <w:vAlign w:val="bottom"/>
            <w:tcBorders>
              <w:bottom w:val="single" w:sz="8" w:color="7F7F7F"/>
            </w:tcBorders>
            <w:gridSpan w:val="2"/>
          </w:tcPr>
          <w:p>
            <w:pPr>
              <w:spacing w:after="0"/>
              <w:rPr>
                <w:sz w:val="4"/>
                <w:szCs w:val="4"/>
                <w:color w:val="auto"/>
              </w:rPr>
            </w:pPr>
          </w:p>
        </w:tc>
        <w:tc>
          <w:tcPr>
            <w:tcW w:w="2020" w:type="dxa"/>
            <w:vAlign w:val="bottom"/>
            <w:tcBorders>
              <w:bottom w:val="single" w:sz="8" w:color="7F7F7F"/>
            </w:tcBorders>
          </w:tcPr>
          <w:p>
            <w:pPr>
              <w:spacing w:after="0"/>
              <w:rPr>
                <w:sz w:val="4"/>
                <w:szCs w:val="4"/>
                <w:color w:val="auto"/>
              </w:rPr>
            </w:pPr>
          </w:p>
        </w:tc>
        <w:tc>
          <w:tcPr>
            <w:tcW w:w="162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r>
      <w:tr>
        <w:trPr>
          <w:trHeight w:val="219"/>
        </w:trPr>
        <w:tc>
          <w:tcPr>
            <w:tcW w:w="3340" w:type="dxa"/>
            <w:vAlign w:val="bottom"/>
          </w:tcPr>
          <w:p>
            <w:pPr>
              <w:ind w:left="60"/>
              <w:spacing w:after="0"/>
              <w:rPr>
                <w:sz w:val="20"/>
                <w:szCs w:val="20"/>
                <w:color w:val="auto"/>
              </w:rPr>
            </w:pPr>
            <w:r>
              <w:rPr>
                <w:rFonts w:ascii="Arial" w:cs="Arial" w:eastAsia="Arial" w:hAnsi="Arial"/>
                <w:sz w:val="14"/>
                <w:szCs w:val="14"/>
                <w:color w:val="auto"/>
              </w:rPr>
              <w:t>Vanessa P. Williams</w:t>
            </w:r>
          </w:p>
        </w:tc>
        <w:tc>
          <w:tcPr>
            <w:tcW w:w="2160" w:type="dxa"/>
            <w:vAlign w:val="bottom"/>
            <w:gridSpan w:val="2"/>
          </w:tcPr>
          <w:p>
            <w:pPr>
              <w:jc w:val="right"/>
              <w:ind w:right="176"/>
              <w:spacing w:after="0"/>
              <w:rPr>
                <w:sz w:val="20"/>
                <w:szCs w:val="20"/>
                <w:color w:val="auto"/>
              </w:rPr>
            </w:pPr>
            <w:r>
              <w:rPr>
                <w:rFonts w:ascii="Arial" w:cs="Arial" w:eastAsia="Arial" w:hAnsi="Arial"/>
                <w:sz w:val="14"/>
                <w:szCs w:val="14"/>
                <w:color w:val="auto"/>
              </w:rPr>
              <w:t>58,587</w:t>
            </w:r>
          </w:p>
        </w:tc>
        <w:tc>
          <w:tcPr>
            <w:tcW w:w="202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72"/>
              <w:spacing w:after="0"/>
              <w:rPr>
                <w:sz w:val="20"/>
                <w:szCs w:val="20"/>
                <w:color w:val="auto"/>
              </w:rPr>
            </w:pPr>
            <w:r>
              <w:rPr>
                <w:rFonts w:ascii="Arial" w:cs="Arial" w:eastAsia="Arial" w:hAnsi="Arial"/>
                <w:sz w:val="14"/>
                <w:szCs w:val="14"/>
                <w:color w:val="auto"/>
              </w:rPr>
              <w:t>100</w:t>
            </w:r>
          </w:p>
        </w:tc>
        <w:tc>
          <w:tcPr>
            <w:tcW w:w="860" w:type="dxa"/>
            <w:vAlign w:val="bottom"/>
          </w:tcPr>
          <w:p>
            <w:pPr>
              <w:spacing w:after="0"/>
              <w:rPr>
                <w:sz w:val="19"/>
                <w:szCs w:val="19"/>
                <w:color w:val="auto"/>
              </w:rPr>
            </w:pPr>
          </w:p>
        </w:tc>
        <w:tc>
          <w:tcPr>
            <w:tcW w:w="620" w:type="dxa"/>
            <w:vAlign w:val="bottom"/>
          </w:tcPr>
          <w:p>
            <w:pPr>
              <w:jc w:val="right"/>
              <w:ind w:right="151"/>
              <w:spacing w:after="0"/>
              <w:rPr>
                <w:sz w:val="20"/>
                <w:szCs w:val="20"/>
                <w:color w:val="auto"/>
              </w:rPr>
            </w:pPr>
            <w:r>
              <w:rPr>
                <w:rFonts w:ascii="Arial" w:cs="Arial" w:eastAsia="Arial" w:hAnsi="Arial"/>
                <w:sz w:val="14"/>
                <w:szCs w:val="14"/>
                <w:color w:val="auto"/>
              </w:rPr>
              <w:t>*</w:t>
            </w:r>
          </w:p>
        </w:tc>
      </w:tr>
      <w:tr>
        <w:trPr>
          <w:trHeight w:val="47"/>
        </w:trPr>
        <w:tc>
          <w:tcPr>
            <w:tcW w:w="3340" w:type="dxa"/>
            <w:vAlign w:val="bottom"/>
            <w:tcBorders>
              <w:bottom w:val="single" w:sz="8" w:color="7F7F7F"/>
            </w:tcBorders>
          </w:tcPr>
          <w:p>
            <w:pPr>
              <w:spacing w:after="0"/>
              <w:rPr>
                <w:sz w:val="4"/>
                <w:szCs w:val="4"/>
                <w:color w:val="auto"/>
              </w:rPr>
            </w:pPr>
          </w:p>
        </w:tc>
        <w:tc>
          <w:tcPr>
            <w:tcW w:w="2160" w:type="dxa"/>
            <w:vAlign w:val="bottom"/>
            <w:tcBorders>
              <w:bottom w:val="single" w:sz="8" w:color="7F7F7F"/>
            </w:tcBorders>
            <w:gridSpan w:val="2"/>
          </w:tcPr>
          <w:p>
            <w:pPr>
              <w:spacing w:after="0"/>
              <w:rPr>
                <w:sz w:val="4"/>
                <w:szCs w:val="4"/>
                <w:color w:val="auto"/>
              </w:rPr>
            </w:pPr>
          </w:p>
        </w:tc>
        <w:tc>
          <w:tcPr>
            <w:tcW w:w="2020" w:type="dxa"/>
            <w:vAlign w:val="bottom"/>
            <w:tcBorders>
              <w:bottom w:val="single" w:sz="8" w:color="7F7F7F"/>
            </w:tcBorders>
          </w:tcPr>
          <w:p>
            <w:pPr>
              <w:spacing w:after="0"/>
              <w:rPr>
                <w:sz w:val="4"/>
                <w:szCs w:val="4"/>
                <w:color w:val="auto"/>
              </w:rPr>
            </w:pPr>
          </w:p>
        </w:tc>
        <w:tc>
          <w:tcPr>
            <w:tcW w:w="162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r>
      <w:tr>
        <w:trPr>
          <w:trHeight w:val="266"/>
        </w:trPr>
        <w:tc>
          <w:tcPr>
            <w:tcW w:w="3340" w:type="dxa"/>
            <w:vAlign w:val="bottom"/>
            <w:tcBorders>
              <w:bottom w:val="single" w:sz="8" w:color="7F7F7F"/>
            </w:tcBorders>
          </w:tcPr>
          <w:p>
            <w:pPr>
              <w:ind w:left="60"/>
              <w:spacing w:after="0"/>
              <w:rPr>
                <w:sz w:val="20"/>
                <w:szCs w:val="20"/>
                <w:color w:val="auto"/>
              </w:rPr>
            </w:pPr>
            <w:r>
              <w:rPr>
                <w:rFonts w:ascii="Arial" w:cs="Arial" w:eastAsia="Arial" w:hAnsi="Arial"/>
                <w:sz w:val="14"/>
                <w:szCs w:val="14"/>
                <w:color w:val="auto"/>
              </w:rPr>
              <w:t>Dinette Koolhaas</w:t>
            </w:r>
            <w:r>
              <w:rPr>
                <w:rFonts w:ascii="Arial" w:cs="Arial" w:eastAsia="Arial" w:hAnsi="Arial"/>
                <w:sz w:val="20"/>
                <w:szCs w:val="20"/>
                <w:color w:val="auto"/>
                <w:vertAlign w:val="superscript"/>
              </w:rPr>
              <w:t>(4)</w:t>
            </w:r>
          </w:p>
        </w:tc>
        <w:tc>
          <w:tcPr>
            <w:tcW w:w="2160" w:type="dxa"/>
            <w:vAlign w:val="bottom"/>
            <w:tcBorders>
              <w:bottom w:val="single" w:sz="8" w:color="7F7F7F"/>
            </w:tcBorders>
            <w:gridSpan w:val="2"/>
          </w:tcPr>
          <w:p>
            <w:pPr>
              <w:jc w:val="right"/>
              <w:ind w:right="176"/>
              <w:spacing w:after="0"/>
              <w:rPr>
                <w:sz w:val="20"/>
                <w:szCs w:val="20"/>
                <w:color w:val="auto"/>
              </w:rPr>
            </w:pPr>
            <w:r>
              <w:rPr>
                <w:rFonts w:ascii="Arial" w:cs="Arial" w:eastAsia="Arial" w:hAnsi="Arial"/>
                <w:sz w:val="14"/>
                <w:szCs w:val="14"/>
                <w:color w:val="auto"/>
              </w:rPr>
              <w:t>46,042</w:t>
            </w:r>
          </w:p>
        </w:tc>
        <w:tc>
          <w:tcPr>
            <w:tcW w:w="2020" w:type="dxa"/>
            <w:vAlign w:val="bottom"/>
            <w:tcBorders>
              <w:bottom w:val="single" w:sz="8" w:color="7F7F7F"/>
            </w:tcBorders>
          </w:tcPr>
          <w:p>
            <w:pPr>
              <w:jc w:val="right"/>
              <w:ind w:right="771"/>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7F7F7F"/>
            </w:tcBorders>
          </w:tcPr>
          <w:p>
            <w:pPr>
              <w:jc w:val="right"/>
              <w:ind w:right="47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7F7F7F"/>
            </w:tcBorders>
          </w:tcPr>
          <w:p>
            <w:pPr>
              <w:spacing w:after="0"/>
              <w:rPr>
                <w:sz w:val="23"/>
                <w:szCs w:val="23"/>
                <w:color w:val="auto"/>
              </w:rPr>
            </w:pPr>
          </w:p>
        </w:tc>
        <w:tc>
          <w:tcPr>
            <w:tcW w:w="620" w:type="dxa"/>
            <w:vAlign w:val="bottom"/>
            <w:tcBorders>
              <w:bottom w:val="single" w:sz="8" w:color="7F7F7F"/>
            </w:tcBorders>
          </w:tcPr>
          <w:p>
            <w:pPr>
              <w:jc w:val="right"/>
              <w:ind w:right="151"/>
              <w:spacing w:after="0"/>
              <w:rPr>
                <w:sz w:val="20"/>
                <w:szCs w:val="20"/>
                <w:color w:val="auto"/>
              </w:rPr>
            </w:pPr>
            <w:r>
              <w:rPr>
                <w:rFonts w:ascii="Arial" w:cs="Arial" w:eastAsia="Arial" w:hAnsi="Arial"/>
                <w:sz w:val="14"/>
                <w:szCs w:val="14"/>
                <w:color w:val="auto"/>
              </w:rPr>
              <w:t>*</w:t>
            </w:r>
          </w:p>
        </w:tc>
      </w:tr>
      <w:tr>
        <w:trPr>
          <w:trHeight w:val="192"/>
        </w:trPr>
        <w:tc>
          <w:tcPr>
            <w:tcW w:w="3340" w:type="dxa"/>
            <w:vAlign w:val="bottom"/>
          </w:tcPr>
          <w:p>
            <w:pPr>
              <w:ind w:left="60"/>
              <w:spacing w:after="0"/>
              <w:rPr>
                <w:sz w:val="20"/>
                <w:szCs w:val="20"/>
                <w:color w:val="auto"/>
              </w:rPr>
            </w:pPr>
            <w:r>
              <w:rPr>
                <w:rFonts w:ascii="Arial" w:cs="Arial" w:eastAsia="Arial" w:hAnsi="Arial"/>
                <w:sz w:val="14"/>
                <w:szCs w:val="14"/>
                <w:color w:val="auto"/>
              </w:rPr>
              <w:t>All directors and executive officers as a Group</w:t>
            </w: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7"/>
        </w:trPr>
        <w:tc>
          <w:tcPr>
            <w:tcW w:w="3340" w:type="dxa"/>
            <w:vAlign w:val="bottom"/>
          </w:tcPr>
          <w:p>
            <w:pPr>
              <w:ind w:left="60"/>
              <w:spacing w:after="0"/>
              <w:rPr>
                <w:sz w:val="20"/>
                <w:szCs w:val="20"/>
                <w:color w:val="auto"/>
              </w:rPr>
            </w:pPr>
            <w:r>
              <w:rPr>
                <w:rFonts w:ascii="Arial" w:cs="Arial" w:eastAsia="Arial" w:hAnsi="Arial"/>
                <w:sz w:val="14"/>
                <w:szCs w:val="14"/>
                <w:color w:val="auto"/>
              </w:rPr>
              <w:t>(17 persons)</w:t>
            </w:r>
          </w:p>
        </w:tc>
        <w:tc>
          <w:tcPr>
            <w:tcW w:w="2160" w:type="dxa"/>
            <w:vAlign w:val="bottom"/>
            <w:gridSpan w:val="2"/>
          </w:tcPr>
          <w:p>
            <w:pPr>
              <w:jc w:val="right"/>
              <w:ind w:right="176"/>
              <w:spacing w:after="0"/>
              <w:rPr>
                <w:sz w:val="20"/>
                <w:szCs w:val="20"/>
                <w:color w:val="auto"/>
              </w:rPr>
            </w:pPr>
            <w:r>
              <w:rPr>
                <w:rFonts w:ascii="Arial" w:cs="Arial" w:eastAsia="Arial" w:hAnsi="Arial"/>
                <w:sz w:val="14"/>
                <w:szCs w:val="14"/>
                <w:color w:val="auto"/>
              </w:rPr>
              <w:t>1,292,312</w:t>
            </w:r>
          </w:p>
        </w:tc>
        <w:tc>
          <w:tcPr>
            <w:tcW w:w="2020" w:type="dxa"/>
            <w:vAlign w:val="bottom"/>
          </w:tcPr>
          <w:p>
            <w:pPr>
              <w:jc w:val="right"/>
              <w:ind w:right="771"/>
              <w:spacing w:after="0"/>
              <w:rPr>
                <w:sz w:val="20"/>
                <w:szCs w:val="20"/>
                <w:color w:val="auto"/>
              </w:rPr>
            </w:pPr>
            <w:r>
              <w:rPr>
                <w:rFonts w:ascii="Arial" w:cs="Arial" w:eastAsia="Arial" w:hAnsi="Arial"/>
                <w:sz w:val="14"/>
                <w:szCs w:val="14"/>
                <w:color w:val="auto"/>
              </w:rPr>
              <w:t>3.9</w:t>
            </w:r>
          </w:p>
        </w:tc>
        <w:tc>
          <w:tcPr>
            <w:tcW w:w="1620" w:type="dxa"/>
            <w:vAlign w:val="bottom"/>
          </w:tcPr>
          <w:p>
            <w:pPr>
              <w:jc w:val="right"/>
              <w:ind w:right="472"/>
              <w:spacing w:after="0"/>
              <w:rPr>
                <w:sz w:val="20"/>
                <w:szCs w:val="20"/>
                <w:color w:val="auto"/>
              </w:rPr>
            </w:pPr>
            <w:r>
              <w:rPr>
                <w:rFonts w:ascii="Arial" w:cs="Arial" w:eastAsia="Arial" w:hAnsi="Arial"/>
                <w:sz w:val="14"/>
                <w:szCs w:val="14"/>
                <w:color w:val="auto"/>
              </w:rPr>
              <w:t>810</w:t>
            </w:r>
          </w:p>
        </w:tc>
        <w:tc>
          <w:tcPr>
            <w:tcW w:w="860" w:type="dxa"/>
            <w:vAlign w:val="bottom"/>
          </w:tcPr>
          <w:p>
            <w:pPr>
              <w:spacing w:after="0"/>
              <w:rPr>
                <w:sz w:val="17"/>
                <w:szCs w:val="17"/>
                <w:color w:val="auto"/>
              </w:rPr>
            </w:pPr>
          </w:p>
        </w:tc>
        <w:tc>
          <w:tcPr>
            <w:tcW w:w="620" w:type="dxa"/>
            <w:vAlign w:val="bottom"/>
          </w:tcPr>
          <w:p>
            <w:pPr>
              <w:jc w:val="right"/>
              <w:ind w:right="151"/>
              <w:spacing w:after="0"/>
              <w:rPr>
                <w:sz w:val="20"/>
                <w:szCs w:val="20"/>
                <w:color w:val="auto"/>
              </w:rPr>
            </w:pPr>
            <w:r>
              <w:rPr>
                <w:rFonts w:ascii="Arial" w:cs="Arial" w:eastAsia="Arial" w:hAnsi="Arial"/>
                <w:sz w:val="14"/>
                <w:szCs w:val="14"/>
                <w:color w:val="auto"/>
              </w:rPr>
              <w:t>0.0</w:t>
            </w:r>
          </w:p>
        </w:tc>
      </w:tr>
      <w:tr>
        <w:trPr>
          <w:trHeight w:val="47"/>
        </w:trPr>
        <w:tc>
          <w:tcPr>
            <w:tcW w:w="334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2020" w:type="dxa"/>
            <w:vAlign w:val="bottom"/>
            <w:tcBorders>
              <w:bottom w:val="single" w:sz="8" w:color="7F7F7F"/>
            </w:tcBorders>
          </w:tcPr>
          <w:p>
            <w:pPr>
              <w:spacing w:after="0"/>
              <w:rPr>
                <w:sz w:val="4"/>
                <w:szCs w:val="4"/>
                <w:color w:val="auto"/>
              </w:rPr>
            </w:pPr>
          </w:p>
        </w:tc>
        <w:tc>
          <w:tcPr>
            <w:tcW w:w="162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r>
    </w:tbl>
    <w:p>
      <w:pPr>
        <w:spacing w:after="0" w:line="99" w:lineRule="exact"/>
        <w:rPr>
          <w:sz w:val="20"/>
          <w:szCs w:val="20"/>
          <w:color w:val="auto"/>
        </w:rPr>
      </w:pPr>
    </w:p>
    <w:p>
      <w:pPr>
        <w:ind w:left="304" w:right="60" w:hanging="304"/>
        <w:spacing w:after="0" w:line="232" w:lineRule="auto"/>
        <w:tabs>
          <w:tab w:leader="none" w:pos="304"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This information is based on the Schedule 13D (the “13D”) filed with the SEC on October 19, 2018 on behalf of the Terence E. Adderley Revocable Trust K (“Trust K”) and the three co-trustees of Trust K. Trust K was created by Terence E. Adderley, the Company’s former Chairman of the Board, during his lifetime as a revocable trust, with Mr. Adderley serving as the trustee of and retaining the right to revoke the trust during his lifetime. Mr. Adderley funded Trust K, including a gift of 3,139,940 shares of Class B Stock. Mr. Adderley died on October 9, 2018, at which time the trust became irrevocable. In accordance with the provisions of Trust K, Andrew H. Curoe, David M. Hempstead and William U. Parfet, were appointed as successor co-trustees of Trust K following Mr. Adderley’s death. They are required by the provisions of Trust K to act by majority vote to exercise voting or investment power over the Class B stock held by Trust K and have stated in the 13D that the filing is not an admission that the co-trustees are beneficial owners of such Class B stock. Mr. Curoe may be deemed the beneficial owner of an additional 42,825 shares of Class B Stock held by trusts where Mr. Curoe acts as trustee or co-trustee, including ten trusts holding 100 shares of Class B Stock each, and one trust holding 41,825 shares of Class B Stock. The business address of the Terence E. Adderley Revocable Trust K and each of Messrs. Curoe, Hempstead and Parfet is c/o Andrew H. Curoe, 6th Floor at Ford Field, 1901 St. Antoine Street, Detroit, Michigan 48226.</w:t>
      </w:r>
    </w:p>
    <w:p>
      <w:pPr>
        <w:spacing w:after="0" w:line="48" w:lineRule="exact"/>
        <w:rPr>
          <w:rFonts w:ascii="Arial" w:cs="Arial" w:eastAsia="Arial" w:hAnsi="Arial"/>
          <w:sz w:val="12"/>
          <w:szCs w:val="12"/>
          <w:color w:val="auto"/>
        </w:rPr>
      </w:pPr>
    </w:p>
    <w:p>
      <w:pPr>
        <w:ind w:left="304" w:right="180" w:hanging="304"/>
        <w:spacing w:after="0" w:line="264" w:lineRule="auto"/>
        <w:tabs>
          <w:tab w:leader="none" w:pos="304" w:val="left"/>
        </w:tabs>
        <w:numPr>
          <w:ilvl w:val="0"/>
          <w:numId w:val="26"/>
        </w:numPr>
        <w:rPr>
          <w:rFonts w:ascii="Arial" w:cs="Arial" w:eastAsia="Arial" w:hAnsi="Arial"/>
          <w:sz w:val="12"/>
          <w:szCs w:val="12"/>
          <w:color w:val="auto"/>
        </w:rPr>
      </w:pPr>
      <w:r>
        <w:rPr>
          <w:rFonts w:ascii="Arial" w:cs="Arial" w:eastAsia="Arial" w:hAnsi="Arial"/>
          <w:sz w:val="12"/>
          <w:szCs w:val="12"/>
          <w:color w:val="auto"/>
        </w:rPr>
        <w:t>IIncludes 43,532 shares for Mr. Adolph, 24,647 shares for Mr. Corona, 43,295 shares for Mr. Cubbin, 17,175 shares for Ms. Duggirala, 15,880 shares for Ms. Johnson, and 35,597 shares for Ms. Murphy indirectly held in the Company’s Non-Employee Directors Deferred Compensation Plan.</w:t>
      </w:r>
    </w:p>
    <w:p>
      <w:pPr>
        <w:spacing w:after="0" w:line="34" w:lineRule="exact"/>
        <w:rPr>
          <w:rFonts w:ascii="Arial" w:cs="Arial" w:eastAsia="Arial" w:hAnsi="Arial"/>
          <w:sz w:val="12"/>
          <w:szCs w:val="12"/>
          <w:color w:val="auto"/>
        </w:rPr>
      </w:pPr>
    </w:p>
    <w:p>
      <w:pPr>
        <w:ind w:left="304" w:hanging="304"/>
        <w:spacing w:after="0"/>
        <w:tabs>
          <w:tab w:leader="none" w:pos="304" w:val="left"/>
        </w:tabs>
        <w:numPr>
          <w:ilvl w:val="0"/>
          <w:numId w:val="26"/>
        </w:numPr>
        <w:rPr>
          <w:rFonts w:ascii="Arial" w:cs="Arial" w:eastAsia="Arial" w:hAnsi="Arial"/>
          <w:sz w:val="12"/>
          <w:szCs w:val="12"/>
          <w:color w:val="auto"/>
        </w:rPr>
      </w:pPr>
      <w:r>
        <w:rPr>
          <w:rFonts w:ascii="Arial" w:cs="Arial" w:eastAsia="Arial" w:hAnsi="Arial"/>
          <w:sz w:val="12"/>
          <w:szCs w:val="12"/>
          <w:color w:val="auto"/>
        </w:rPr>
        <w:t>Ms. Duggirala and Ms. Johnson were appointed to the Company’s Board of Directors on January 12, 2022.</w:t>
      </w:r>
    </w:p>
    <w:p>
      <w:pPr>
        <w:spacing w:after="0" w:line="70" w:lineRule="exact"/>
        <w:rPr>
          <w:rFonts w:ascii="Arial" w:cs="Arial" w:eastAsia="Arial" w:hAnsi="Arial"/>
          <w:sz w:val="12"/>
          <w:szCs w:val="12"/>
          <w:color w:val="auto"/>
        </w:rPr>
      </w:pPr>
    </w:p>
    <w:p>
      <w:pPr>
        <w:ind w:left="304" w:hanging="304"/>
        <w:spacing w:after="0"/>
        <w:tabs>
          <w:tab w:leader="none" w:pos="304" w:val="left"/>
        </w:tabs>
        <w:numPr>
          <w:ilvl w:val="0"/>
          <w:numId w:val="26"/>
        </w:numPr>
        <w:rPr>
          <w:rFonts w:ascii="Arial" w:cs="Arial" w:eastAsia="Arial" w:hAnsi="Arial"/>
          <w:sz w:val="12"/>
          <w:szCs w:val="12"/>
          <w:color w:val="auto"/>
        </w:rPr>
      </w:pPr>
      <w:r>
        <w:rPr>
          <w:rFonts w:ascii="Arial" w:cs="Arial" w:eastAsia="Arial" w:hAnsi="Arial"/>
          <w:sz w:val="12"/>
          <w:szCs w:val="12"/>
          <w:color w:val="auto"/>
        </w:rPr>
        <w:t>As part of the sale of our EMEA staffing operations, Ms. Koolhaas’ employment with the Company terminated on March 31, 2024.</w:t>
      </w:r>
    </w:p>
    <w:p>
      <w:pPr>
        <w:spacing w:after="0" w:line="21" w:lineRule="exact"/>
        <w:rPr>
          <w:rFonts w:ascii="Arial" w:cs="Arial" w:eastAsia="Arial" w:hAnsi="Arial"/>
          <w:sz w:val="12"/>
          <w:szCs w:val="12"/>
          <w:color w:val="auto"/>
        </w:rPr>
      </w:pPr>
    </w:p>
    <w:p>
      <w:pPr>
        <w:ind w:left="9064" w:hanging="281"/>
        <w:spacing w:after="0"/>
        <w:tabs>
          <w:tab w:leader="none" w:pos="9064" w:val="left"/>
        </w:tabs>
        <w:numPr>
          <w:ilvl w:val="1"/>
          <w:numId w:val="26"/>
        </w:numPr>
        <w:rPr>
          <w:rFonts w:ascii="Arial" w:cs="Arial" w:eastAsia="Arial" w:hAnsi="Arial"/>
          <w:sz w:val="21"/>
          <w:szCs w:val="21"/>
          <w:color w:val="auto"/>
          <w:vertAlign w:val="subscript"/>
        </w:rPr>
      </w:pPr>
      <w:r>
        <w:rPr>
          <w:sz w:val="1"/>
          <w:szCs w:val="1"/>
          <w:color w:val="auto"/>
        </w:rPr>
        <w:drawing>
          <wp:inline distT="0" distB="0" distL="0" distR="0">
            <wp:extent cx="396240" cy="189865"/>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vertAlign w:val="subscript"/>
        </w:rPr>
        <w:t xml:space="preserve">    </w:t>
      </w:r>
      <w:r>
        <w:rPr>
          <w:rFonts w:ascii="Arial" w:cs="Arial" w:eastAsia="Arial" w:hAnsi="Arial"/>
          <w:sz w:val="21"/>
          <w:szCs w:val="21"/>
          <w:color w:val="auto"/>
        </w:rPr>
        <w: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6311265</wp:posOffset>
            </wp:positionH>
            <wp:positionV relativeFrom="paragraph">
              <wp:posOffset>-134620</wp:posOffset>
            </wp:positionV>
            <wp:extent cx="8255" cy="2228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423" w:right="6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Beneficial Ownership of Shares</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Delinquent Section 16(a) Reports</w:t>
      </w:r>
    </w:p>
    <w:p>
      <w:pPr>
        <w:spacing w:after="0" w:line="72" w:lineRule="exact"/>
        <w:rPr>
          <w:sz w:val="20"/>
          <w:szCs w:val="20"/>
          <w:color w:val="auto"/>
        </w:rPr>
      </w:pPr>
    </w:p>
    <w:p>
      <w:pPr>
        <w:ind w:right="100"/>
        <w:spacing w:after="0" w:line="329" w:lineRule="auto"/>
        <w:rPr>
          <w:sz w:val="20"/>
          <w:szCs w:val="20"/>
          <w:color w:val="auto"/>
        </w:rPr>
      </w:pPr>
      <w:r>
        <w:rPr>
          <w:rFonts w:ascii="Arial" w:cs="Arial" w:eastAsia="Arial" w:hAnsi="Arial"/>
          <w:sz w:val="14"/>
          <w:szCs w:val="14"/>
          <w:color w:val="auto"/>
        </w:rPr>
        <w:t>Section 16(a) of the Exchange Act requires the Company’s directors and certain officers, as well as persons who beneficially own more than 10% of the outstanding shares of common stock, to file reports regarding their initial stock ownership and subsequent changes to their ownership with the SEC.</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Based solely upon a review of filings for fiscal year 2023 with the SEC and related written representations that no other reports were required, we believe that all Section 16(a) reports were filed on a timely basis, except a Form 4 for Mr. Corona due November 16, 2023, which was filed on November 17, 2023, to report his gift of 200 shares of Class A Common Stock to Oakland University on November 14, 2023.</w:t>
      </w:r>
    </w:p>
    <w:p>
      <w:pPr>
        <w:spacing w:after="0" w:line="49"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44 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540"/>
          </w:cols>
          <w:pgMar w:left="640" w:top="296" w:right="719" w:bottom="1440" w:gutter="0" w:footer="0" w:header="0"/>
        </w:sectPr>
      </w:pPr>
    </w:p>
    <w:bookmarkStart w:id="46" w:name="page47"/>
    <w:bookmarkEnd w:id="46"/>
    <w:p>
      <w:pPr>
        <w:ind w:right="940"/>
        <w:spacing w:after="0" w:line="295" w:lineRule="auto"/>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Proposal 2 – Advisory Vote to Approve the Company’s Executive Compensation</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As described in the following Compensation Discussion and Analysis, our executive compensation programs are designed to align the interests of our executive officers with those of our shareholders by tying a significant portion of the compensation they receive to Company performance, and by providing a competitive level of compensation in order to attract, retain, and reward executive officers who are critical to the long-term success of our business. Under these programs, our named executive officers are rewarded for the Company’s financial performance, individual performance, and long-term value creation, as well as to facilitate retention, and reflect market realities. Please read the Compensation Discussion and Analysis for additional details about our executive compensation programs, including information about the fiscal year 2023 compensation of our named executive officers.</w:t>
      </w:r>
    </w:p>
    <w:p>
      <w:pPr>
        <w:spacing w:after="0" w:line="1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As required by Section 14A of the Exchange Act, this proposal, commonly referred to as a “say-on-pay” proposal, seeks a shareholder advisory vote on our named executive officers’ compensation, as disclosed in this Proxy Statement pursuant to Item 402 of Regulation S-K and in the Compensation Discussion and Analysis, through the following resolution:</w:t>
      </w:r>
    </w:p>
    <w:p>
      <w:pPr>
        <w:spacing w:after="0" w:line="47"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“RESOLVED, that the Company’s shareholders approve, on an advisory basis, the compensation of the named executive officers, as disclosed in the Company’s Proxy Statement for the 2024 Annual Meeting of Shareholders pursuant to the compensation disclosure rules of the SEC, including the Compensation Discussion and Analysis, the 2023 Summary Compensation Table, and the other related tables and disclosure.”</w:t>
      </w:r>
    </w:p>
    <w:p>
      <w:pPr>
        <w:spacing w:after="0" w:line="34"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say-on-pay vote is advisory and, therefore, not binding on the Company. Our Board of Directors and our Compensation and Talent Management Committee value the opinions of our shareholders and consider the result of the advisory vote in designing and evaluating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6773545" cy="5041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73545" cy="50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6308725</wp:posOffset>
            </wp:positionH>
            <wp:positionV relativeFrom="paragraph">
              <wp:posOffset>-184150</wp:posOffset>
            </wp:positionV>
            <wp:extent cx="8255" cy="2228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540"/>
          </w:cols>
          <w:pgMar w:left="640" w:top="423" w:right="719" w:bottom="1440" w:gutter="0" w:footer="0" w:header="0"/>
        </w:sectPr>
      </w:pPr>
    </w:p>
    <w:bookmarkStart w:id="47" w:name="page48"/>
    <w:bookmarkEnd w:id="47"/>
    <w:p>
      <w:pPr>
        <w:ind w:left="4"/>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ectPr>
          <w:pgSz w:w="11900" w:h="16838" w:orient="portrait"/>
          <w:cols w:equalWidth="0" w:num="1">
            <w:col w:w="10624"/>
          </w:cols>
          <w:pgMar w:left="636" w:top="423" w:right="639" w:bottom="1440" w:gutter="0" w:footer="0" w:header="0"/>
        </w:sectPr>
      </w:pPr>
    </w:p>
    <w:p>
      <w:pPr>
        <w:spacing w:after="0" w:line="76" w:lineRule="exact"/>
        <w:rPr>
          <w:sz w:val="20"/>
          <w:szCs w:val="20"/>
          <w:color w:val="auto"/>
        </w:rPr>
      </w:pPr>
    </w:p>
    <w:p>
      <w:pPr>
        <w:ind w:left="4"/>
        <w:spacing w:after="0" w:line="242" w:lineRule="auto"/>
        <w:rPr>
          <w:sz w:val="20"/>
          <w:szCs w:val="20"/>
          <w:color w:val="auto"/>
        </w:rPr>
      </w:pPr>
      <w:r>
        <w:rPr>
          <w:rFonts w:ascii="Arial" w:cs="Arial" w:eastAsia="Arial" w:hAnsi="Arial"/>
          <w:sz w:val="16"/>
          <w:szCs w:val="16"/>
          <w:color w:val="auto"/>
        </w:rPr>
        <w:t>The Compensation Discussion and Analysis section of this Proxy Statement provides an overview of our executive compensation philosophy and objectives. This section describes the material elements of our executive compensation programs, the compensation decisions the Compensation and Talent Management Committee (the “Committee”) made under those programs, key factors considered, and details of the compensation paid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215900</wp:posOffset>
            </wp:positionV>
            <wp:extent cx="3230245" cy="49066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230245" cy="490664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4"/>
        <w:spacing w:after="0"/>
        <w:tabs>
          <w:tab w:leader="none" w:pos="543" w:val="left"/>
          <w:tab w:leader="none" w:pos="4563" w:val="left"/>
        </w:tabs>
        <w:rPr>
          <w:sz w:val="20"/>
          <w:szCs w:val="20"/>
          <w:color w:val="auto"/>
        </w:rPr>
      </w:pPr>
      <w:r>
        <w:rPr>
          <w:rFonts w:ascii="Arial" w:cs="Arial" w:eastAsia="Arial" w:hAnsi="Arial"/>
          <w:sz w:val="16"/>
          <w:szCs w:val="16"/>
          <w:color w:val="auto"/>
        </w:rPr>
        <w:t xml:space="preserve">    </w:t>
      </w:r>
      <w:r>
        <w:rPr>
          <w:sz w:val="20"/>
          <w:szCs w:val="20"/>
          <w:color w:val="auto"/>
        </w:rPr>
        <w:tab/>
      </w:r>
      <w:r>
        <w:rPr>
          <w:rFonts w:ascii="Arial" w:cs="Arial" w:eastAsia="Arial" w:hAnsi="Arial"/>
          <w:sz w:val="21"/>
          <w:szCs w:val="21"/>
          <w:b w:val="1"/>
          <w:bCs w:val="1"/>
          <w:color w:val="auto"/>
        </w:rPr>
        <w:t>2023 Named Executive Officers</w:t>
      </w:r>
      <w:r>
        <w:rPr>
          <w:sz w:val="20"/>
          <w:szCs w:val="20"/>
          <w:color w:val="auto"/>
        </w:rPr>
        <w:tab/>
      </w:r>
      <w:r>
        <w:rPr>
          <w:rFonts w:ascii="Arial" w:cs="Arial" w:eastAsia="Arial" w:hAnsi="Arial"/>
          <w:sz w:val="16"/>
          <w:szCs w:val="16"/>
          <w:color w:val="auto"/>
        </w:rPr>
        <w:t xml:space="preserve">    </w:t>
      </w:r>
    </w:p>
    <w:p>
      <w:pPr>
        <w:spacing w:after="0" w:line="111" w:lineRule="exact"/>
        <w:rPr>
          <w:sz w:val="20"/>
          <w:szCs w:val="20"/>
          <w:color w:val="auto"/>
        </w:rPr>
      </w:pPr>
    </w:p>
    <w:p>
      <w:pPr>
        <w:ind w:left="564"/>
        <w:spacing w:after="0"/>
        <w:rPr>
          <w:sz w:val="20"/>
          <w:szCs w:val="20"/>
          <w:color w:val="auto"/>
        </w:rPr>
      </w:pPr>
      <w:r>
        <w:rPr>
          <w:rFonts w:ascii="Arial" w:cs="Arial" w:eastAsia="Arial" w:hAnsi="Arial"/>
          <w:sz w:val="16"/>
          <w:szCs w:val="16"/>
          <w:color w:val="auto"/>
        </w:rPr>
        <w:t>Our named executive officers for 2023, as defined by the</w:t>
      </w:r>
    </w:p>
    <w:p>
      <w:pPr>
        <w:spacing w:after="0" w:line="1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SEC, were as follows:</w:t>
      </w:r>
    </w:p>
    <w:p>
      <w:pPr>
        <w:spacing w:after="0" w:line="231" w:lineRule="exact"/>
        <w:rPr>
          <w:sz w:val="20"/>
          <w:szCs w:val="20"/>
          <w:color w:val="auto"/>
        </w:rPr>
      </w:pPr>
    </w:p>
    <w:p>
      <w:pPr>
        <w:ind w:left="1684"/>
        <w:spacing w:after="0"/>
        <w:rPr>
          <w:sz w:val="20"/>
          <w:szCs w:val="20"/>
          <w:color w:val="auto"/>
        </w:rPr>
      </w:pPr>
      <w:r>
        <w:rPr>
          <w:rFonts w:ascii="Arial" w:cs="Arial" w:eastAsia="Arial" w:hAnsi="Arial"/>
          <w:sz w:val="16"/>
          <w:szCs w:val="16"/>
          <w:color w:val="auto"/>
        </w:rPr>
        <w:t> </w:t>
      </w:r>
    </w:p>
    <w:p>
      <w:pPr>
        <w:spacing w:after="0" w:line="61" w:lineRule="exact"/>
        <w:rPr>
          <w:sz w:val="20"/>
          <w:szCs w:val="20"/>
          <w:color w:val="auto"/>
        </w:rPr>
      </w:pPr>
    </w:p>
    <w:p>
      <w:pPr>
        <w:ind w:left="1984"/>
        <w:spacing w:after="0"/>
        <w:rPr>
          <w:sz w:val="20"/>
          <w:szCs w:val="20"/>
          <w:color w:val="auto"/>
        </w:rPr>
      </w:pPr>
      <w:r>
        <w:rPr>
          <w:rFonts w:ascii="Arial" w:cs="Arial" w:eastAsia="Arial" w:hAnsi="Arial"/>
          <w:sz w:val="16"/>
          <w:szCs w:val="16"/>
          <w:b w:val="1"/>
          <w:bCs w:val="1"/>
          <w:color w:val="auto"/>
        </w:rPr>
        <w:t>Peter W. Quigley</w:t>
      </w:r>
    </w:p>
    <w:p>
      <w:pPr>
        <w:spacing w:after="0" w:line="12" w:lineRule="exact"/>
        <w:rPr>
          <w:sz w:val="20"/>
          <w:szCs w:val="20"/>
          <w:color w:val="auto"/>
        </w:rPr>
      </w:pPr>
    </w:p>
    <w:p>
      <w:pPr>
        <w:ind w:left="1984"/>
        <w:spacing w:after="0"/>
        <w:rPr>
          <w:sz w:val="20"/>
          <w:szCs w:val="20"/>
          <w:color w:val="auto"/>
        </w:rPr>
      </w:pPr>
      <w:r>
        <w:rPr>
          <w:rFonts w:ascii="Arial" w:cs="Arial" w:eastAsia="Arial" w:hAnsi="Arial"/>
          <w:sz w:val="16"/>
          <w:szCs w:val="16"/>
          <w:color w:val="auto"/>
        </w:rPr>
        <w:t>President and Chief</w:t>
      </w:r>
    </w:p>
    <w:p>
      <w:pPr>
        <w:ind w:left="1984"/>
        <w:spacing w:after="0"/>
        <w:rPr>
          <w:sz w:val="20"/>
          <w:szCs w:val="20"/>
          <w:color w:val="auto"/>
        </w:rPr>
      </w:pPr>
      <w:r>
        <w:rPr>
          <w:rFonts w:ascii="Arial" w:cs="Arial" w:eastAsia="Arial" w:hAnsi="Arial"/>
          <w:sz w:val="16"/>
          <w:szCs w:val="16"/>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984"/>
        <w:spacing w:after="0"/>
        <w:rPr>
          <w:sz w:val="20"/>
          <w:szCs w:val="20"/>
          <w:color w:val="auto"/>
        </w:rPr>
      </w:pPr>
      <w:r>
        <w:rPr>
          <w:rFonts w:ascii="Arial" w:cs="Arial" w:eastAsia="Arial" w:hAnsi="Arial"/>
          <w:sz w:val="16"/>
          <w:szCs w:val="16"/>
          <w:b w:val="1"/>
          <w:bCs w:val="1"/>
          <w:color w:val="auto"/>
        </w:rPr>
        <w:t>Olivier G. Thirot</w:t>
      </w:r>
    </w:p>
    <w:p>
      <w:pPr>
        <w:spacing w:after="0" w:line="12" w:lineRule="exact"/>
        <w:rPr>
          <w:sz w:val="20"/>
          <w:szCs w:val="20"/>
          <w:color w:val="auto"/>
        </w:rPr>
      </w:pPr>
    </w:p>
    <w:p>
      <w:pPr>
        <w:ind w:left="1984"/>
        <w:spacing w:after="0"/>
        <w:rPr>
          <w:sz w:val="20"/>
          <w:szCs w:val="20"/>
          <w:color w:val="auto"/>
        </w:rPr>
      </w:pPr>
      <w:r>
        <w:rPr>
          <w:rFonts w:ascii="Arial" w:cs="Arial" w:eastAsia="Arial" w:hAnsi="Arial"/>
          <w:sz w:val="16"/>
          <w:szCs w:val="16"/>
          <w:color w:val="auto"/>
        </w:rPr>
        <w:t>Executive Vice President and Chief</w:t>
      </w:r>
    </w:p>
    <w:p>
      <w:pPr>
        <w:ind w:left="1984"/>
        <w:spacing w:after="0"/>
        <w:rPr>
          <w:sz w:val="20"/>
          <w:szCs w:val="20"/>
          <w:color w:val="auto"/>
        </w:rPr>
      </w:pPr>
      <w:r>
        <w:rPr>
          <w:rFonts w:ascii="Arial" w:cs="Arial" w:eastAsia="Arial" w:hAnsi="Arial"/>
          <w:sz w:val="16"/>
          <w:szCs w:val="16"/>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984"/>
        <w:spacing w:after="0"/>
        <w:rPr>
          <w:sz w:val="20"/>
          <w:szCs w:val="20"/>
          <w:color w:val="auto"/>
        </w:rPr>
      </w:pPr>
      <w:r>
        <w:rPr>
          <w:rFonts w:ascii="Arial" w:cs="Arial" w:eastAsia="Arial" w:hAnsi="Arial"/>
          <w:sz w:val="16"/>
          <w:szCs w:val="16"/>
          <w:b w:val="1"/>
          <w:bCs w:val="1"/>
          <w:color w:val="auto"/>
        </w:rPr>
        <w:t>Daniel H. Malan</w:t>
      </w:r>
    </w:p>
    <w:p>
      <w:pPr>
        <w:spacing w:after="0" w:line="12" w:lineRule="exact"/>
        <w:rPr>
          <w:sz w:val="20"/>
          <w:szCs w:val="20"/>
          <w:color w:val="auto"/>
        </w:rPr>
      </w:pPr>
    </w:p>
    <w:p>
      <w:pPr>
        <w:ind w:left="1984"/>
        <w:spacing w:after="0"/>
        <w:rPr>
          <w:sz w:val="20"/>
          <w:szCs w:val="20"/>
          <w:color w:val="auto"/>
        </w:rPr>
      </w:pPr>
      <w:r>
        <w:rPr>
          <w:rFonts w:ascii="Arial" w:cs="Arial" w:eastAsia="Arial" w:hAnsi="Arial"/>
          <w:sz w:val="16"/>
          <w:szCs w:val="16"/>
          <w:color w:val="auto"/>
        </w:rPr>
        <w:t>Senior Vice President and President</w:t>
      </w:r>
    </w:p>
    <w:p>
      <w:pPr>
        <w:ind w:left="1984"/>
        <w:spacing w:after="0"/>
        <w:rPr>
          <w:sz w:val="20"/>
          <w:szCs w:val="20"/>
          <w:color w:val="auto"/>
        </w:rPr>
      </w:pPr>
      <w:r>
        <w:rPr>
          <w:rFonts w:ascii="Arial" w:cs="Arial" w:eastAsia="Arial" w:hAnsi="Arial"/>
          <w:sz w:val="16"/>
          <w:szCs w:val="16"/>
          <w:color w:val="auto"/>
        </w:rPr>
        <w:t>Science, Engineering &amp; Technology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984"/>
        <w:spacing w:after="0"/>
        <w:rPr>
          <w:sz w:val="20"/>
          <w:szCs w:val="20"/>
          <w:color w:val="auto"/>
        </w:rPr>
      </w:pPr>
      <w:r>
        <w:rPr>
          <w:rFonts w:ascii="Arial" w:cs="Arial" w:eastAsia="Arial" w:hAnsi="Arial"/>
          <w:sz w:val="16"/>
          <w:szCs w:val="16"/>
          <w:b w:val="1"/>
          <w:bCs w:val="1"/>
          <w:color w:val="auto"/>
        </w:rPr>
        <w:t>Vanessa P. Williams</w:t>
      </w:r>
    </w:p>
    <w:p>
      <w:pPr>
        <w:spacing w:after="0" w:line="12" w:lineRule="exact"/>
        <w:rPr>
          <w:sz w:val="20"/>
          <w:szCs w:val="20"/>
          <w:color w:val="auto"/>
        </w:rPr>
      </w:pPr>
    </w:p>
    <w:p>
      <w:pPr>
        <w:ind w:left="1984"/>
        <w:spacing w:after="0"/>
        <w:rPr>
          <w:sz w:val="20"/>
          <w:szCs w:val="20"/>
          <w:color w:val="auto"/>
        </w:rPr>
      </w:pPr>
      <w:r>
        <w:rPr>
          <w:rFonts w:ascii="Arial" w:cs="Arial" w:eastAsia="Arial" w:hAnsi="Arial"/>
          <w:sz w:val="16"/>
          <w:szCs w:val="16"/>
          <w:color w:val="auto"/>
        </w:rPr>
        <w:t>Senior Vice President,</w:t>
      </w:r>
    </w:p>
    <w:p>
      <w:pPr>
        <w:ind w:left="1984"/>
        <w:spacing w:after="0" w:line="237" w:lineRule="auto"/>
        <w:rPr>
          <w:sz w:val="20"/>
          <w:szCs w:val="20"/>
          <w:color w:val="auto"/>
        </w:rPr>
      </w:pPr>
      <w:r>
        <w:rPr>
          <w:rFonts w:ascii="Arial" w:cs="Arial" w:eastAsia="Arial" w:hAnsi="Arial"/>
          <w:sz w:val="16"/>
          <w:szCs w:val="16"/>
          <w:color w:val="auto"/>
        </w:rPr>
        <w:t>General Counsel and Corporate</w:t>
      </w:r>
    </w:p>
    <w:p>
      <w:pPr>
        <w:ind w:left="1984"/>
        <w:spacing w:after="0"/>
        <w:rPr>
          <w:sz w:val="20"/>
          <w:szCs w:val="20"/>
          <w:color w:val="auto"/>
        </w:rPr>
      </w:pPr>
      <w:r>
        <w:rPr>
          <w:rFonts w:ascii="Arial" w:cs="Arial" w:eastAsia="Arial" w:hAnsi="Arial"/>
          <w:sz w:val="16"/>
          <w:szCs w:val="16"/>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984"/>
        <w:spacing w:after="0"/>
        <w:rPr>
          <w:sz w:val="20"/>
          <w:szCs w:val="20"/>
          <w:color w:val="auto"/>
        </w:rPr>
      </w:pPr>
      <w:r>
        <w:rPr>
          <w:rFonts w:ascii="Arial" w:cs="Arial" w:eastAsia="Arial" w:hAnsi="Arial"/>
          <w:sz w:val="16"/>
          <w:szCs w:val="16"/>
          <w:b w:val="1"/>
          <w:bCs w:val="1"/>
          <w:color w:val="auto"/>
        </w:rPr>
        <w:t>Dinette Koolhaas</w:t>
      </w:r>
    </w:p>
    <w:p>
      <w:pPr>
        <w:spacing w:after="0" w:line="9" w:lineRule="exact"/>
        <w:rPr>
          <w:sz w:val="20"/>
          <w:szCs w:val="20"/>
          <w:color w:val="auto"/>
        </w:rPr>
      </w:pPr>
    </w:p>
    <w:p>
      <w:pPr>
        <w:ind w:left="1984"/>
        <w:spacing w:after="0"/>
        <w:rPr>
          <w:sz w:val="20"/>
          <w:szCs w:val="20"/>
          <w:color w:val="auto"/>
        </w:rPr>
      </w:pPr>
      <w:r>
        <w:rPr>
          <w:rFonts w:ascii="Arial" w:cs="Arial" w:eastAsia="Arial" w:hAnsi="Arial"/>
          <w:sz w:val="16"/>
          <w:szCs w:val="16"/>
          <w:color w:val="auto"/>
        </w:rPr>
        <w:t>Senior Vice President and</w:t>
      </w:r>
    </w:p>
    <w:p>
      <w:pPr>
        <w:ind w:left="1984"/>
        <w:spacing w:after="0"/>
        <w:rPr>
          <w:sz w:val="20"/>
          <w:szCs w:val="20"/>
          <w:color w:val="auto"/>
        </w:rPr>
      </w:pPr>
      <w:r>
        <w:rPr>
          <w:rFonts w:ascii="Arial" w:cs="Arial" w:eastAsia="Arial" w:hAnsi="Arial"/>
          <w:sz w:val="16"/>
          <w:szCs w:val="16"/>
          <w:color w:val="auto"/>
        </w:rPr>
        <w:t>President International</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Compensation Discussion and Analysis is organized in the following sections:</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CD&amp;A 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gridSpan w:val="27"/>
          </w:tcPr>
          <w:p>
            <w:pPr>
              <w:spacing w:after="0"/>
              <w:rPr>
                <w:sz w:val="20"/>
                <w:szCs w:val="20"/>
                <w:color w:val="auto"/>
              </w:rPr>
            </w:pPr>
            <w:r>
              <w:rPr>
                <w:rFonts w:ascii="Arial" w:cs="Arial" w:eastAsia="Arial" w:hAnsi="Arial"/>
                <w:sz w:val="16"/>
                <w:szCs w:val="16"/>
                <w:b w:val="1"/>
                <w:bCs w:val="1"/>
                <w:color w:val="0000EE"/>
              </w:rPr>
              <w:t>2023 Named Executive Officers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0A9E50"/>
              </w:rPr>
              <w:t>46</w:t>
            </w:r>
          </w:p>
        </w:tc>
        <w:tc>
          <w:tcPr>
            <w:tcW w:w="0" w:type="dxa"/>
            <w:vAlign w:val="bottom"/>
          </w:tcPr>
          <w:p>
            <w:pPr>
              <w:spacing w:after="0"/>
              <w:rPr>
                <w:sz w:val="1"/>
                <w:szCs w:val="1"/>
                <w:color w:val="auto"/>
              </w:rPr>
            </w:pPr>
          </w:p>
        </w:tc>
      </w:tr>
      <w:tr>
        <w:trPr>
          <w:trHeight w:val="71"/>
        </w:trPr>
        <w:tc>
          <w:tcPr>
            <w:tcW w:w="7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3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120" w:type="dxa"/>
            <w:vAlign w:val="bottom"/>
            <w:tcBorders>
              <w:top w:val="single" w:sz="8" w:color="0000EE"/>
              <w:bottom w:val="single" w:sz="8" w:color="0A9E50"/>
            </w:tcBorders>
          </w:tcPr>
          <w:p>
            <w:pPr>
              <w:spacing w:after="0"/>
              <w:rPr>
                <w:sz w:val="6"/>
                <w:szCs w:val="6"/>
                <w:color w:val="auto"/>
              </w:rPr>
            </w:pPr>
          </w:p>
        </w:tc>
        <w:tc>
          <w:tcPr>
            <w:tcW w:w="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22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1180" w:type="dxa"/>
            <w:vAlign w:val="bottom"/>
            <w:tcBorders>
              <w:bottom w:val="single" w:sz="8" w:color="0A9E50"/>
            </w:tcBorders>
          </w:tcPr>
          <w:p>
            <w:pPr>
              <w:spacing w:after="0"/>
              <w:rPr>
                <w:sz w:val="6"/>
                <w:szCs w:val="6"/>
                <w:color w:val="auto"/>
              </w:rPr>
            </w:pPr>
          </w:p>
        </w:tc>
        <w:tc>
          <w:tcPr>
            <w:tcW w:w="20" w:type="dxa"/>
            <w:vAlign w:val="bottom"/>
            <w:tcBorders>
              <w:bottom w:val="single" w:sz="8" w:color="0A9E50"/>
            </w:tcBorders>
          </w:tcPr>
          <w:p>
            <w:pPr>
              <w:spacing w:after="0"/>
              <w:rPr>
                <w:sz w:val="6"/>
                <w:szCs w:val="6"/>
                <w:color w:val="auto"/>
              </w:rPr>
            </w:pPr>
          </w:p>
        </w:tc>
        <w:tc>
          <w:tcPr>
            <w:tcW w:w="180" w:type="dxa"/>
            <w:vAlign w:val="bottom"/>
            <w:tcBorders>
              <w:bottom w:val="single" w:sz="8" w:color="0A9E50"/>
            </w:tcBorders>
          </w:tcPr>
          <w:p>
            <w:pPr>
              <w:spacing w:after="0"/>
              <w:rPr>
                <w:sz w:val="6"/>
                <w:szCs w:val="6"/>
                <w:color w:val="auto"/>
              </w:rPr>
            </w:pPr>
          </w:p>
        </w:tc>
        <w:tc>
          <w:tcPr>
            <w:tcW w:w="60" w:type="dxa"/>
            <w:vAlign w:val="bottom"/>
            <w:tcBorders>
              <w:bottom w:val="single" w:sz="8" w:color="0A9E50"/>
            </w:tcBorders>
          </w:tcPr>
          <w:p>
            <w:pPr>
              <w:spacing w:after="0"/>
              <w:rPr>
                <w:sz w:val="6"/>
                <w:szCs w:val="6"/>
                <w:color w:val="auto"/>
              </w:rPr>
            </w:pPr>
          </w:p>
        </w:tc>
        <w:tc>
          <w:tcPr>
            <w:tcW w:w="160" w:type="dxa"/>
            <w:vAlign w:val="bottom"/>
            <w:tcBorders>
              <w:bottom w:val="single" w:sz="8" w:color="0A9E50"/>
            </w:tcBorders>
          </w:tcPr>
          <w:p>
            <w:pPr>
              <w:spacing w:after="0"/>
              <w:rPr>
                <w:sz w:val="6"/>
                <w:szCs w:val="6"/>
                <w:color w:val="auto"/>
              </w:rPr>
            </w:pPr>
          </w:p>
        </w:tc>
        <w:tc>
          <w:tcPr>
            <w:tcW w:w="20" w:type="dxa"/>
            <w:vAlign w:val="bottom"/>
            <w:tcBorders>
              <w:bottom w:val="single" w:sz="8" w:color="0A9E50"/>
            </w:tcBorders>
          </w:tcPr>
          <w:p>
            <w:pPr>
              <w:spacing w:after="0"/>
              <w:rPr>
                <w:sz w:val="6"/>
                <w:szCs w:val="6"/>
                <w:color w:val="auto"/>
              </w:rPr>
            </w:pPr>
          </w:p>
        </w:tc>
        <w:tc>
          <w:tcPr>
            <w:tcW w:w="260" w:type="dxa"/>
            <w:vAlign w:val="bottom"/>
            <w:tcBorders>
              <w:bottom w:val="single" w:sz="8" w:color="0A9E50"/>
            </w:tcBorders>
          </w:tcPr>
          <w:p>
            <w:pPr>
              <w:spacing w:after="0"/>
              <w:rPr>
                <w:sz w:val="6"/>
                <w:szCs w:val="6"/>
                <w:color w:val="auto"/>
              </w:rPr>
            </w:pPr>
          </w:p>
        </w:tc>
        <w:tc>
          <w:tcPr>
            <w:tcW w:w="80" w:type="dxa"/>
            <w:vAlign w:val="bottom"/>
            <w:tcBorders>
              <w:bottom w:val="single" w:sz="8" w:color="0A9E50"/>
            </w:tcBorders>
          </w:tcPr>
          <w:p>
            <w:pPr>
              <w:spacing w:after="0"/>
              <w:rPr>
                <w:sz w:val="6"/>
                <w:szCs w:val="6"/>
                <w:color w:val="auto"/>
              </w:rPr>
            </w:pPr>
          </w:p>
        </w:tc>
        <w:tc>
          <w:tcPr>
            <w:tcW w:w="40" w:type="dxa"/>
            <w:vAlign w:val="bottom"/>
            <w:tcBorders>
              <w:bottom w:val="single" w:sz="8" w:color="0A9E50"/>
            </w:tcBorders>
          </w:tcPr>
          <w:p>
            <w:pPr>
              <w:spacing w:after="0"/>
              <w:rPr>
                <w:sz w:val="6"/>
                <w:szCs w:val="6"/>
                <w:color w:val="auto"/>
              </w:rPr>
            </w:pPr>
          </w:p>
        </w:tc>
        <w:tc>
          <w:tcPr>
            <w:tcW w:w="20" w:type="dxa"/>
            <w:vAlign w:val="bottom"/>
            <w:tcBorders>
              <w:bottom w:val="single" w:sz="8" w:color="0A9E50"/>
            </w:tcBorders>
          </w:tcPr>
          <w:p>
            <w:pPr>
              <w:spacing w:after="0"/>
              <w:rPr>
                <w:sz w:val="6"/>
                <w:szCs w:val="6"/>
                <w:color w:val="auto"/>
              </w:rPr>
            </w:pPr>
          </w:p>
        </w:tc>
        <w:tc>
          <w:tcPr>
            <w:tcW w:w="140" w:type="dxa"/>
            <w:vAlign w:val="bottom"/>
            <w:tcBorders>
              <w:bottom w:val="single" w:sz="8" w:color="0A9E50"/>
            </w:tcBorders>
          </w:tcPr>
          <w:p>
            <w:pPr>
              <w:spacing w:after="0"/>
              <w:rPr>
                <w:sz w:val="6"/>
                <w:szCs w:val="6"/>
                <w:color w:val="auto"/>
              </w:rPr>
            </w:pPr>
          </w:p>
        </w:tc>
        <w:tc>
          <w:tcPr>
            <w:tcW w:w="40" w:type="dxa"/>
            <w:vAlign w:val="bottom"/>
            <w:tcBorders>
              <w:bottom w:val="single" w:sz="8" w:color="0A9E50"/>
            </w:tcBorders>
          </w:tcPr>
          <w:p>
            <w:pPr>
              <w:spacing w:after="0"/>
              <w:rPr>
                <w:sz w:val="6"/>
                <w:szCs w:val="6"/>
                <w:color w:val="auto"/>
              </w:rPr>
            </w:pPr>
          </w:p>
        </w:tc>
        <w:tc>
          <w:tcPr>
            <w:tcW w:w="220" w:type="dxa"/>
            <w:vAlign w:val="bottom"/>
            <w:tcBorders>
              <w:bottom w:val="single" w:sz="8" w:color="0A9E50"/>
            </w:tcBorders>
          </w:tcPr>
          <w:p>
            <w:pPr>
              <w:spacing w:after="0"/>
              <w:rPr>
                <w:sz w:val="6"/>
                <w:szCs w:val="6"/>
                <w:color w:val="auto"/>
              </w:rPr>
            </w:pPr>
          </w:p>
        </w:tc>
        <w:tc>
          <w:tcPr>
            <w:tcW w:w="460" w:type="dxa"/>
            <w:vAlign w:val="bottom"/>
            <w:tcBorders>
              <w:bottom w:val="single" w:sz="8" w:color="0A9E50"/>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740" w:type="dxa"/>
            <w:vAlign w:val="bottom"/>
            <w:gridSpan w:val="27"/>
          </w:tcPr>
          <w:p>
            <w:pPr>
              <w:spacing w:after="0" w:line="162" w:lineRule="exact"/>
              <w:rPr>
                <w:sz w:val="20"/>
                <w:szCs w:val="20"/>
                <w:color w:val="auto"/>
              </w:rPr>
            </w:pPr>
            <w:r>
              <w:rPr>
                <w:rFonts w:ascii="Arial" w:cs="Arial" w:eastAsia="Arial" w:hAnsi="Arial"/>
                <w:sz w:val="16"/>
                <w:szCs w:val="16"/>
                <w:b w:val="1"/>
                <w:bCs w:val="1"/>
                <w:color w:val="0000EE"/>
              </w:rPr>
              <w:t>Executive Summary</w:t>
            </w:r>
          </w:p>
        </w:tc>
        <w:tc>
          <w:tcPr>
            <w:tcW w:w="460" w:type="dxa"/>
            <w:vAlign w:val="bottom"/>
          </w:tcPr>
          <w:p>
            <w:pPr>
              <w:jc w:val="right"/>
              <w:spacing w:after="0" w:line="162" w:lineRule="exact"/>
              <w:rPr>
                <w:sz w:val="20"/>
                <w:szCs w:val="20"/>
                <w:color w:val="auto"/>
              </w:rPr>
            </w:pPr>
            <w:r>
              <w:rPr>
                <w:rFonts w:ascii="Arial" w:cs="Arial" w:eastAsia="Arial" w:hAnsi="Arial"/>
                <w:sz w:val="16"/>
                <w:szCs w:val="16"/>
                <w:b w:val="1"/>
                <w:bCs w:val="1"/>
                <w:color w:val="0A9E50"/>
              </w:rPr>
              <w:t>48</w:t>
            </w:r>
          </w:p>
        </w:tc>
        <w:tc>
          <w:tcPr>
            <w:tcW w:w="0" w:type="dxa"/>
            <w:vAlign w:val="bottom"/>
          </w:tcPr>
          <w:p>
            <w:pPr>
              <w:spacing w:after="0"/>
              <w:rPr>
                <w:sz w:val="1"/>
                <w:szCs w:val="1"/>
                <w:color w:val="auto"/>
              </w:rPr>
            </w:pPr>
          </w:p>
        </w:tc>
      </w:tr>
      <w:tr>
        <w:trPr>
          <w:trHeight w:val="71"/>
        </w:trPr>
        <w:tc>
          <w:tcPr>
            <w:tcW w:w="7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3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80" w:type="dxa"/>
            <w:vAlign w:val="bottom"/>
            <w:tcBorders>
              <w:bottom w:val="single" w:sz="8" w:color="0A9E50"/>
            </w:tcBorders>
          </w:tcPr>
          <w:p>
            <w:pPr>
              <w:spacing w:after="0"/>
              <w:rPr>
                <w:sz w:val="6"/>
                <w:szCs w:val="6"/>
                <w:color w:val="auto"/>
              </w:rPr>
            </w:pPr>
          </w:p>
        </w:tc>
        <w:tc>
          <w:tcPr>
            <w:tcW w:w="120" w:type="dxa"/>
            <w:vAlign w:val="bottom"/>
            <w:tcBorders>
              <w:bottom w:val="single" w:sz="8" w:color="0A9E50"/>
            </w:tcBorders>
          </w:tcPr>
          <w:p>
            <w:pPr>
              <w:spacing w:after="0"/>
              <w:rPr>
                <w:sz w:val="6"/>
                <w:szCs w:val="6"/>
                <w:color w:val="auto"/>
              </w:rPr>
            </w:pPr>
          </w:p>
        </w:tc>
        <w:tc>
          <w:tcPr>
            <w:tcW w:w="60" w:type="dxa"/>
            <w:vAlign w:val="bottom"/>
            <w:tcBorders>
              <w:bottom w:val="single" w:sz="8" w:color="0A9E50"/>
            </w:tcBorders>
          </w:tcPr>
          <w:p>
            <w:pPr>
              <w:spacing w:after="0"/>
              <w:rPr>
                <w:sz w:val="6"/>
                <w:szCs w:val="6"/>
                <w:color w:val="auto"/>
              </w:rPr>
            </w:pPr>
          </w:p>
        </w:tc>
        <w:tc>
          <w:tcPr>
            <w:tcW w:w="160" w:type="dxa"/>
            <w:vAlign w:val="bottom"/>
            <w:tcBorders>
              <w:bottom w:val="single" w:sz="8" w:color="0A9E50"/>
            </w:tcBorders>
          </w:tcPr>
          <w:p>
            <w:pPr>
              <w:spacing w:after="0"/>
              <w:rPr>
                <w:sz w:val="6"/>
                <w:szCs w:val="6"/>
                <w:color w:val="auto"/>
              </w:rPr>
            </w:pPr>
          </w:p>
        </w:tc>
        <w:tc>
          <w:tcPr>
            <w:tcW w:w="40" w:type="dxa"/>
            <w:vAlign w:val="bottom"/>
            <w:tcBorders>
              <w:bottom w:val="single" w:sz="8" w:color="0A9E50"/>
            </w:tcBorders>
          </w:tcPr>
          <w:p>
            <w:pPr>
              <w:spacing w:after="0"/>
              <w:rPr>
                <w:sz w:val="6"/>
                <w:szCs w:val="6"/>
                <w:color w:val="auto"/>
              </w:rPr>
            </w:pPr>
          </w:p>
        </w:tc>
        <w:tc>
          <w:tcPr>
            <w:tcW w:w="220" w:type="dxa"/>
            <w:vAlign w:val="bottom"/>
            <w:tcBorders>
              <w:bottom w:val="single" w:sz="8" w:color="0A9E50"/>
            </w:tcBorders>
          </w:tcPr>
          <w:p>
            <w:pPr>
              <w:spacing w:after="0"/>
              <w:rPr>
                <w:sz w:val="6"/>
                <w:szCs w:val="6"/>
                <w:color w:val="auto"/>
              </w:rPr>
            </w:pPr>
          </w:p>
        </w:tc>
        <w:tc>
          <w:tcPr>
            <w:tcW w:w="80" w:type="dxa"/>
            <w:vAlign w:val="bottom"/>
            <w:tcBorders>
              <w:bottom w:val="single" w:sz="8" w:color="0A9E50"/>
            </w:tcBorders>
          </w:tcPr>
          <w:p>
            <w:pPr>
              <w:spacing w:after="0"/>
              <w:rPr>
                <w:sz w:val="6"/>
                <w:szCs w:val="6"/>
                <w:color w:val="auto"/>
              </w:rPr>
            </w:pPr>
          </w:p>
        </w:tc>
        <w:tc>
          <w:tcPr>
            <w:tcW w:w="80" w:type="dxa"/>
            <w:vAlign w:val="bottom"/>
            <w:tcBorders>
              <w:bottom w:val="single" w:sz="8" w:color="0A9E50"/>
            </w:tcBorders>
          </w:tcPr>
          <w:p>
            <w:pPr>
              <w:spacing w:after="0"/>
              <w:rPr>
                <w:sz w:val="6"/>
                <w:szCs w:val="6"/>
                <w:color w:val="auto"/>
              </w:rPr>
            </w:pPr>
          </w:p>
        </w:tc>
        <w:tc>
          <w:tcPr>
            <w:tcW w:w="1180" w:type="dxa"/>
            <w:vAlign w:val="bottom"/>
            <w:tcBorders>
              <w:bottom w:val="single" w:sz="8" w:color="0A9E50"/>
            </w:tcBorders>
          </w:tcPr>
          <w:p>
            <w:pPr>
              <w:spacing w:after="0"/>
              <w:rPr>
                <w:sz w:val="6"/>
                <w:szCs w:val="6"/>
                <w:color w:val="auto"/>
              </w:rPr>
            </w:pPr>
          </w:p>
        </w:tc>
        <w:tc>
          <w:tcPr>
            <w:tcW w:w="20" w:type="dxa"/>
            <w:vAlign w:val="bottom"/>
            <w:tcBorders>
              <w:bottom w:val="single" w:sz="8" w:color="0A9E50"/>
            </w:tcBorders>
          </w:tcPr>
          <w:p>
            <w:pPr>
              <w:spacing w:after="0"/>
              <w:rPr>
                <w:sz w:val="6"/>
                <w:szCs w:val="6"/>
                <w:color w:val="auto"/>
              </w:rPr>
            </w:pPr>
          </w:p>
        </w:tc>
        <w:tc>
          <w:tcPr>
            <w:tcW w:w="180" w:type="dxa"/>
            <w:vAlign w:val="bottom"/>
            <w:tcBorders>
              <w:bottom w:val="single" w:sz="8" w:color="0A9E50"/>
            </w:tcBorders>
          </w:tcPr>
          <w:p>
            <w:pPr>
              <w:spacing w:after="0"/>
              <w:rPr>
                <w:sz w:val="6"/>
                <w:szCs w:val="6"/>
                <w:color w:val="auto"/>
              </w:rPr>
            </w:pPr>
          </w:p>
        </w:tc>
        <w:tc>
          <w:tcPr>
            <w:tcW w:w="60" w:type="dxa"/>
            <w:vAlign w:val="bottom"/>
            <w:tcBorders>
              <w:bottom w:val="single" w:sz="8" w:color="0A9E50"/>
            </w:tcBorders>
          </w:tcPr>
          <w:p>
            <w:pPr>
              <w:spacing w:after="0"/>
              <w:rPr>
                <w:sz w:val="6"/>
                <w:szCs w:val="6"/>
                <w:color w:val="auto"/>
              </w:rPr>
            </w:pPr>
          </w:p>
        </w:tc>
        <w:tc>
          <w:tcPr>
            <w:tcW w:w="160" w:type="dxa"/>
            <w:vAlign w:val="bottom"/>
            <w:tcBorders>
              <w:bottom w:val="single" w:sz="8" w:color="0A9E50"/>
            </w:tcBorders>
          </w:tcPr>
          <w:p>
            <w:pPr>
              <w:spacing w:after="0"/>
              <w:rPr>
                <w:sz w:val="6"/>
                <w:szCs w:val="6"/>
                <w:color w:val="auto"/>
              </w:rPr>
            </w:pPr>
          </w:p>
        </w:tc>
        <w:tc>
          <w:tcPr>
            <w:tcW w:w="20" w:type="dxa"/>
            <w:vAlign w:val="bottom"/>
            <w:tcBorders>
              <w:bottom w:val="single" w:sz="8" w:color="0A9E50"/>
            </w:tcBorders>
          </w:tcPr>
          <w:p>
            <w:pPr>
              <w:spacing w:after="0"/>
              <w:rPr>
                <w:sz w:val="6"/>
                <w:szCs w:val="6"/>
                <w:color w:val="auto"/>
              </w:rPr>
            </w:pPr>
          </w:p>
        </w:tc>
        <w:tc>
          <w:tcPr>
            <w:tcW w:w="260" w:type="dxa"/>
            <w:vAlign w:val="bottom"/>
            <w:tcBorders>
              <w:bottom w:val="single" w:sz="8" w:color="0A9E50"/>
            </w:tcBorders>
          </w:tcPr>
          <w:p>
            <w:pPr>
              <w:spacing w:after="0"/>
              <w:rPr>
                <w:sz w:val="6"/>
                <w:szCs w:val="6"/>
                <w:color w:val="auto"/>
              </w:rPr>
            </w:pPr>
          </w:p>
        </w:tc>
        <w:tc>
          <w:tcPr>
            <w:tcW w:w="80" w:type="dxa"/>
            <w:vAlign w:val="bottom"/>
            <w:tcBorders>
              <w:bottom w:val="single" w:sz="8" w:color="0A9E50"/>
            </w:tcBorders>
          </w:tcPr>
          <w:p>
            <w:pPr>
              <w:spacing w:after="0"/>
              <w:rPr>
                <w:sz w:val="6"/>
                <w:szCs w:val="6"/>
                <w:color w:val="auto"/>
              </w:rPr>
            </w:pPr>
          </w:p>
        </w:tc>
        <w:tc>
          <w:tcPr>
            <w:tcW w:w="40" w:type="dxa"/>
            <w:vAlign w:val="bottom"/>
            <w:tcBorders>
              <w:bottom w:val="single" w:sz="8" w:color="0A9E50"/>
            </w:tcBorders>
          </w:tcPr>
          <w:p>
            <w:pPr>
              <w:spacing w:after="0"/>
              <w:rPr>
                <w:sz w:val="6"/>
                <w:szCs w:val="6"/>
                <w:color w:val="auto"/>
              </w:rPr>
            </w:pPr>
          </w:p>
        </w:tc>
        <w:tc>
          <w:tcPr>
            <w:tcW w:w="20" w:type="dxa"/>
            <w:vAlign w:val="bottom"/>
            <w:tcBorders>
              <w:bottom w:val="single" w:sz="8" w:color="0A9E50"/>
            </w:tcBorders>
          </w:tcPr>
          <w:p>
            <w:pPr>
              <w:spacing w:after="0"/>
              <w:rPr>
                <w:sz w:val="6"/>
                <w:szCs w:val="6"/>
                <w:color w:val="auto"/>
              </w:rPr>
            </w:pPr>
          </w:p>
        </w:tc>
        <w:tc>
          <w:tcPr>
            <w:tcW w:w="140" w:type="dxa"/>
            <w:vAlign w:val="bottom"/>
            <w:tcBorders>
              <w:bottom w:val="single" w:sz="8" w:color="0A9E50"/>
            </w:tcBorders>
          </w:tcPr>
          <w:p>
            <w:pPr>
              <w:spacing w:after="0"/>
              <w:rPr>
                <w:sz w:val="6"/>
                <w:szCs w:val="6"/>
                <w:color w:val="auto"/>
              </w:rPr>
            </w:pPr>
          </w:p>
        </w:tc>
        <w:tc>
          <w:tcPr>
            <w:tcW w:w="40" w:type="dxa"/>
            <w:vAlign w:val="bottom"/>
            <w:tcBorders>
              <w:bottom w:val="single" w:sz="8" w:color="0A9E50"/>
            </w:tcBorders>
          </w:tcPr>
          <w:p>
            <w:pPr>
              <w:spacing w:after="0"/>
              <w:rPr>
                <w:sz w:val="6"/>
                <w:szCs w:val="6"/>
                <w:color w:val="auto"/>
              </w:rPr>
            </w:pPr>
          </w:p>
        </w:tc>
        <w:tc>
          <w:tcPr>
            <w:tcW w:w="220" w:type="dxa"/>
            <w:vAlign w:val="bottom"/>
            <w:tcBorders>
              <w:bottom w:val="single" w:sz="8" w:color="0A9E50"/>
            </w:tcBorders>
          </w:tcPr>
          <w:p>
            <w:pPr>
              <w:spacing w:after="0"/>
              <w:rPr>
                <w:sz w:val="6"/>
                <w:szCs w:val="6"/>
                <w:color w:val="auto"/>
              </w:rPr>
            </w:pPr>
          </w:p>
        </w:tc>
        <w:tc>
          <w:tcPr>
            <w:tcW w:w="460" w:type="dxa"/>
            <w:vAlign w:val="bottom"/>
            <w:tcBorders>
              <w:bottom w:val="single" w:sz="8" w:color="0A9E50"/>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1740" w:type="dxa"/>
            <w:vAlign w:val="bottom"/>
            <w:tcBorders>
              <w:bottom w:val="single" w:sz="8" w:color="0000EE"/>
            </w:tcBorders>
            <w:gridSpan w:val="9"/>
          </w:tcPr>
          <w:p>
            <w:pPr>
              <w:spacing w:after="0" w:line="149" w:lineRule="exact"/>
              <w:rPr>
                <w:sz w:val="20"/>
                <w:szCs w:val="20"/>
                <w:color w:val="auto"/>
              </w:rPr>
            </w:pPr>
            <w:r>
              <w:rPr>
                <w:rFonts w:ascii="Arial" w:cs="Arial" w:eastAsia="Arial" w:hAnsi="Arial"/>
                <w:sz w:val="16"/>
                <w:szCs w:val="16"/>
                <w:color w:val="0000EE"/>
                <w:w w:val="96"/>
              </w:rPr>
              <w:t>Fiscal 2023 Performance</w:t>
            </w:r>
          </w:p>
        </w:tc>
        <w:tc>
          <w:tcPr>
            <w:tcW w:w="3000" w:type="dxa"/>
            <w:vAlign w:val="bottom"/>
            <w:gridSpan w:val="18"/>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7"/>
        </w:trPr>
        <w:tc>
          <w:tcPr>
            <w:tcW w:w="4480" w:type="dxa"/>
            <w:vAlign w:val="bottom"/>
            <w:tcBorders>
              <w:bottom w:val="single" w:sz="8" w:color="0000EE"/>
            </w:tcBorders>
            <w:gridSpan w:val="25"/>
          </w:tcPr>
          <w:p>
            <w:pPr>
              <w:spacing w:after="0"/>
              <w:rPr>
                <w:sz w:val="20"/>
                <w:szCs w:val="20"/>
                <w:color w:val="auto"/>
              </w:rPr>
            </w:pPr>
            <w:r>
              <w:rPr>
                <w:rFonts w:ascii="Arial" w:cs="Arial" w:eastAsia="Arial" w:hAnsi="Arial"/>
                <w:sz w:val="16"/>
                <w:szCs w:val="16"/>
                <w:color w:val="0000EE"/>
                <w:w w:val="97"/>
              </w:rPr>
              <w:t>Key Executive Compensation Program Highlights for Fiscal 2023</w:t>
            </w:r>
          </w:p>
        </w:tc>
        <w:tc>
          <w:tcPr>
            <w:tcW w:w="260" w:type="dxa"/>
            <w:vAlign w:val="bottom"/>
            <w:gridSpan w:val="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7"/>
        </w:trPr>
        <w:tc>
          <w:tcPr>
            <w:tcW w:w="168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w w:val="95"/>
              </w:rPr>
              <w:t>Annual Say on Pay Vote</w:t>
            </w:r>
          </w:p>
        </w:tc>
        <w:tc>
          <w:tcPr>
            <w:tcW w:w="3060" w:type="dxa"/>
            <w:vAlign w:val="bottom"/>
            <w:gridSpan w:val="19"/>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53"/>
        </w:trPr>
        <w:tc>
          <w:tcPr>
            <w:tcW w:w="4740" w:type="dxa"/>
            <w:vAlign w:val="bottom"/>
            <w:gridSpan w:val="27"/>
          </w:tcPr>
          <w:p>
            <w:pPr>
              <w:spacing w:after="0"/>
              <w:rPr>
                <w:sz w:val="20"/>
                <w:szCs w:val="20"/>
                <w:color w:val="auto"/>
              </w:rPr>
            </w:pPr>
            <w:r>
              <w:rPr>
                <w:rFonts w:ascii="Arial" w:cs="Arial" w:eastAsia="Arial" w:hAnsi="Arial"/>
                <w:sz w:val="16"/>
                <w:szCs w:val="16"/>
                <w:b w:val="1"/>
                <w:bCs w:val="1"/>
                <w:color w:val="0000EE"/>
              </w:rPr>
              <w:t>Executive Compensation Philosophy, Objectives, and Design</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0A9E50"/>
              </w:rPr>
              <w:t>50</w:t>
            </w:r>
          </w:p>
        </w:tc>
        <w:tc>
          <w:tcPr>
            <w:tcW w:w="0" w:type="dxa"/>
            <w:vAlign w:val="bottom"/>
          </w:tcPr>
          <w:p>
            <w:pPr>
              <w:spacing w:after="0"/>
              <w:rPr>
                <w:sz w:val="1"/>
                <w:szCs w:val="1"/>
                <w:color w:val="auto"/>
              </w:rPr>
            </w:pPr>
          </w:p>
        </w:tc>
      </w:tr>
      <w:tr>
        <w:trPr>
          <w:trHeight w:val="71"/>
        </w:trPr>
        <w:tc>
          <w:tcPr>
            <w:tcW w:w="7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3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120" w:type="dxa"/>
            <w:vAlign w:val="bottom"/>
            <w:tcBorders>
              <w:top w:val="single" w:sz="8" w:color="0000EE"/>
              <w:bottom w:val="single" w:sz="8" w:color="0A9E50"/>
            </w:tcBorders>
          </w:tcPr>
          <w:p>
            <w:pPr>
              <w:spacing w:after="0"/>
              <w:rPr>
                <w:sz w:val="6"/>
                <w:szCs w:val="6"/>
                <w:color w:val="auto"/>
              </w:rPr>
            </w:pPr>
          </w:p>
        </w:tc>
        <w:tc>
          <w:tcPr>
            <w:tcW w:w="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22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1180" w:type="dxa"/>
            <w:vAlign w:val="bottom"/>
            <w:tcBorders>
              <w:top w:val="single" w:sz="8" w:color="0000EE"/>
              <w:bottom w:val="single" w:sz="8" w:color="0A9E50"/>
            </w:tcBorders>
          </w:tcPr>
          <w:p>
            <w:pPr>
              <w:spacing w:after="0"/>
              <w:rPr>
                <w:sz w:val="6"/>
                <w:szCs w:val="6"/>
                <w:color w:val="auto"/>
              </w:rPr>
            </w:pPr>
          </w:p>
        </w:tc>
        <w:tc>
          <w:tcPr>
            <w:tcW w:w="20" w:type="dxa"/>
            <w:vAlign w:val="bottom"/>
            <w:tcBorders>
              <w:top w:val="single" w:sz="8" w:color="0000EE"/>
              <w:bottom w:val="single" w:sz="8" w:color="0A9E50"/>
            </w:tcBorders>
          </w:tcPr>
          <w:p>
            <w:pPr>
              <w:spacing w:after="0"/>
              <w:rPr>
                <w:sz w:val="6"/>
                <w:szCs w:val="6"/>
                <w:color w:val="auto"/>
              </w:rPr>
            </w:pPr>
          </w:p>
        </w:tc>
        <w:tc>
          <w:tcPr>
            <w:tcW w:w="180" w:type="dxa"/>
            <w:vAlign w:val="bottom"/>
            <w:tcBorders>
              <w:top w:val="single" w:sz="8" w:color="0000EE"/>
              <w:bottom w:val="single" w:sz="8" w:color="0A9E50"/>
            </w:tcBorders>
          </w:tcPr>
          <w:p>
            <w:pPr>
              <w:spacing w:after="0"/>
              <w:rPr>
                <w:sz w:val="6"/>
                <w:szCs w:val="6"/>
                <w:color w:val="auto"/>
              </w:rPr>
            </w:pPr>
          </w:p>
        </w:tc>
        <w:tc>
          <w:tcPr>
            <w:tcW w:w="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20" w:type="dxa"/>
            <w:vAlign w:val="bottom"/>
            <w:tcBorders>
              <w:top w:val="single" w:sz="8" w:color="0000EE"/>
              <w:bottom w:val="single" w:sz="8" w:color="0A9E50"/>
            </w:tcBorders>
          </w:tcPr>
          <w:p>
            <w:pPr>
              <w:spacing w:after="0"/>
              <w:rPr>
                <w:sz w:val="6"/>
                <w:szCs w:val="6"/>
                <w:color w:val="auto"/>
              </w:rPr>
            </w:pPr>
          </w:p>
        </w:tc>
        <w:tc>
          <w:tcPr>
            <w:tcW w:w="2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20" w:type="dxa"/>
            <w:vAlign w:val="bottom"/>
            <w:tcBorders>
              <w:top w:val="single" w:sz="8" w:color="0000EE"/>
              <w:bottom w:val="single" w:sz="8" w:color="0A9E50"/>
            </w:tcBorders>
          </w:tcPr>
          <w:p>
            <w:pPr>
              <w:spacing w:after="0"/>
              <w:rPr>
                <w:sz w:val="6"/>
                <w:szCs w:val="6"/>
                <w:color w:val="auto"/>
              </w:rPr>
            </w:pPr>
          </w:p>
        </w:tc>
        <w:tc>
          <w:tcPr>
            <w:tcW w:w="14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220" w:type="dxa"/>
            <w:vAlign w:val="bottom"/>
            <w:tcBorders>
              <w:bottom w:val="single" w:sz="8" w:color="0A9E50"/>
            </w:tcBorders>
          </w:tcPr>
          <w:p>
            <w:pPr>
              <w:spacing w:after="0"/>
              <w:rPr>
                <w:sz w:val="6"/>
                <w:szCs w:val="6"/>
                <w:color w:val="auto"/>
              </w:rPr>
            </w:pPr>
          </w:p>
        </w:tc>
        <w:tc>
          <w:tcPr>
            <w:tcW w:w="460" w:type="dxa"/>
            <w:vAlign w:val="bottom"/>
            <w:tcBorders>
              <w:bottom w:val="single" w:sz="8" w:color="0A9E50"/>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520" w:type="dxa"/>
            <w:vAlign w:val="bottom"/>
            <w:tcBorders>
              <w:bottom w:val="single" w:sz="8" w:color="0000EE"/>
            </w:tcBorders>
            <w:gridSpan w:val="16"/>
          </w:tcPr>
          <w:p>
            <w:pPr>
              <w:spacing w:after="0" w:line="149" w:lineRule="exact"/>
              <w:rPr>
                <w:sz w:val="20"/>
                <w:szCs w:val="20"/>
                <w:color w:val="auto"/>
              </w:rPr>
            </w:pPr>
            <w:r>
              <w:rPr>
                <w:rFonts w:ascii="Arial" w:cs="Arial" w:eastAsia="Arial" w:hAnsi="Arial"/>
                <w:sz w:val="16"/>
                <w:szCs w:val="16"/>
                <w:color w:val="0000EE"/>
                <w:w w:val="96"/>
              </w:rPr>
              <w:t>CEO and Other Named Executive Officers Pay Mix</w:t>
            </w:r>
          </w:p>
        </w:tc>
        <w:tc>
          <w:tcPr>
            <w:tcW w:w="1220" w:type="dxa"/>
            <w:vAlign w:val="bottom"/>
            <w:gridSpan w:val="11"/>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7"/>
        </w:trPr>
        <w:tc>
          <w:tcPr>
            <w:tcW w:w="4740" w:type="dxa"/>
            <w:vAlign w:val="bottom"/>
            <w:gridSpan w:val="27"/>
          </w:tcPr>
          <w:p>
            <w:pPr>
              <w:spacing w:after="0"/>
              <w:rPr>
                <w:sz w:val="20"/>
                <w:szCs w:val="20"/>
                <w:color w:val="auto"/>
              </w:rPr>
            </w:pPr>
            <w:r>
              <w:rPr>
                <w:rFonts w:ascii="Arial" w:cs="Arial" w:eastAsia="Arial" w:hAnsi="Arial"/>
                <w:sz w:val="16"/>
                <w:szCs w:val="16"/>
                <w:color w:val="0000EE"/>
              </w:rPr>
              <w:t>Elements of Compensation for Named Executive Officers</w:t>
            </w:r>
          </w:p>
        </w:tc>
        <w:tc>
          <w:tcPr>
            <w:tcW w:w="4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27"/>
        </w:trPr>
        <w:tc>
          <w:tcPr>
            <w:tcW w:w="3940" w:type="dxa"/>
            <w:vAlign w:val="bottom"/>
            <w:tcBorders>
              <w:top w:val="single" w:sz="8" w:color="0000EE"/>
            </w:tcBorders>
            <w:gridSpan w:val="20"/>
          </w:tcPr>
          <w:p>
            <w:pPr>
              <w:spacing w:after="0"/>
              <w:rPr>
                <w:sz w:val="20"/>
                <w:szCs w:val="20"/>
                <w:color w:val="auto"/>
              </w:rPr>
            </w:pPr>
            <w:r>
              <w:rPr>
                <w:rFonts w:ascii="Arial" w:cs="Arial" w:eastAsia="Arial" w:hAnsi="Arial"/>
                <w:sz w:val="16"/>
                <w:szCs w:val="16"/>
                <w:color w:val="0000EE"/>
              </w:rPr>
              <w:t>2024 Executive Incentive Plans</w:t>
            </w:r>
          </w:p>
        </w:tc>
        <w:tc>
          <w:tcPr>
            <w:tcW w:w="800" w:type="dxa"/>
            <w:vAlign w:val="bottom"/>
            <w:gridSpan w:val="7"/>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740" w:type="dxa"/>
            <w:vAlign w:val="bottom"/>
            <w:gridSpan w:val="27"/>
          </w:tcPr>
          <w:p>
            <w:pPr>
              <w:spacing w:after="0"/>
              <w:rPr>
                <w:sz w:val="20"/>
                <w:szCs w:val="20"/>
                <w:color w:val="auto"/>
              </w:rPr>
            </w:pPr>
            <w:r>
              <w:rPr>
                <w:rFonts w:ascii="Arial" w:cs="Arial" w:eastAsia="Arial" w:hAnsi="Arial"/>
                <w:sz w:val="16"/>
                <w:szCs w:val="16"/>
                <w:b w:val="1"/>
                <w:bCs w:val="1"/>
                <w:color w:val="0000EE"/>
              </w:rPr>
              <w:t>Process for Determining Executive Compensation</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0A9E50"/>
              </w:rPr>
              <w:t>52</w:t>
            </w:r>
          </w:p>
        </w:tc>
        <w:tc>
          <w:tcPr>
            <w:tcW w:w="0" w:type="dxa"/>
            <w:vAlign w:val="bottom"/>
          </w:tcPr>
          <w:p>
            <w:pPr>
              <w:spacing w:after="0"/>
              <w:rPr>
                <w:sz w:val="1"/>
                <w:szCs w:val="1"/>
                <w:color w:val="auto"/>
              </w:rPr>
            </w:pPr>
          </w:p>
        </w:tc>
      </w:tr>
      <w:tr>
        <w:trPr>
          <w:trHeight w:val="71"/>
        </w:trPr>
        <w:tc>
          <w:tcPr>
            <w:tcW w:w="7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3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120" w:type="dxa"/>
            <w:vAlign w:val="bottom"/>
            <w:tcBorders>
              <w:top w:val="single" w:sz="8" w:color="0000EE"/>
              <w:bottom w:val="single" w:sz="8" w:color="0A9E50"/>
            </w:tcBorders>
          </w:tcPr>
          <w:p>
            <w:pPr>
              <w:spacing w:after="0"/>
              <w:rPr>
                <w:sz w:val="6"/>
                <w:szCs w:val="6"/>
                <w:color w:val="auto"/>
              </w:rPr>
            </w:pPr>
          </w:p>
        </w:tc>
        <w:tc>
          <w:tcPr>
            <w:tcW w:w="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22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1180" w:type="dxa"/>
            <w:vAlign w:val="bottom"/>
            <w:tcBorders>
              <w:top w:val="single" w:sz="8" w:color="0000EE"/>
              <w:bottom w:val="single" w:sz="8" w:color="0A9E50"/>
            </w:tcBorders>
          </w:tcPr>
          <w:p>
            <w:pPr>
              <w:spacing w:after="0"/>
              <w:rPr>
                <w:sz w:val="6"/>
                <w:szCs w:val="6"/>
                <w:color w:val="auto"/>
              </w:rPr>
            </w:pPr>
          </w:p>
        </w:tc>
        <w:tc>
          <w:tcPr>
            <w:tcW w:w="20" w:type="dxa"/>
            <w:vAlign w:val="bottom"/>
            <w:tcBorders>
              <w:top w:val="single" w:sz="8" w:color="0000EE"/>
              <w:bottom w:val="single" w:sz="8" w:color="0A9E50"/>
            </w:tcBorders>
          </w:tcPr>
          <w:p>
            <w:pPr>
              <w:spacing w:after="0"/>
              <w:rPr>
                <w:sz w:val="6"/>
                <w:szCs w:val="6"/>
                <w:color w:val="auto"/>
              </w:rPr>
            </w:pPr>
          </w:p>
        </w:tc>
        <w:tc>
          <w:tcPr>
            <w:tcW w:w="180" w:type="dxa"/>
            <w:vAlign w:val="bottom"/>
            <w:tcBorders>
              <w:top w:val="single" w:sz="8" w:color="0000EE"/>
              <w:bottom w:val="single" w:sz="8" w:color="0A9E50"/>
            </w:tcBorders>
          </w:tcPr>
          <w:p>
            <w:pPr>
              <w:spacing w:after="0"/>
              <w:rPr>
                <w:sz w:val="6"/>
                <w:szCs w:val="6"/>
                <w:color w:val="auto"/>
              </w:rPr>
            </w:pPr>
          </w:p>
        </w:tc>
        <w:tc>
          <w:tcPr>
            <w:tcW w:w="60" w:type="dxa"/>
            <w:vAlign w:val="bottom"/>
            <w:tcBorders>
              <w:bottom w:val="single" w:sz="8" w:color="0A9E50"/>
            </w:tcBorders>
          </w:tcPr>
          <w:p>
            <w:pPr>
              <w:spacing w:after="0"/>
              <w:rPr>
                <w:sz w:val="6"/>
                <w:szCs w:val="6"/>
                <w:color w:val="auto"/>
              </w:rPr>
            </w:pPr>
          </w:p>
        </w:tc>
        <w:tc>
          <w:tcPr>
            <w:tcW w:w="160" w:type="dxa"/>
            <w:vAlign w:val="bottom"/>
            <w:tcBorders>
              <w:bottom w:val="single" w:sz="8" w:color="0A9E50"/>
            </w:tcBorders>
          </w:tcPr>
          <w:p>
            <w:pPr>
              <w:spacing w:after="0"/>
              <w:rPr>
                <w:sz w:val="6"/>
                <w:szCs w:val="6"/>
                <w:color w:val="auto"/>
              </w:rPr>
            </w:pPr>
          </w:p>
        </w:tc>
        <w:tc>
          <w:tcPr>
            <w:tcW w:w="20" w:type="dxa"/>
            <w:vAlign w:val="bottom"/>
            <w:tcBorders>
              <w:bottom w:val="single" w:sz="8" w:color="0A9E50"/>
            </w:tcBorders>
          </w:tcPr>
          <w:p>
            <w:pPr>
              <w:spacing w:after="0"/>
              <w:rPr>
                <w:sz w:val="6"/>
                <w:szCs w:val="6"/>
                <w:color w:val="auto"/>
              </w:rPr>
            </w:pPr>
          </w:p>
        </w:tc>
        <w:tc>
          <w:tcPr>
            <w:tcW w:w="260" w:type="dxa"/>
            <w:vAlign w:val="bottom"/>
            <w:tcBorders>
              <w:bottom w:val="single" w:sz="8" w:color="0A9E50"/>
            </w:tcBorders>
          </w:tcPr>
          <w:p>
            <w:pPr>
              <w:spacing w:after="0"/>
              <w:rPr>
                <w:sz w:val="6"/>
                <w:szCs w:val="6"/>
                <w:color w:val="auto"/>
              </w:rPr>
            </w:pPr>
          </w:p>
        </w:tc>
        <w:tc>
          <w:tcPr>
            <w:tcW w:w="80" w:type="dxa"/>
            <w:vAlign w:val="bottom"/>
            <w:tcBorders>
              <w:bottom w:val="single" w:sz="8" w:color="0A9E50"/>
            </w:tcBorders>
          </w:tcPr>
          <w:p>
            <w:pPr>
              <w:spacing w:after="0"/>
              <w:rPr>
                <w:sz w:val="6"/>
                <w:szCs w:val="6"/>
                <w:color w:val="auto"/>
              </w:rPr>
            </w:pPr>
          </w:p>
        </w:tc>
        <w:tc>
          <w:tcPr>
            <w:tcW w:w="40" w:type="dxa"/>
            <w:vAlign w:val="bottom"/>
            <w:tcBorders>
              <w:bottom w:val="single" w:sz="8" w:color="0A9E50"/>
            </w:tcBorders>
          </w:tcPr>
          <w:p>
            <w:pPr>
              <w:spacing w:after="0"/>
              <w:rPr>
                <w:sz w:val="6"/>
                <w:szCs w:val="6"/>
                <w:color w:val="auto"/>
              </w:rPr>
            </w:pPr>
          </w:p>
        </w:tc>
        <w:tc>
          <w:tcPr>
            <w:tcW w:w="20" w:type="dxa"/>
            <w:vAlign w:val="bottom"/>
            <w:tcBorders>
              <w:bottom w:val="single" w:sz="8" w:color="0A9E50"/>
            </w:tcBorders>
          </w:tcPr>
          <w:p>
            <w:pPr>
              <w:spacing w:after="0"/>
              <w:rPr>
                <w:sz w:val="6"/>
                <w:szCs w:val="6"/>
                <w:color w:val="auto"/>
              </w:rPr>
            </w:pPr>
          </w:p>
        </w:tc>
        <w:tc>
          <w:tcPr>
            <w:tcW w:w="140" w:type="dxa"/>
            <w:vAlign w:val="bottom"/>
            <w:tcBorders>
              <w:bottom w:val="single" w:sz="8" w:color="0A9E50"/>
            </w:tcBorders>
          </w:tcPr>
          <w:p>
            <w:pPr>
              <w:spacing w:after="0"/>
              <w:rPr>
                <w:sz w:val="6"/>
                <w:szCs w:val="6"/>
                <w:color w:val="auto"/>
              </w:rPr>
            </w:pPr>
          </w:p>
        </w:tc>
        <w:tc>
          <w:tcPr>
            <w:tcW w:w="40" w:type="dxa"/>
            <w:vAlign w:val="bottom"/>
            <w:tcBorders>
              <w:bottom w:val="single" w:sz="8" w:color="0A9E50"/>
            </w:tcBorders>
          </w:tcPr>
          <w:p>
            <w:pPr>
              <w:spacing w:after="0"/>
              <w:rPr>
                <w:sz w:val="6"/>
                <w:szCs w:val="6"/>
                <w:color w:val="auto"/>
              </w:rPr>
            </w:pPr>
          </w:p>
        </w:tc>
        <w:tc>
          <w:tcPr>
            <w:tcW w:w="220" w:type="dxa"/>
            <w:vAlign w:val="bottom"/>
            <w:tcBorders>
              <w:bottom w:val="single" w:sz="8" w:color="0A9E50"/>
            </w:tcBorders>
          </w:tcPr>
          <w:p>
            <w:pPr>
              <w:spacing w:after="0"/>
              <w:rPr>
                <w:sz w:val="6"/>
                <w:szCs w:val="6"/>
                <w:color w:val="auto"/>
              </w:rPr>
            </w:pPr>
          </w:p>
        </w:tc>
        <w:tc>
          <w:tcPr>
            <w:tcW w:w="460" w:type="dxa"/>
            <w:vAlign w:val="bottom"/>
            <w:tcBorders>
              <w:bottom w:val="single" w:sz="8" w:color="0A9E50"/>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340" w:type="dxa"/>
            <w:vAlign w:val="bottom"/>
            <w:tcBorders>
              <w:bottom w:val="single" w:sz="8" w:color="0000EE"/>
            </w:tcBorders>
            <w:gridSpan w:val="24"/>
          </w:tcPr>
          <w:p>
            <w:pPr>
              <w:spacing w:after="0" w:line="149" w:lineRule="exact"/>
              <w:rPr>
                <w:sz w:val="20"/>
                <w:szCs w:val="20"/>
                <w:color w:val="auto"/>
              </w:rPr>
            </w:pPr>
            <w:r>
              <w:rPr>
                <w:rFonts w:ascii="Arial" w:cs="Arial" w:eastAsia="Arial" w:hAnsi="Arial"/>
                <w:sz w:val="16"/>
                <w:szCs w:val="16"/>
                <w:color w:val="0000EE"/>
                <w:w w:val="97"/>
              </w:rPr>
              <w:t>Role of the Compensation and Talent Management Committee</w:t>
            </w:r>
          </w:p>
        </w:tc>
        <w:tc>
          <w:tcPr>
            <w:tcW w:w="400" w:type="dxa"/>
            <w:vAlign w:val="bottom"/>
            <w:gridSpan w:val="3"/>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7"/>
        </w:trPr>
        <w:tc>
          <w:tcPr>
            <w:tcW w:w="4740" w:type="dxa"/>
            <w:vAlign w:val="bottom"/>
            <w:gridSpan w:val="27"/>
          </w:tcPr>
          <w:p>
            <w:pPr>
              <w:spacing w:after="0"/>
              <w:rPr>
                <w:sz w:val="20"/>
                <w:szCs w:val="20"/>
                <w:color w:val="auto"/>
              </w:rPr>
            </w:pPr>
            <w:r>
              <w:rPr>
                <w:rFonts w:ascii="Arial" w:cs="Arial" w:eastAsia="Arial" w:hAnsi="Arial"/>
                <w:sz w:val="16"/>
                <w:szCs w:val="16"/>
                <w:color w:val="0000EE"/>
              </w:rPr>
              <w:t>Role of the Independent Compensation Consultant</w:t>
            </w:r>
          </w:p>
        </w:tc>
        <w:tc>
          <w:tcPr>
            <w:tcW w:w="4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7"/>
        </w:trPr>
        <w:tc>
          <w:tcPr>
            <w:tcW w:w="3500" w:type="dxa"/>
            <w:vAlign w:val="bottom"/>
            <w:tcBorders>
              <w:top w:val="single" w:sz="8" w:color="0000EE"/>
            </w:tcBorders>
            <w:gridSpan w:val="15"/>
          </w:tcPr>
          <w:p>
            <w:pPr>
              <w:spacing w:after="0"/>
              <w:rPr>
                <w:sz w:val="20"/>
                <w:szCs w:val="20"/>
                <w:color w:val="auto"/>
              </w:rPr>
            </w:pPr>
            <w:r>
              <w:rPr>
                <w:rFonts w:ascii="Arial" w:cs="Arial" w:eastAsia="Arial" w:hAnsi="Arial"/>
                <w:sz w:val="16"/>
                <w:szCs w:val="16"/>
                <w:color w:val="0000EE"/>
              </w:rPr>
              <w:t>Role of Management</w:t>
            </w:r>
          </w:p>
        </w:tc>
        <w:tc>
          <w:tcPr>
            <w:tcW w:w="1240" w:type="dxa"/>
            <w:vAlign w:val="bottom"/>
            <w:gridSpan w:val="1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7"/>
        </w:trPr>
        <w:tc>
          <w:tcPr>
            <w:tcW w:w="12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color w:val="0000EE"/>
                <w:w w:val="96"/>
              </w:rPr>
              <w:t>Comparator Data</w:t>
            </w:r>
          </w:p>
        </w:tc>
        <w:tc>
          <w:tcPr>
            <w:tcW w:w="240" w:type="dxa"/>
            <w:vAlign w:val="bottom"/>
            <w:tcBorders>
              <w:top w:val="single" w:sz="8" w:color="0000EE"/>
            </w:tcBorders>
            <w:gridSpan w:val="2"/>
          </w:tcPr>
          <w:p>
            <w:pPr>
              <w:spacing w:after="0"/>
              <w:rPr>
                <w:sz w:val="19"/>
                <w:szCs w:val="19"/>
                <w:color w:val="auto"/>
              </w:rPr>
            </w:pPr>
          </w:p>
        </w:tc>
        <w:tc>
          <w:tcPr>
            <w:tcW w:w="3300" w:type="dxa"/>
            <w:vAlign w:val="bottom"/>
            <w:gridSpan w:val="2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27"/>
        </w:trPr>
        <w:tc>
          <w:tcPr>
            <w:tcW w:w="432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color w:val="0000EE"/>
                <w:w w:val="97"/>
              </w:rPr>
              <w:t>Senior Officer Performance Reviews and Succession Planning</w:t>
            </w:r>
          </w:p>
        </w:tc>
        <w:tc>
          <w:tcPr>
            <w:tcW w:w="420" w:type="dxa"/>
            <w:vAlign w:val="bottom"/>
            <w:gridSpan w:val="4"/>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53"/>
        </w:trPr>
        <w:tc>
          <w:tcPr>
            <w:tcW w:w="4740" w:type="dxa"/>
            <w:vAlign w:val="bottom"/>
            <w:gridSpan w:val="27"/>
          </w:tcPr>
          <w:p>
            <w:pPr>
              <w:spacing w:after="0"/>
              <w:rPr>
                <w:sz w:val="20"/>
                <w:szCs w:val="20"/>
                <w:color w:val="auto"/>
              </w:rPr>
            </w:pPr>
            <w:r>
              <w:rPr>
                <w:rFonts w:ascii="Arial" w:cs="Arial" w:eastAsia="Arial" w:hAnsi="Arial"/>
                <w:sz w:val="16"/>
                <w:szCs w:val="16"/>
                <w:b w:val="1"/>
                <w:bCs w:val="1"/>
                <w:color w:val="0000EE"/>
              </w:rPr>
              <w:t>Compensation Programs:</w:t>
            </w: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0A9E50"/>
              </w:rPr>
              <w:t>54</w:t>
            </w:r>
          </w:p>
        </w:tc>
        <w:tc>
          <w:tcPr>
            <w:tcW w:w="0" w:type="dxa"/>
            <w:vAlign w:val="bottom"/>
          </w:tcPr>
          <w:p>
            <w:pPr>
              <w:spacing w:after="0"/>
              <w:rPr>
                <w:sz w:val="1"/>
                <w:szCs w:val="1"/>
                <w:color w:val="auto"/>
              </w:rPr>
            </w:pPr>
          </w:p>
        </w:tc>
      </w:tr>
      <w:tr>
        <w:trPr>
          <w:trHeight w:val="208"/>
        </w:trPr>
        <w:tc>
          <w:tcPr>
            <w:tcW w:w="1900" w:type="dxa"/>
            <w:vAlign w:val="bottom"/>
            <w:tcBorders>
              <w:top w:val="single" w:sz="8" w:color="0000EE"/>
            </w:tcBorders>
            <w:gridSpan w:val="10"/>
          </w:tcPr>
          <w:p>
            <w:pPr>
              <w:spacing w:after="0"/>
              <w:rPr>
                <w:sz w:val="20"/>
                <w:szCs w:val="20"/>
                <w:color w:val="auto"/>
              </w:rPr>
            </w:pPr>
            <w:r>
              <w:rPr>
                <w:rFonts w:ascii="Arial" w:cs="Arial" w:eastAsia="Arial" w:hAnsi="Arial"/>
                <w:sz w:val="16"/>
                <w:szCs w:val="16"/>
                <w:b w:val="1"/>
                <w:bCs w:val="1"/>
                <w:color w:val="0A9E50"/>
                <w:w w:val="98"/>
              </w:rPr>
              <w:t>Decisions and Actions in</w:t>
            </w:r>
          </w:p>
        </w:tc>
        <w:tc>
          <w:tcPr>
            <w:tcW w:w="340" w:type="dxa"/>
            <w:vAlign w:val="bottom"/>
            <w:gridSpan w:val="3"/>
          </w:tcPr>
          <w:p>
            <w:pPr>
              <w:jc w:val="right"/>
              <w:spacing w:after="0"/>
              <w:rPr>
                <w:sz w:val="20"/>
                <w:szCs w:val="20"/>
                <w:color w:val="auto"/>
              </w:rPr>
            </w:pPr>
            <w:r>
              <w:rPr>
                <w:rFonts w:ascii="Arial" w:cs="Arial" w:eastAsia="Arial" w:hAnsi="Arial"/>
                <w:sz w:val="16"/>
                <w:szCs w:val="16"/>
                <w:b w:val="1"/>
                <w:bCs w:val="1"/>
                <w:color w:val="0A9E50"/>
                <w:w w:val="89"/>
              </w:rPr>
              <w:t>2023</w:t>
            </w:r>
          </w:p>
        </w:tc>
        <w:tc>
          <w:tcPr>
            <w:tcW w:w="1520" w:type="dxa"/>
            <w:vAlign w:val="bottom"/>
            <w:gridSpan w:val="5"/>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5"/>
          </w:tcPr>
          <w:p>
            <w:pPr>
              <w:spacing w:after="0"/>
              <w:rPr>
                <w:sz w:val="18"/>
                <w:szCs w:val="18"/>
                <w:color w:val="auto"/>
              </w:rPr>
            </w:pPr>
          </w:p>
        </w:tc>
        <w:tc>
          <w:tcPr>
            <w:tcW w:w="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760" w:type="dxa"/>
            <w:vAlign w:val="bottom"/>
            <w:tcBorders>
              <w:bottom w:val="single" w:sz="8" w:color="0A9E50"/>
            </w:tcBorders>
          </w:tcPr>
          <w:p>
            <w:pPr>
              <w:spacing w:after="0"/>
              <w:rPr>
                <w:sz w:val="3"/>
                <w:szCs w:val="3"/>
                <w:color w:val="auto"/>
              </w:rPr>
            </w:pPr>
          </w:p>
        </w:tc>
        <w:tc>
          <w:tcPr>
            <w:tcW w:w="80" w:type="dxa"/>
            <w:vAlign w:val="bottom"/>
            <w:tcBorders>
              <w:bottom w:val="single" w:sz="8" w:color="0A9E50"/>
            </w:tcBorders>
          </w:tcPr>
          <w:p>
            <w:pPr>
              <w:spacing w:after="0"/>
              <w:rPr>
                <w:sz w:val="3"/>
                <w:szCs w:val="3"/>
                <w:color w:val="auto"/>
              </w:rPr>
            </w:pPr>
          </w:p>
        </w:tc>
        <w:tc>
          <w:tcPr>
            <w:tcW w:w="360" w:type="dxa"/>
            <w:vAlign w:val="bottom"/>
            <w:tcBorders>
              <w:bottom w:val="single" w:sz="8" w:color="0A9E50"/>
            </w:tcBorders>
          </w:tcPr>
          <w:p>
            <w:pPr>
              <w:spacing w:after="0"/>
              <w:rPr>
                <w:sz w:val="3"/>
                <w:szCs w:val="3"/>
                <w:color w:val="auto"/>
              </w:rPr>
            </w:pPr>
          </w:p>
        </w:tc>
        <w:tc>
          <w:tcPr>
            <w:tcW w:w="160" w:type="dxa"/>
            <w:vAlign w:val="bottom"/>
            <w:tcBorders>
              <w:bottom w:val="single" w:sz="8" w:color="0A9E50"/>
            </w:tcBorders>
          </w:tcPr>
          <w:p>
            <w:pPr>
              <w:spacing w:after="0"/>
              <w:rPr>
                <w:sz w:val="3"/>
                <w:szCs w:val="3"/>
                <w:color w:val="auto"/>
              </w:rPr>
            </w:pPr>
          </w:p>
        </w:tc>
        <w:tc>
          <w:tcPr>
            <w:tcW w:w="80" w:type="dxa"/>
            <w:vAlign w:val="bottom"/>
            <w:tcBorders>
              <w:bottom w:val="single" w:sz="8" w:color="0A9E50"/>
            </w:tcBorders>
          </w:tcPr>
          <w:p>
            <w:pPr>
              <w:spacing w:after="0"/>
              <w:rPr>
                <w:sz w:val="3"/>
                <w:szCs w:val="3"/>
                <w:color w:val="auto"/>
              </w:rPr>
            </w:pPr>
          </w:p>
        </w:tc>
        <w:tc>
          <w:tcPr>
            <w:tcW w:w="40" w:type="dxa"/>
            <w:vAlign w:val="bottom"/>
            <w:tcBorders>
              <w:bottom w:val="single" w:sz="8" w:color="0A9E50"/>
            </w:tcBorders>
          </w:tcPr>
          <w:p>
            <w:pPr>
              <w:spacing w:after="0"/>
              <w:rPr>
                <w:sz w:val="3"/>
                <w:szCs w:val="3"/>
                <w:color w:val="auto"/>
              </w:rPr>
            </w:pPr>
          </w:p>
        </w:tc>
        <w:tc>
          <w:tcPr>
            <w:tcW w:w="80" w:type="dxa"/>
            <w:vAlign w:val="bottom"/>
            <w:tcBorders>
              <w:bottom w:val="single" w:sz="8" w:color="0A9E50"/>
            </w:tcBorders>
          </w:tcPr>
          <w:p>
            <w:pPr>
              <w:spacing w:after="0"/>
              <w:rPr>
                <w:sz w:val="3"/>
                <w:szCs w:val="3"/>
                <w:color w:val="auto"/>
              </w:rPr>
            </w:pPr>
          </w:p>
        </w:tc>
        <w:tc>
          <w:tcPr>
            <w:tcW w:w="120" w:type="dxa"/>
            <w:vAlign w:val="bottom"/>
            <w:tcBorders>
              <w:bottom w:val="single" w:sz="8" w:color="0A9E50"/>
            </w:tcBorders>
          </w:tcPr>
          <w:p>
            <w:pPr>
              <w:spacing w:after="0"/>
              <w:rPr>
                <w:sz w:val="3"/>
                <w:szCs w:val="3"/>
                <w:color w:val="auto"/>
              </w:rPr>
            </w:pPr>
          </w:p>
        </w:tc>
        <w:tc>
          <w:tcPr>
            <w:tcW w:w="60" w:type="dxa"/>
            <w:vAlign w:val="bottom"/>
            <w:tcBorders>
              <w:bottom w:val="single" w:sz="8" w:color="0A9E50"/>
            </w:tcBorders>
          </w:tcPr>
          <w:p>
            <w:pPr>
              <w:spacing w:after="0"/>
              <w:rPr>
                <w:sz w:val="3"/>
                <w:szCs w:val="3"/>
                <w:color w:val="auto"/>
              </w:rPr>
            </w:pPr>
          </w:p>
        </w:tc>
        <w:tc>
          <w:tcPr>
            <w:tcW w:w="160" w:type="dxa"/>
            <w:vAlign w:val="bottom"/>
            <w:tcBorders>
              <w:bottom w:val="single" w:sz="8" w:color="0A9E50"/>
            </w:tcBorders>
          </w:tcPr>
          <w:p>
            <w:pPr>
              <w:spacing w:after="0"/>
              <w:rPr>
                <w:sz w:val="3"/>
                <w:szCs w:val="3"/>
                <w:color w:val="auto"/>
              </w:rPr>
            </w:pPr>
          </w:p>
        </w:tc>
        <w:tc>
          <w:tcPr>
            <w:tcW w:w="40" w:type="dxa"/>
            <w:vAlign w:val="bottom"/>
            <w:tcBorders>
              <w:bottom w:val="single" w:sz="8" w:color="0A9E50"/>
            </w:tcBorders>
          </w:tcPr>
          <w:p>
            <w:pPr>
              <w:spacing w:after="0"/>
              <w:rPr>
                <w:sz w:val="3"/>
                <w:szCs w:val="3"/>
                <w:color w:val="auto"/>
              </w:rPr>
            </w:pPr>
          </w:p>
        </w:tc>
        <w:tc>
          <w:tcPr>
            <w:tcW w:w="220" w:type="dxa"/>
            <w:vAlign w:val="bottom"/>
            <w:tcBorders>
              <w:bottom w:val="single" w:sz="8" w:color="0A9E50"/>
            </w:tcBorders>
          </w:tcPr>
          <w:p>
            <w:pPr>
              <w:spacing w:after="0"/>
              <w:rPr>
                <w:sz w:val="3"/>
                <w:szCs w:val="3"/>
                <w:color w:val="auto"/>
              </w:rPr>
            </w:pPr>
          </w:p>
        </w:tc>
        <w:tc>
          <w:tcPr>
            <w:tcW w:w="80" w:type="dxa"/>
            <w:vAlign w:val="bottom"/>
            <w:tcBorders>
              <w:bottom w:val="single" w:sz="8" w:color="0A9E50"/>
            </w:tcBorders>
          </w:tcPr>
          <w:p>
            <w:pPr>
              <w:spacing w:after="0"/>
              <w:rPr>
                <w:sz w:val="3"/>
                <w:szCs w:val="3"/>
                <w:color w:val="auto"/>
              </w:rPr>
            </w:pPr>
          </w:p>
        </w:tc>
        <w:tc>
          <w:tcPr>
            <w:tcW w:w="80" w:type="dxa"/>
            <w:vAlign w:val="bottom"/>
            <w:tcBorders>
              <w:bottom w:val="single" w:sz="8" w:color="0A9E50"/>
            </w:tcBorders>
          </w:tcPr>
          <w:p>
            <w:pPr>
              <w:spacing w:after="0"/>
              <w:rPr>
                <w:sz w:val="3"/>
                <w:szCs w:val="3"/>
                <w:color w:val="auto"/>
              </w:rPr>
            </w:pPr>
          </w:p>
        </w:tc>
        <w:tc>
          <w:tcPr>
            <w:tcW w:w="1180" w:type="dxa"/>
            <w:vAlign w:val="bottom"/>
            <w:tcBorders>
              <w:bottom w:val="single" w:sz="8" w:color="0A9E50"/>
            </w:tcBorders>
          </w:tcPr>
          <w:p>
            <w:pPr>
              <w:spacing w:after="0"/>
              <w:rPr>
                <w:sz w:val="3"/>
                <w:szCs w:val="3"/>
                <w:color w:val="auto"/>
              </w:rPr>
            </w:pPr>
          </w:p>
        </w:tc>
        <w:tc>
          <w:tcPr>
            <w:tcW w:w="20" w:type="dxa"/>
            <w:vAlign w:val="bottom"/>
            <w:tcBorders>
              <w:bottom w:val="single" w:sz="8" w:color="0A9E50"/>
            </w:tcBorders>
          </w:tcPr>
          <w:p>
            <w:pPr>
              <w:spacing w:after="0"/>
              <w:rPr>
                <w:sz w:val="3"/>
                <w:szCs w:val="3"/>
                <w:color w:val="auto"/>
              </w:rPr>
            </w:pPr>
          </w:p>
        </w:tc>
        <w:tc>
          <w:tcPr>
            <w:tcW w:w="180" w:type="dxa"/>
            <w:vAlign w:val="bottom"/>
            <w:tcBorders>
              <w:bottom w:val="single" w:sz="8" w:color="0A9E50"/>
            </w:tcBorders>
          </w:tcPr>
          <w:p>
            <w:pPr>
              <w:spacing w:after="0"/>
              <w:rPr>
                <w:sz w:val="3"/>
                <w:szCs w:val="3"/>
                <w:color w:val="auto"/>
              </w:rPr>
            </w:pPr>
          </w:p>
        </w:tc>
        <w:tc>
          <w:tcPr>
            <w:tcW w:w="60" w:type="dxa"/>
            <w:vAlign w:val="bottom"/>
            <w:tcBorders>
              <w:bottom w:val="single" w:sz="8" w:color="0A9E50"/>
            </w:tcBorders>
          </w:tcPr>
          <w:p>
            <w:pPr>
              <w:spacing w:after="0"/>
              <w:rPr>
                <w:sz w:val="3"/>
                <w:szCs w:val="3"/>
                <w:color w:val="auto"/>
              </w:rPr>
            </w:pPr>
          </w:p>
        </w:tc>
        <w:tc>
          <w:tcPr>
            <w:tcW w:w="160" w:type="dxa"/>
            <w:vAlign w:val="bottom"/>
            <w:tcBorders>
              <w:bottom w:val="single" w:sz="8" w:color="0A9E50"/>
            </w:tcBorders>
          </w:tcPr>
          <w:p>
            <w:pPr>
              <w:spacing w:after="0"/>
              <w:rPr>
                <w:sz w:val="3"/>
                <w:szCs w:val="3"/>
                <w:color w:val="auto"/>
              </w:rPr>
            </w:pPr>
          </w:p>
        </w:tc>
        <w:tc>
          <w:tcPr>
            <w:tcW w:w="20" w:type="dxa"/>
            <w:vAlign w:val="bottom"/>
            <w:tcBorders>
              <w:bottom w:val="single" w:sz="8" w:color="0A9E50"/>
            </w:tcBorders>
          </w:tcPr>
          <w:p>
            <w:pPr>
              <w:spacing w:after="0"/>
              <w:rPr>
                <w:sz w:val="3"/>
                <w:szCs w:val="3"/>
                <w:color w:val="auto"/>
              </w:rPr>
            </w:pPr>
          </w:p>
        </w:tc>
        <w:tc>
          <w:tcPr>
            <w:tcW w:w="260" w:type="dxa"/>
            <w:vAlign w:val="bottom"/>
            <w:tcBorders>
              <w:bottom w:val="single" w:sz="8" w:color="0A9E50"/>
            </w:tcBorders>
          </w:tcPr>
          <w:p>
            <w:pPr>
              <w:spacing w:after="0"/>
              <w:rPr>
                <w:sz w:val="3"/>
                <w:szCs w:val="3"/>
                <w:color w:val="auto"/>
              </w:rPr>
            </w:pPr>
          </w:p>
        </w:tc>
        <w:tc>
          <w:tcPr>
            <w:tcW w:w="80" w:type="dxa"/>
            <w:vAlign w:val="bottom"/>
            <w:tcBorders>
              <w:bottom w:val="single" w:sz="8" w:color="0A9E50"/>
            </w:tcBorders>
          </w:tcPr>
          <w:p>
            <w:pPr>
              <w:spacing w:after="0"/>
              <w:rPr>
                <w:sz w:val="3"/>
                <w:szCs w:val="3"/>
                <w:color w:val="auto"/>
              </w:rPr>
            </w:pPr>
          </w:p>
        </w:tc>
        <w:tc>
          <w:tcPr>
            <w:tcW w:w="40" w:type="dxa"/>
            <w:vAlign w:val="bottom"/>
            <w:tcBorders>
              <w:bottom w:val="single" w:sz="8" w:color="0A9E50"/>
            </w:tcBorders>
          </w:tcPr>
          <w:p>
            <w:pPr>
              <w:spacing w:after="0"/>
              <w:rPr>
                <w:sz w:val="3"/>
                <w:szCs w:val="3"/>
                <w:color w:val="auto"/>
              </w:rPr>
            </w:pPr>
          </w:p>
        </w:tc>
        <w:tc>
          <w:tcPr>
            <w:tcW w:w="20" w:type="dxa"/>
            <w:vAlign w:val="bottom"/>
            <w:tcBorders>
              <w:bottom w:val="single" w:sz="8" w:color="0A9E50"/>
            </w:tcBorders>
          </w:tcPr>
          <w:p>
            <w:pPr>
              <w:spacing w:after="0"/>
              <w:rPr>
                <w:sz w:val="3"/>
                <w:szCs w:val="3"/>
                <w:color w:val="auto"/>
              </w:rPr>
            </w:pPr>
          </w:p>
        </w:tc>
        <w:tc>
          <w:tcPr>
            <w:tcW w:w="140" w:type="dxa"/>
            <w:vAlign w:val="bottom"/>
            <w:tcBorders>
              <w:bottom w:val="single" w:sz="8" w:color="0A9E50"/>
            </w:tcBorders>
          </w:tcPr>
          <w:p>
            <w:pPr>
              <w:spacing w:after="0"/>
              <w:rPr>
                <w:sz w:val="3"/>
                <w:szCs w:val="3"/>
                <w:color w:val="auto"/>
              </w:rPr>
            </w:pPr>
          </w:p>
        </w:tc>
        <w:tc>
          <w:tcPr>
            <w:tcW w:w="40" w:type="dxa"/>
            <w:vAlign w:val="bottom"/>
            <w:tcBorders>
              <w:bottom w:val="single" w:sz="8" w:color="0A9E50"/>
            </w:tcBorders>
          </w:tcPr>
          <w:p>
            <w:pPr>
              <w:spacing w:after="0"/>
              <w:rPr>
                <w:sz w:val="3"/>
                <w:szCs w:val="3"/>
                <w:color w:val="auto"/>
              </w:rPr>
            </w:pPr>
          </w:p>
        </w:tc>
        <w:tc>
          <w:tcPr>
            <w:tcW w:w="220" w:type="dxa"/>
            <w:vAlign w:val="bottom"/>
            <w:tcBorders>
              <w:bottom w:val="single" w:sz="8" w:color="0A9E50"/>
            </w:tcBorders>
          </w:tcPr>
          <w:p>
            <w:pPr>
              <w:spacing w:after="0"/>
              <w:rPr>
                <w:sz w:val="3"/>
                <w:szCs w:val="3"/>
                <w:color w:val="auto"/>
              </w:rPr>
            </w:pPr>
          </w:p>
        </w:tc>
        <w:tc>
          <w:tcPr>
            <w:tcW w:w="460" w:type="dxa"/>
            <w:vAlign w:val="bottom"/>
            <w:tcBorders>
              <w:bottom w:val="single" w:sz="8" w:color="0A9E50"/>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840" w:type="dxa"/>
            <w:vAlign w:val="bottom"/>
            <w:tcBorders>
              <w:bottom w:val="single" w:sz="8" w:color="0000EE"/>
            </w:tcBorders>
            <w:gridSpan w:val="2"/>
          </w:tcPr>
          <w:p>
            <w:pPr>
              <w:spacing w:after="0" w:line="149" w:lineRule="exact"/>
              <w:rPr>
                <w:sz w:val="20"/>
                <w:szCs w:val="20"/>
                <w:color w:val="auto"/>
              </w:rPr>
            </w:pPr>
            <w:r>
              <w:rPr>
                <w:rFonts w:ascii="Arial" w:cs="Arial" w:eastAsia="Arial" w:hAnsi="Arial"/>
                <w:sz w:val="16"/>
                <w:szCs w:val="16"/>
                <w:color w:val="0000EE"/>
                <w:w w:val="95"/>
              </w:rPr>
              <w:t>Base Salary</w:t>
            </w:r>
          </w:p>
        </w:tc>
        <w:tc>
          <w:tcPr>
            <w:tcW w:w="3900" w:type="dxa"/>
            <w:vAlign w:val="bottom"/>
            <w:gridSpan w:val="25"/>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7"/>
        </w:trPr>
        <w:tc>
          <w:tcPr>
            <w:tcW w:w="15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96"/>
              </w:rPr>
              <w:t>Annual Cash Incentive</w:t>
            </w:r>
          </w:p>
        </w:tc>
        <w:tc>
          <w:tcPr>
            <w:tcW w:w="3180" w:type="dxa"/>
            <w:vAlign w:val="bottom"/>
            <w:gridSpan w:val="20"/>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7"/>
        </w:trPr>
        <w:tc>
          <w:tcPr>
            <w:tcW w:w="4740" w:type="dxa"/>
            <w:vAlign w:val="bottom"/>
            <w:gridSpan w:val="27"/>
          </w:tcPr>
          <w:p>
            <w:pPr>
              <w:spacing w:after="0"/>
              <w:rPr>
                <w:sz w:val="20"/>
                <w:szCs w:val="20"/>
                <w:color w:val="auto"/>
              </w:rPr>
            </w:pPr>
            <w:r>
              <w:rPr>
                <w:rFonts w:ascii="Arial" w:cs="Arial" w:eastAsia="Arial" w:hAnsi="Arial"/>
                <w:sz w:val="16"/>
                <w:szCs w:val="16"/>
                <w:color w:val="0000EE"/>
              </w:rPr>
              <w:t>Long-Term Incentives</w:t>
            </w:r>
          </w:p>
        </w:tc>
        <w:tc>
          <w:tcPr>
            <w:tcW w:w="4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27"/>
        </w:trPr>
        <w:tc>
          <w:tcPr>
            <w:tcW w:w="1480" w:type="dxa"/>
            <w:vAlign w:val="bottom"/>
            <w:tcBorders>
              <w:top w:val="single" w:sz="8" w:color="0000EE"/>
            </w:tcBorders>
            <w:gridSpan w:val="6"/>
          </w:tcPr>
          <w:p>
            <w:pPr>
              <w:spacing w:after="0"/>
              <w:rPr>
                <w:sz w:val="20"/>
                <w:szCs w:val="20"/>
                <w:color w:val="auto"/>
              </w:rPr>
            </w:pPr>
            <w:r>
              <w:rPr>
                <w:rFonts w:ascii="Arial" w:cs="Arial" w:eastAsia="Arial" w:hAnsi="Arial"/>
                <w:sz w:val="16"/>
                <w:szCs w:val="16"/>
                <w:color w:val="0000EE"/>
              </w:rPr>
              <w:t>Retirement Benefits</w:t>
            </w:r>
          </w:p>
        </w:tc>
        <w:tc>
          <w:tcPr>
            <w:tcW w:w="3260" w:type="dxa"/>
            <w:vAlign w:val="bottom"/>
            <w:gridSpan w:val="21"/>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94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w w:val="96"/>
              </w:rPr>
              <w:t>Health and Welfare Benefits</w:t>
            </w:r>
          </w:p>
        </w:tc>
        <w:tc>
          <w:tcPr>
            <w:tcW w:w="2800" w:type="dxa"/>
            <w:vAlign w:val="bottom"/>
            <w:gridSpan w:val="16"/>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27"/>
        </w:trPr>
        <w:tc>
          <w:tcPr>
            <w:tcW w:w="4740" w:type="dxa"/>
            <w:vAlign w:val="bottom"/>
            <w:gridSpan w:val="27"/>
          </w:tcPr>
          <w:p>
            <w:pPr>
              <w:spacing w:after="0"/>
              <w:rPr>
                <w:sz w:val="20"/>
                <w:szCs w:val="20"/>
                <w:color w:val="auto"/>
              </w:rPr>
            </w:pPr>
            <w:r>
              <w:rPr>
                <w:rFonts w:ascii="Arial" w:cs="Arial" w:eastAsia="Arial" w:hAnsi="Arial"/>
                <w:sz w:val="16"/>
                <w:szCs w:val="16"/>
                <w:color w:val="0000EE"/>
              </w:rPr>
              <w:t>Perquisites</w:t>
            </w:r>
          </w:p>
        </w:tc>
        <w:tc>
          <w:tcPr>
            <w:tcW w:w="46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32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00EE"/>
                <w:w w:val="96"/>
              </w:rPr>
              <w:t>Senior Executive Severance Plan</w:t>
            </w:r>
          </w:p>
        </w:tc>
        <w:tc>
          <w:tcPr>
            <w:tcW w:w="2420" w:type="dxa"/>
            <w:vAlign w:val="bottom"/>
            <w:gridSpan w:val="13"/>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53"/>
        </w:trPr>
        <w:tc>
          <w:tcPr>
            <w:tcW w:w="4740" w:type="dxa"/>
            <w:vAlign w:val="bottom"/>
            <w:gridSpan w:val="27"/>
          </w:tcPr>
          <w:p>
            <w:pPr>
              <w:spacing w:after="0"/>
              <w:rPr>
                <w:sz w:val="20"/>
                <w:szCs w:val="20"/>
                <w:color w:val="auto"/>
              </w:rPr>
            </w:pPr>
            <w:r>
              <w:rPr>
                <w:rFonts w:ascii="Arial" w:cs="Arial" w:eastAsia="Arial" w:hAnsi="Arial"/>
                <w:sz w:val="16"/>
                <w:szCs w:val="16"/>
                <w:b w:val="1"/>
                <w:bCs w:val="1"/>
                <w:color w:val="0000EE"/>
              </w:rPr>
              <w:t>Governance of Executive Compensation Programs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0A9E50"/>
              </w:rPr>
              <w:t>63</w:t>
            </w:r>
          </w:p>
        </w:tc>
        <w:tc>
          <w:tcPr>
            <w:tcW w:w="0" w:type="dxa"/>
            <w:vAlign w:val="bottom"/>
          </w:tcPr>
          <w:p>
            <w:pPr>
              <w:spacing w:after="0"/>
              <w:rPr>
                <w:sz w:val="1"/>
                <w:szCs w:val="1"/>
                <w:color w:val="auto"/>
              </w:rPr>
            </w:pPr>
          </w:p>
        </w:tc>
      </w:tr>
      <w:tr>
        <w:trPr>
          <w:trHeight w:val="71"/>
        </w:trPr>
        <w:tc>
          <w:tcPr>
            <w:tcW w:w="7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3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120" w:type="dxa"/>
            <w:vAlign w:val="bottom"/>
            <w:tcBorders>
              <w:top w:val="single" w:sz="8" w:color="0000EE"/>
              <w:bottom w:val="single" w:sz="8" w:color="0A9E50"/>
            </w:tcBorders>
          </w:tcPr>
          <w:p>
            <w:pPr>
              <w:spacing w:after="0"/>
              <w:rPr>
                <w:sz w:val="6"/>
                <w:szCs w:val="6"/>
                <w:color w:val="auto"/>
              </w:rPr>
            </w:pPr>
          </w:p>
        </w:tc>
        <w:tc>
          <w:tcPr>
            <w:tcW w:w="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22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1180" w:type="dxa"/>
            <w:vAlign w:val="bottom"/>
            <w:tcBorders>
              <w:top w:val="single" w:sz="8" w:color="0000EE"/>
              <w:bottom w:val="single" w:sz="8" w:color="0A9E50"/>
            </w:tcBorders>
          </w:tcPr>
          <w:p>
            <w:pPr>
              <w:spacing w:after="0"/>
              <w:rPr>
                <w:sz w:val="6"/>
                <w:szCs w:val="6"/>
                <w:color w:val="auto"/>
              </w:rPr>
            </w:pPr>
          </w:p>
        </w:tc>
        <w:tc>
          <w:tcPr>
            <w:tcW w:w="20" w:type="dxa"/>
            <w:vAlign w:val="bottom"/>
            <w:tcBorders>
              <w:top w:val="single" w:sz="8" w:color="0000EE"/>
              <w:bottom w:val="single" w:sz="8" w:color="0A9E50"/>
            </w:tcBorders>
          </w:tcPr>
          <w:p>
            <w:pPr>
              <w:spacing w:after="0"/>
              <w:rPr>
                <w:sz w:val="6"/>
                <w:szCs w:val="6"/>
                <w:color w:val="auto"/>
              </w:rPr>
            </w:pPr>
          </w:p>
        </w:tc>
        <w:tc>
          <w:tcPr>
            <w:tcW w:w="180" w:type="dxa"/>
            <w:vAlign w:val="bottom"/>
            <w:tcBorders>
              <w:top w:val="single" w:sz="8" w:color="0000EE"/>
              <w:bottom w:val="single" w:sz="8" w:color="0A9E50"/>
            </w:tcBorders>
          </w:tcPr>
          <w:p>
            <w:pPr>
              <w:spacing w:after="0"/>
              <w:rPr>
                <w:sz w:val="6"/>
                <w:szCs w:val="6"/>
                <w:color w:val="auto"/>
              </w:rPr>
            </w:pPr>
          </w:p>
        </w:tc>
        <w:tc>
          <w:tcPr>
            <w:tcW w:w="60" w:type="dxa"/>
            <w:vAlign w:val="bottom"/>
            <w:tcBorders>
              <w:top w:val="single" w:sz="8" w:color="0000EE"/>
              <w:bottom w:val="single" w:sz="8" w:color="0A9E50"/>
            </w:tcBorders>
          </w:tcPr>
          <w:p>
            <w:pPr>
              <w:spacing w:after="0"/>
              <w:rPr>
                <w:sz w:val="6"/>
                <w:szCs w:val="6"/>
                <w:color w:val="auto"/>
              </w:rPr>
            </w:pPr>
          </w:p>
        </w:tc>
        <w:tc>
          <w:tcPr>
            <w:tcW w:w="160" w:type="dxa"/>
            <w:vAlign w:val="bottom"/>
            <w:tcBorders>
              <w:bottom w:val="single" w:sz="8" w:color="0A9E50"/>
            </w:tcBorders>
          </w:tcPr>
          <w:p>
            <w:pPr>
              <w:spacing w:after="0"/>
              <w:rPr>
                <w:sz w:val="6"/>
                <w:szCs w:val="6"/>
                <w:color w:val="auto"/>
              </w:rPr>
            </w:pPr>
          </w:p>
        </w:tc>
        <w:tc>
          <w:tcPr>
            <w:tcW w:w="20" w:type="dxa"/>
            <w:vAlign w:val="bottom"/>
            <w:tcBorders>
              <w:bottom w:val="single" w:sz="8" w:color="0A9E50"/>
            </w:tcBorders>
          </w:tcPr>
          <w:p>
            <w:pPr>
              <w:spacing w:after="0"/>
              <w:rPr>
                <w:sz w:val="6"/>
                <w:szCs w:val="6"/>
                <w:color w:val="auto"/>
              </w:rPr>
            </w:pPr>
          </w:p>
        </w:tc>
        <w:tc>
          <w:tcPr>
            <w:tcW w:w="260" w:type="dxa"/>
            <w:vAlign w:val="bottom"/>
            <w:tcBorders>
              <w:bottom w:val="single" w:sz="8" w:color="0A9E50"/>
            </w:tcBorders>
          </w:tcPr>
          <w:p>
            <w:pPr>
              <w:spacing w:after="0"/>
              <w:rPr>
                <w:sz w:val="6"/>
                <w:szCs w:val="6"/>
                <w:color w:val="auto"/>
              </w:rPr>
            </w:pPr>
          </w:p>
        </w:tc>
        <w:tc>
          <w:tcPr>
            <w:tcW w:w="80" w:type="dxa"/>
            <w:vAlign w:val="bottom"/>
            <w:tcBorders>
              <w:bottom w:val="single" w:sz="8" w:color="0A9E50"/>
            </w:tcBorders>
          </w:tcPr>
          <w:p>
            <w:pPr>
              <w:spacing w:after="0"/>
              <w:rPr>
                <w:sz w:val="6"/>
                <w:szCs w:val="6"/>
                <w:color w:val="auto"/>
              </w:rPr>
            </w:pPr>
          </w:p>
        </w:tc>
        <w:tc>
          <w:tcPr>
            <w:tcW w:w="40" w:type="dxa"/>
            <w:vAlign w:val="bottom"/>
            <w:tcBorders>
              <w:bottom w:val="single" w:sz="8" w:color="0A9E50"/>
            </w:tcBorders>
          </w:tcPr>
          <w:p>
            <w:pPr>
              <w:spacing w:after="0"/>
              <w:rPr>
                <w:sz w:val="6"/>
                <w:szCs w:val="6"/>
                <w:color w:val="auto"/>
              </w:rPr>
            </w:pPr>
          </w:p>
        </w:tc>
        <w:tc>
          <w:tcPr>
            <w:tcW w:w="20" w:type="dxa"/>
            <w:vAlign w:val="bottom"/>
            <w:tcBorders>
              <w:bottom w:val="single" w:sz="8" w:color="0A9E50"/>
            </w:tcBorders>
          </w:tcPr>
          <w:p>
            <w:pPr>
              <w:spacing w:after="0"/>
              <w:rPr>
                <w:sz w:val="6"/>
                <w:szCs w:val="6"/>
                <w:color w:val="auto"/>
              </w:rPr>
            </w:pPr>
          </w:p>
        </w:tc>
        <w:tc>
          <w:tcPr>
            <w:tcW w:w="140" w:type="dxa"/>
            <w:vAlign w:val="bottom"/>
            <w:tcBorders>
              <w:bottom w:val="single" w:sz="8" w:color="0A9E50"/>
            </w:tcBorders>
          </w:tcPr>
          <w:p>
            <w:pPr>
              <w:spacing w:after="0"/>
              <w:rPr>
                <w:sz w:val="6"/>
                <w:szCs w:val="6"/>
                <w:color w:val="auto"/>
              </w:rPr>
            </w:pPr>
          </w:p>
        </w:tc>
        <w:tc>
          <w:tcPr>
            <w:tcW w:w="40" w:type="dxa"/>
            <w:vAlign w:val="bottom"/>
            <w:tcBorders>
              <w:bottom w:val="single" w:sz="8" w:color="0A9E50"/>
            </w:tcBorders>
          </w:tcPr>
          <w:p>
            <w:pPr>
              <w:spacing w:after="0"/>
              <w:rPr>
                <w:sz w:val="6"/>
                <w:szCs w:val="6"/>
                <w:color w:val="auto"/>
              </w:rPr>
            </w:pPr>
          </w:p>
        </w:tc>
        <w:tc>
          <w:tcPr>
            <w:tcW w:w="220" w:type="dxa"/>
            <w:vAlign w:val="bottom"/>
            <w:tcBorders>
              <w:bottom w:val="single" w:sz="8" w:color="0A9E50"/>
            </w:tcBorders>
          </w:tcPr>
          <w:p>
            <w:pPr>
              <w:spacing w:after="0"/>
              <w:rPr>
                <w:sz w:val="6"/>
                <w:szCs w:val="6"/>
                <w:color w:val="auto"/>
              </w:rPr>
            </w:pPr>
          </w:p>
        </w:tc>
        <w:tc>
          <w:tcPr>
            <w:tcW w:w="460" w:type="dxa"/>
            <w:vAlign w:val="bottom"/>
            <w:tcBorders>
              <w:bottom w:val="single" w:sz="8" w:color="0A9E50"/>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740" w:type="dxa"/>
            <w:vAlign w:val="bottom"/>
            <w:gridSpan w:val="27"/>
          </w:tcPr>
          <w:p>
            <w:pPr>
              <w:spacing w:after="0" w:line="149" w:lineRule="exact"/>
              <w:rPr>
                <w:sz w:val="20"/>
                <w:szCs w:val="20"/>
                <w:color w:val="auto"/>
              </w:rPr>
            </w:pPr>
            <w:r>
              <w:rPr>
                <w:rFonts w:ascii="Arial" w:cs="Arial" w:eastAsia="Arial" w:hAnsi="Arial"/>
                <w:sz w:val="16"/>
                <w:szCs w:val="16"/>
                <w:color w:val="0000EE"/>
              </w:rPr>
              <w:t>Executive Stock Ownership and Retention Requirements</w:t>
            </w:r>
          </w:p>
        </w:tc>
        <w:tc>
          <w:tcPr>
            <w:tcW w:w="460" w:type="dxa"/>
            <w:vAlign w:val="bottom"/>
          </w:tcPr>
          <w:p>
            <w:pPr>
              <w:jc w:val="right"/>
              <w:spacing w:after="0" w:line="149"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27"/>
        </w:trPr>
        <w:tc>
          <w:tcPr>
            <w:tcW w:w="376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6"/>
                <w:szCs w:val="16"/>
                <w:color w:val="0000EE"/>
                <w:w w:val="96"/>
              </w:rPr>
              <w:t>Incentive Compensation Recovery (“Clawback”) Policy</w:t>
            </w:r>
          </w:p>
        </w:tc>
        <w:tc>
          <w:tcPr>
            <w:tcW w:w="160" w:type="dxa"/>
            <w:vAlign w:val="bottom"/>
            <w:tcBorders>
              <w:top w:val="single" w:sz="8" w:color="0000EE"/>
            </w:tcBorders>
          </w:tcPr>
          <w:p>
            <w:pPr>
              <w:spacing w:after="0"/>
              <w:rPr>
                <w:sz w:val="19"/>
                <w:szCs w:val="19"/>
                <w:color w:val="auto"/>
              </w:rPr>
            </w:pPr>
          </w:p>
        </w:tc>
        <w:tc>
          <w:tcPr>
            <w:tcW w:w="820" w:type="dxa"/>
            <w:vAlign w:val="bottom"/>
            <w:gridSpan w:val="8"/>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27"/>
        </w:trPr>
        <w:tc>
          <w:tcPr>
            <w:tcW w:w="4740" w:type="dxa"/>
            <w:vAlign w:val="bottom"/>
            <w:gridSpan w:val="27"/>
          </w:tcPr>
          <w:p>
            <w:pPr>
              <w:spacing w:after="0"/>
              <w:rPr>
                <w:sz w:val="20"/>
                <w:szCs w:val="20"/>
                <w:color w:val="auto"/>
              </w:rPr>
            </w:pPr>
            <w:r>
              <w:rPr>
                <w:rFonts w:ascii="Arial" w:cs="Arial" w:eastAsia="Arial" w:hAnsi="Arial"/>
                <w:sz w:val="16"/>
                <w:szCs w:val="16"/>
                <w:color w:val="0000EE"/>
              </w:rPr>
              <w:t>Hedging and Pledging of Shares</w:t>
            </w:r>
          </w:p>
        </w:tc>
        <w:tc>
          <w:tcPr>
            <w:tcW w:w="46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2240" w:type="dxa"/>
            <w:vAlign w:val="bottom"/>
            <w:gridSpan w:val="13"/>
            <w:shd w:val="clear" w:color="auto" w:fill="0000EE"/>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20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w w:val="96"/>
              </w:rPr>
              <w:t>Tax Considerations: Deductibility of Executive Compensation</w:t>
            </w:r>
          </w:p>
        </w:tc>
        <w:tc>
          <w:tcPr>
            <w:tcW w:w="540" w:type="dxa"/>
            <w:vAlign w:val="bottom"/>
            <w:gridSpan w:val="6"/>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53"/>
        </w:trPr>
        <w:tc>
          <w:tcPr>
            <w:tcW w:w="4740" w:type="dxa"/>
            <w:vAlign w:val="bottom"/>
            <w:gridSpan w:val="27"/>
          </w:tcPr>
          <w:p>
            <w:pPr>
              <w:spacing w:after="0"/>
              <w:rPr>
                <w:sz w:val="20"/>
                <w:szCs w:val="20"/>
                <w:color w:val="auto"/>
              </w:rPr>
            </w:pPr>
            <w:r>
              <w:rPr>
                <w:rFonts w:ascii="Arial" w:cs="Arial" w:eastAsia="Arial" w:hAnsi="Arial"/>
                <w:sz w:val="16"/>
                <w:szCs w:val="16"/>
                <w:b w:val="1"/>
                <w:bCs w:val="1"/>
                <w:color w:val="0000EE"/>
              </w:rPr>
              <w:t>Compensation and Talent Management Committee Report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0A9E50"/>
              </w:rPr>
              <w:t>64</w:t>
            </w:r>
          </w:p>
        </w:tc>
        <w:tc>
          <w:tcPr>
            <w:tcW w:w="0" w:type="dxa"/>
            <w:vAlign w:val="bottom"/>
          </w:tcPr>
          <w:p>
            <w:pPr>
              <w:spacing w:after="0"/>
              <w:rPr>
                <w:sz w:val="1"/>
                <w:szCs w:val="1"/>
                <w:color w:val="auto"/>
              </w:rPr>
            </w:pPr>
          </w:p>
        </w:tc>
      </w:tr>
      <w:tr>
        <w:trPr>
          <w:trHeight w:val="71"/>
        </w:trPr>
        <w:tc>
          <w:tcPr>
            <w:tcW w:w="7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3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120" w:type="dxa"/>
            <w:vAlign w:val="bottom"/>
            <w:tcBorders>
              <w:top w:val="single" w:sz="8" w:color="0000EE"/>
              <w:bottom w:val="single" w:sz="8" w:color="0A9E50"/>
            </w:tcBorders>
          </w:tcPr>
          <w:p>
            <w:pPr>
              <w:spacing w:after="0"/>
              <w:rPr>
                <w:sz w:val="6"/>
                <w:szCs w:val="6"/>
                <w:color w:val="auto"/>
              </w:rPr>
            </w:pPr>
          </w:p>
        </w:tc>
        <w:tc>
          <w:tcPr>
            <w:tcW w:w="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40" w:type="dxa"/>
            <w:vAlign w:val="bottom"/>
            <w:tcBorders>
              <w:top w:val="single" w:sz="8" w:color="0000EE"/>
              <w:bottom w:val="single" w:sz="8" w:color="0A9E50"/>
            </w:tcBorders>
          </w:tcPr>
          <w:p>
            <w:pPr>
              <w:spacing w:after="0"/>
              <w:rPr>
                <w:sz w:val="6"/>
                <w:szCs w:val="6"/>
                <w:color w:val="auto"/>
              </w:rPr>
            </w:pPr>
          </w:p>
        </w:tc>
        <w:tc>
          <w:tcPr>
            <w:tcW w:w="22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1180" w:type="dxa"/>
            <w:vAlign w:val="bottom"/>
            <w:tcBorders>
              <w:top w:val="single" w:sz="8" w:color="0000EE"/>
              <w:bottom w:val="single" w:sz="8" w:color="0A9E50"/>
            </w:tcBorders>
          </w:tcPr>
          <w:p>
            <w:pPr>
              <w:spacing w:after="0"/>
              <w:rPr>
                <w:sz w:val="6"/>
                <w:szCs w:val="6"/>
                <w:color w:val="auto"/>
              </w:rPr>
            </w:pPr>
          </w:p>
        </w:tc>
        <w:tc>
          <w:tcPr>
            <w:tcW w:w="20" w:type="dxa"/>
            <w:vAlign w:val="bottom"/>
            <w:tcBorders>
              <w:top w:val="single" w:sz="8" w:color="0000EE"/>
              <w:bottom w:val="single" w:sz="8" w:color="0A9E50"/>
            </w:tcBorders>
          </w:tcPr>
          <w:p>
            <w:pPr>
              <w:spacing w:after="0"/>
              <w:rPr>
                <w:sz w:val="6"/>
                <w:szCs w:val="6"/>
                <w:color w:val="auto"/>
              </w:rPr>
            </w:pPr>
          </w:p>
        </w:tc>
        <w:tc>
          <w:tcPr>
            <w:tcW w:w="180" w:type="dxa"/>
            <w:vAlign w:val="bottom"/>
            <w:tcBorders>
              <w:top w:val="single" w:sz="8" w:color="0000EE"/>
              <w:bottom w:val="single" w:sz="8" w:color="0A9E50"/>
            </w:tcBorders>
          </w:tcPr>
          <w:p>
            <w:pPr>
              <w:spacing w:after="0"/>
              <w:rPr>
                <w:sz w:val="6"/>
                <w:szCs w:val="6"/>
                <w:color w:val="auto"/>
              </w:rPr>
            </w:pPr>
          </w:p>
        </w:tc>
        <w:tc>
          <w:tcPr>
            <w:tcW w:w="60" w:type="dxa"/>
            <w:vAlign w:val="bottom"/>
            <w:tcBorders>
              <w:top w:val="single" w:sz="8" w:color="0000EE"/>
              <w:bottom w:val="single" w:sz="8" w:color="0A9E50"/>
            </w:tcBorders>
          </w:tcPr>
          <w:p>
            <w:pPr>
              <w:spacing w:after="0"/>
              <w:rPr>
                <w:sz w:val="6"/>
                <w:szCs w:val="6"/>
                <w:color w:val="auto"/>
              </w:rPr>
            </w:pPr>
          </w:p>
        </w:tc>
        <w:tc>
          <w:tcPr>
            <w:tcW w:w="160" w:type="dxa"/>
            <w:vAlign w:val="bottom"/>
            <w:tcBorders>
              <w:top w:val="single" w:sz="8" w:color="0000EE"/>
              <w:bottom w:val="single" w:sz="8" w:color="0A9E50"/>
            </w:tcBorders>
          </w:tcPr>
          <w:p>
            <w:pPr>
              <w:spacing w:after="0"/>
              <w:rPr>
                <w:sz w:val="6"/>
                <w:szCs w:val="6"/>
                <w:color w:val="auto"/>
              </w:rPr>
            </w:pPr>
          </w:p>
        </w:tc>
        <w:tc>
          <w:tcPr>
            <w:tcW w:w="20" w:type="dxa"/>
            <w:vAlign w:val="bottom"/>
            <w:tcBorders>
              <w:top w:val="single" w:sz="8" w:color="0000EE"/>
              <w:bottom w:val="single" w:sz="8" w:color="0A9E50"/>
            </w:tcBorders>
          </w:tcPr>
          <w:p>
            <w:pPr>
              <w:spacing w:after="0"/>
              <w:rPr>
                <w:sz w:val="6"/>
                <w:szCs w:val="6"/>
                <w:color w:val="auto"/>
              </w:rPr>
            </w:pPr>
          </w:p>
        </w:tc>
        <w:tc>
          <w:tcPr>
            <w:tcW w:w="260" w:type="dxa"/>
            <w:vAlign w:val="bottom"/>
            <w:tcBorders>
              <w:top w:val="single" w:sz="8" w:color="0000EE"/>
              <w:bottom w:val="single" w:sz="8" w:color="0A9E50"/>
            </w:tcBorders>
          </w:tcPr>
          <w:p>
            <w:pPr>
              <w:spacing w:after="0"/>
              <w:rPr>
                <w:sz w:val="6"/>
                <w:szCs w:val="6"/>
                <w:color w:val="auto"/>
              </w:rPr>
            </w:pPr>
          </w:p>
        </w:tc>
        <w:tc>
          <w:tcPr>
            <w:tcW w:w="80" w:type="dxa"/>
            <w:vAlign w:val="bottom"/>
            <w:tcBorders>
              <w:top w:val="single" w:sz="8" w:color="0000EE"/>
              <w:bottom w:val="single" w:sz="8" w:color="0A9E50"/>
            </w:tcBorders>
          </w:tcPr>
          <w:p>
            <w:pPr>
              <w:spacing w:after="0"/>
              <w:rPr>
                <w:sz w:val="6"/>
                <w:szCs w:val="6"/>
                <w:color w:val="auto"/>
              </w:rPr>
            </w:pPr>
          </w:p>
        </w:tc>
        <w:tc>
          <w:tcPr>
            <w:tcW w:w="40" w:type="dxa"/>
            <w:vAlign w:val="bottom"/>
            <w:tcBorders>
              <w:bottom w:val="single" w:sz="8" w:color="0A9E50"/>
            </w:tcBorders>
          </w:tcPr>
          <w:p>
            <w:pPr>
              <w:spacing w:after="0"/>
              <w:rPr>
                <w:sz w:val="6"/>
                <w:szCs w:val="6"/>
                <w:color w:val="auto"/>
              </w:rPr>
            </w:pPr>
          </w:p>
        </w:tc>
        <w:tc>
          <w:tcPr>
            <w:tcW w:w="20" w:type="dxa"/>
            <w:vAlign w:val="bottom"/>
            <w:tcBorders>
              <w:bottom w:val="single" w:sz="8" w:color="0A9E50"/>
            </w:tcBorders>
          </w:tcPr>
          <w:p>
            <w:pPr>
              <w:spacing w:after="0"/>
              <w:rPr>
                <w:sz w:val="6"/>
                <w:szCs w:val="6"/>
                <w:color w:val="auto"/>
              </w:rPr>
            </w:pPr>
          </w:p>
        </w:tc>
        <w:tc>
          <w:tcPr>
            <w:tcW w:w="140" w:type="dxa"/>
            <w:vAlign w:val="bottom"/>
            <w:tcBorders>
              <w:bottom w:val="single" w:sz="8" w:color="0A9E50"/>
            </w:tcBorders>
          </w:tcPr>
          <w:p>
            <w:pPr>
              <w:spacing w:after="0"/>
              <w:rPr>
                <w:sz w:val="6"/>
                <w:szCs w:val="6"/>
                <w:color w:val="auto"/>
              </w:rPr>
            </w:pPr>
          </w:p>
        </w:tc>
        <w:tc>
          <w:tcPr>
            <w:tcW w:w="40" w:type="dxa"/>
            <w:vAlign w:val="bottom"/>
            <w:tcBorders>
              <w:bottom w:val="single" w:sz="8" w:color="0A9E50"/>
            </w:tcBorders>
          </w:tcPr>
          <w:p>
            <w:pPr>
              <w:spacing w:after="0"/>
              <w:rPr>
                <w:sz w:val="6"/>
                <w:szCs w:val="6"/>
                <w:color w:val="auto"/>
              </w:rPr>
            </w:pPr>
          </w:p>
        </w:tc>
        <w:tc>
          <w:tcPr>
            <w:tcW w:w="220" w:type="dxa"/>
            <w:vAlign w:val="bottom"/>
            <w:tcBorders>
              <w:bottom w:val="single" w:sz="8" w:color="0A9E50"/>
            </w:tcBorders>
          </w:tcPr>
          <w:p>
            <w:pPr>
              <w:spacing w:after="0"/>
              <w:rPr>
                <w:sz w:val="6"/>
                <w:szCs w:val="6"/>
                <w:color w:val="auto"/>
              </w:rPr>
            </w:pPr>
          </w:p>
        </w:tc>
        <w:tc>
          <w:tcPr>
            <w:tcW w:w="460" w:type="dxa"/>
            <w:vAlign w:val="bottom"/>
            <w:tcBorders>
              <w:bottom w:val="single" w:sz="8" w:color="0A9E5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449" w:lineRule="exact"/>
        <w:rPr>
          <w:sz w:val="20"/>
          <w:szCs w:val="20"/>
          <w:color w:val="auto"/>
        </w:rPr>
      </w:pPr>
    </w:p>
    <w:p>
      <w:pPr>
        <w:sectPr>
          <w:pgSz w:w="11900" w:h="16838" w:orient="portrait"/>
          <w:cols w:equalWidth="0" w:num="2">
            <w:col w:w="5084" w:space="340"/>
            <w:col w:w="5200"/>
          </w:cols>
          <w:pgMar w:left="636" w:top="423" w:right="639" w:bottom="1440" w:gutter="0" w:footer="0" w:header="0"/>
          <w:type w:val="continuous"/>
        </w:sectPr>
      </w:pPr>
    </w:p>
    <w:p>
      <w:pPr>
        <w:spacing w:after="0" w:line="274" w:lineRule="exact"/>
        <w:rPr>
          <w:sz w:val="20"/>
          <w:szCs w:val="20"/>
          <w:color w:val="auto"/>
        </w:rPr>
      </w:pPr>
    </w:p>
    <w:p>
      <w:pPr>
        <w:ind w:left="244" w:right="5680" w:hanging="244"/>
        <w:spacing w:after="0" w:line="264" w:lineRule="auto"/>
        <w:tabs>
          <w:tab w:leader="none" w:pos="244" w:val="left"/>
        </w:tabs>
        <w:numPr>
          <w:ilvl w:val="0"/>
          <w:numId w:val="27"/>
        </w:numPr>
        <w:rPr>
          <w:rFonts w:ascii="Arial" w:cs="Arial" w:eastAsia="Arial" w:hAnsi="Arial"/>
          <w:sz w:val="12"/>
          <w:szCs w:val="12"/>
          <w:color w:val="auto"/>
        </w:rPr>
      </w:pPr>
      <w:r>
        <w:rPr>
          <w:rFonts w:ascii="Arial" w:cs="Arial" w:eastAsia="Arial" w:hAnsi="Arial"/>
          <w:sz w:val="12"/>
          <w:szCs w:val="12"/>
          <w:color w:val="auto"/>
        </w:rPr>
        <w:t>As part of the sale of our EMEA staffing operations, Ms. Koolhaas’ employment with the Company terminated on March 31, 2024.</w:t>
      </w:r>
    </w:p>
    <w:p>
      <w:pPr>
        <w:spacing w:after="0" w:line="186" w:lineRule="exact"/>
        <w:rPr>
          <w:sz w:val="20"/>
          <w:szCs w:val="20"/>
          <w:color w:val="auto"/>
        </w:rPr>
      </w:pPr>
    </w:p>
    <w:p>
      <w:pPr>
        <w:ind w:left="64"/>
        <w:spacing w:after="0"/>
        <w:tabs>
          <w:tab w:leader="none" w:pos="563" w:val="left"/>
        </w:tabs>
        <w:rPr>
          <w:sz w:val="20"/>
          <w:szCs w:val="20"/>
          <w:color w:val="auto"/>
        </w:rPr>
      </w:pPr>
      <w:r>
        <w:rPr>
          <w:rFonts w:ascii="Arial" w:cs="Arial" w:eastAsia="Arial" w:hAnsi="Arial"/>
          <w:sz w:val="36"/>
          <w:szCs w:val="36"/>
          <w:color w:val="auto"/>
          <w:vertAlign w:val="superscript"/>
        </w:rPr>
        <w:t>46 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-214630</wp:posOffset>
            </wp:positionV>
            <wp:extent cx="8255" cy="2228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423" w:right="6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78"/>
        </w:trPr>
        <w:tc>
          <w:tcPr>
            <w:tcW w:w="2240" w:type="dxa"/>
            <w:vAlign w:val="bottom"/>
          </w:tcPr>
          <w:p>
            <w:pPr>
              <w:spacing w:after="0"/>
              <w:rPr>
                <w:sz w:val="15"/>
                <w:szCs w:val="15"/>
                <w:color w:val="auto"/>
              </w:rPr>
            </w:pPr>
          </w:p>
        </w:tc>
        <w:tc>
          <w:tcPr>
            <w:tcW w:w="8380" w:type="dxa"/>
            <w:vAlign w:val="bottom"/>
          </w:tcPr>
          <w:p>
            <w:pPr>
              <w:ind w:left="5900"/>
              <w:spacing w:after="0"/>
              <w:rPr>
                <w:sz w:val="20"/>
                <w:szCs w:val="20"/>
                <w:color w:val="auto"/>
              </w:rPr>
            </w:pPr>
            <w:r>
              <w:rPr>
                <w:rFonts w:ascii="Arial" w:cs="Arial" w:eastAsia="Arial" w:hAnsi="Arial"/>
                <w:sz w:val="13"/>
                <w:szCs w:val="13"/>
                <w:b w:val="1"/>
                <w:bCs w:val="1"/>
                <w:color w:val="auto"/>
                <w:w w:val="99"/>
              </w:rPr>
              <w:t>Compensation Discussion and Analysis</w:t>
            </w:r>
          </w:p>
        </w:tc>
        <w:tc>
          <w:tcPr>
            <w:tcW w:w="0" w:type="dxa"/>
            <w:vAlign w:val="bottom"/>
          </w:tcPr>
          <w:p>
            <w:pPr>
              <w:spacing w:after="0"/>
              <w:rPr>
                <w:sz w:val="1"/>
                <w:szCs w:val="1"/>
                <w:color w:val="auto"/>
              </w:rPr>
            </w:pPr>
          </w:p>
        </w:tc>
      </w:tr>
      <w:tr>
        <w:trPr>
          <w:trHeight w:val="322"/>
        </w:trPr>
        <w:tc>
          <w:tcPr>
            <w:tcW w:w="2240" w:type="dxa"/>
            <w:vAlign w:val="bottom"/>
          </w:tcPr>
          <w:p>
            <w:pPr>
              <w:ind w:left="60"/>
              <w:spacing w:after="0"/>
              <w:rPr>
                <w:sz w:val="20"/>
                <w:szCs w:val="20"/>
                <w:color w:val="auto"/>
              </w:rPr>
            </w:pPr>
            <w:r>
              <w:rPr>
                <w:rFonts w:ascii="Arial" w:cs="Arial" w:eastAsia="Arial" w:hAnsi="Arial"/>
                <w:sz w:val="16"/>
                <w:szCs w:val="16"/>
                <w:b w:val="1"/>
                <w:bCs w:val="1"/>
                <w:color w:val="0A9E50"/>
              </w:rPr>
              <w:t>Name</w:t>
            </w:r>
          </w:p>
        </w:tc>
        <w:tc>
          <w:tcPr>
            <w:tcW w:w="8380" w:type="dxa"/>
            <w:vAlign w:val="bottom"/>
          </w:tcPr>
          <w:p>
            <w:pPr>
              <w:ind w:left="640"/>
              <w:spacing w:after="0"/>
              <w:rPr>
                <w:sz w:val="20"/>
                <w:szCs w:val="20"/>
                <w:color w:val="auto"/>
              </w:rPr>
            </w:pPr>
            <w:r>
              <w:rPr>
                <w:rFonts w:ascii="Arial" w:cs="Arial" w:eastAsia="Arial" w:hAnsi="Arial"/>
                <w:sz w:val="16"/>
                <w:szCs w:val="16"/>
                <w:b w:val="1"/>
                <w:bCs w:val="1"/>
                <w:color w:val="0A9E50"/>
              </w:rPr>
              <w:t>Biographical Information</w:t>
            </w:r>
          </w:p>
        </w:tc>
        <w:tc>
          <w:tcPr>
            <w:tcW w:w="0" w:type="dxa"/>
            <w:vAlign w:val="bottom"/>
          </w:tcPr>
          <w:p>
            <w:pPr>
              <w:spacing w:after="0"/>
              <w:rPr>
                <w:sz w:val="1"/>
                <w:szCs w:val="1"/>
                <w:color w:val="auto"/>
              </w:rPr>
            </w:pPr>
          </w:p>
        </w:tc>
      </w:tr>
      <w:tr>
        <w:trPr>
          <w:trHeight w:val="46"/>
        </w:trPr>
        <w:tc>
          <w:tcPr>
            <w:tcW w:w="2240" w:type="dxa"/>
            <w:vAlign w:val="bottom"/>
            <w:tcBorders>
              <w:bottom w:val="single" w:sz="8" w:color="auto"/>
            </w:tcBorders>
          </w:tcPr>
          <w:p>
            <w:pPr>
              <w:spacing w:after="0"/>
              <w:rPr>
                <w:sz w:val="4"/>
                <w:szCs w:val="4"/>
                <w:color w:val="auto"/>
              </w:rPr>
            </w:pPr>
          </w:p>
        </w:tc>
        <w:tc>
          <w:tcPr>
            <w:tcW w:w="8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60"/>
              <w:spacing w:after="0"/>
              <w:rPr>
                <w:sz w:val="20"/>
                <w:szCs w:val="20"/>
                <w:color w:val="auto"/>
              </w:rPr>
            </w:pPr>
            <w:r>
              <w:rPr>
                <w:rFonts w:ascii="Arial" w:cs="Arial" w:eastAsia="Arial" w:hAnsi="Arial"/>
                <w:sz w:val="16"/>
                <w:szCs w:val="16"/>
                <w:b w:val="1"/>
                <w:bCs w:val="1"/>
                <w:color w:val="auto"/>
              </w:rPr>
              <w:t>Peter W. Quigley</w:t>
            </w:r>
          </w:p>
        </w:tc>
        <w:tc>
          <w:tcPr>
            <w:tcW w:w="8380" w:type="dxa"/>
            <w:vAlign w:val="bottom"/>
          </w:tcPr>
          <w:p>
            <w:pPr>
              <w:ind w:left="640"/>
              <w:spacing w:after="0"/>
              <w:rPr>
                <w:sz w:val="20"/>
                <w:szCs w:val="20"/>
                <w:color w:val="auto"/>
              </w:rPr>
            </w:pPr>
            <w:r>
              <w:rPr>
                <w:rFonts w:ascii="Arial" w:cs="Arial" w:eastAsia="Arial" w:hAnsi="Arial"/>
                <w:sz w:val="16"/>
                <w:szCs w:val="16"/>
                <w:color w:val="auto"/>
              </w:rPr>
              <w:t>Mr. Quigley served as Executive Vice President, President, Global Staffing, and General Manager, Global</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President and Chief</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w w:val="97"/>
              </w:rPr>
              <w:t>Information Technology, Global Business Services and Global Service from May 2017 through September 2019.</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Executive Officer</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rPr>
              <w:t>He served as the Company’s Chief Administrative Officer and General Counsel from May 2015 to May 2017,</w:t>
            </w:r>
          </w:p>
        </w:tc>
        <w:tc>
          <w:tcPr>
            <w:tcW w:w="0" w:type="dxa"/>
            <w:vAlign w:val="bottom"/>
          </w:tcPr>
          <w:p>
            <w:pPr>
              <w:spacing w:after="0"/>
              <w:rPr>
                <w:sz w:val="1"/>
                <w:szCs w:val="1"/>
                <w:color w:val="auto"/>
              </w:rPr>
            </w:pPr>
          </w:p>
        </w:tc>
      </w:tr>
      <w:tr>
        <w:trPr>
          <w:trHeight w:val="182"/>
        </w:trPr>
        <w:tc>
          <w:tcPr>
            <w:tcW w:w="2240" w:type="dxa"/>
            <w:vAlign w:val="bottom"/>
            <w:vMerge w:val="restart"/>
          </w:tcPr>
          <w:p>
            <w:pPr>
              <w:ind w:left="60"/>
              <w:spacing w:after="0"/>
              <w:rPr>
                <w:sz w:val="20"/>
                <w:szCs w:val="20"/>
                <w:color w:val="auto"/>
              </w:rPr>
            </w:pPr>
            <w:r>
              <w:rPr>
                <w:rFonts w:ascii="Arial" w:cs="Arial" w:eastAsia="Arial" w:hAnsi="Arial"/>
                <w:sz w:val="16"/>
                <w:szCs w:val="16"/>
                <w:b w:val="1"/>
                <w:bCs w:val="1"/>
                <w:color w:val="0A9E50"/>
              </w:rPr>
              <w:t xml:space="preserve">Age: </w:t>
            </w:r>
            <w:r>
              <w:rPr>
                <w:rFonts w:ascii="Arial" w:cs="Arial" w:eastAsia="Arial" w:hAnsi="Arial"/>
                <w:sz w:val="16"/>
                <w:szCs w:val="16"/>
                <w:color w:val="000000"/>
              </w:rPr>
              <w:t>62</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w w:val="99"/>
              </w:rPr>
              <w:t>General Counsel from January 2013 to May 2015. Mr. Quigley led the Company’s Global Client Relationships</w:t>
            </w:r>
          </w:p>
        </w:tc>
        <w:tc>
          <w:tcPr>
            <w:tcW w:w="0" w:type="dxa"/>
            <w:vAlign w:val="bottom"/>
          </w:tcPr>
          <w:p>
            <w:pPr>
              <w:spacing w:after="0"/>
              <w:rPr>
                <w:sz w:val="1"/>
                <w:szCs w:val="1"/>
                <w:color w:val="auto"/>
              </w:rPr>
            </w:pPr>
          </w:p>
        </w:tc>
      </w:tr>
      <w:tr>
        <w:trPr>
          <w:trHeight w:val="109"/>
        </w:trPr>
        <w:tc>
          <w:tcPr>
            <w:tcW w:w="2240" w:type="dxa"/>
            <w:vAlign w:val="bottom"/>
            <w:vMerge w:val="continue"/>
          </w:tcPr>
          <w:p>
            <w:pPr>
              <w:spacing w:after="0"/>
              <w:rPr>
                <w:sz w:val="9"/>
                <w:szCs w:val="9"/>
                <w:color w:val="auto"/>
              </w:rPr>
            </w:pPr>
          </w:p>
        </w:tc>
        <w:tc>
          <w:tcPr>
            <w:tcW w:w="8380" w:type="dxa"/>
            <w:vAlign w:val="bottom"/>
            <w:vMerge w:val="restart"/>
          </w:tcPr>
          <w:p>
            <w:pPr>
              <w:ind w:left="640"/>
              <w:spacing w:after="0" w:line="182" w:lineRule="exact"/>
              <w:rPr>
                <w:sz w:val="20"/>
                <w:szCs w:val="20"/>
                <w:color w:val="auto"/>
              </w:rPr>
            </w:pPr>
            <w:r>
              <w:rPr>
                <w:rFonts w:ascii="Arial" w:cs="Arial" w:eastAsia="Arial" w:hAnsi="Arial"/>
                <w:sz w:val="16"/>
                <w:szCs w:val="16"/>
                <w:color w:val="auto"/>
                <w:w w:val="98"/>
              </w:rPr>
              <w:t>group from January 2008 to December 2012 and served in multiple roles including Sr. Director of Service, Vice</w:t>
            </w:r>
          </w:p>
        </w:tc>
        <w:tc>
          <w:tcPr>
            <w:tcW w:w="0" w:type="dxa"/>
            <w:vAlign w:val="bottom"/>
          </w:tcPr>
          <w:p>
            <w:pPr>
              <w:spacing w:after="0"/>
              <w:rPr>
                <w:sz w:val="1"/>
                <w:szCs w:val="1"/>
                <w:color w:val="auto"/>
              </w:rPr>
            </w:pPr>
          </w:p>
        </w:tc>
      </w:tr>
      <w:tr>
        <w:trPr>
          <w:trHeight w:val="73"/>
        </w:trPr>
        <w:tc>
          <w:tcPr>
            <w:tcW w:w="2240" w:type="dxa"/>
            <w:vAlign w:val="bottom"/>
          </w:tcPr>
          <w:p>
            <w:pPr>
              <w:spacing w:after="0"/>
              <w:rPr>
                <w:sz w:val="6"/>
                <w:szCs w:val="6"/>
                <w:color w:val="auto"/>
              </w:rPr>
            </w:pPr>
          </w:p>
        </w:tc>
        <w:tc>
          <w:tcPr>
            <w:tcW w:w="8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w w:val="98"/>
              </w:rPr>
              <w:t>President, Contract Administration, and Vice President, Associate General Counsel from the time he joined the</w:t>
            </w: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rPr>
              <w:t>company in November 2002 until December 2007. Prior to joining the Company, Mr. Quigley held a variety of</w:t>
            </w:r>
          </w:p>
        </w:tc>
        <w:tc>
          <w:tcPr>
            <w:tcW w:w="0" w:type="dxa"/>
            <w:vAlign w:val="bottom"/>
          </w:tcPr>
          <w:p>
            <w:pPr>
              <w:spacing w:after="0"/>
              <w:rPr>
                <w:sz w:val="1"/>
                <w:szCs w:val="1"/>
                <w:color w:val="auto"/>
              </w:rPr>
            </w:pPr>
          </w:p>
        </w:tc>
      </w:tr>
      <w:tr>
        <w:trPr>
          <w:trHeight w:val="205"/>
        </w:trPr>
        <w:tc>
          <w:tcPr>
            <w:tcW w:w="2240" w:type="dxa"/>
            <w:vAlign w:val="bottom"/>
          </w:tcPr>
          <w:p>
            <w:pPr>
              <w:spacing w:after="0"/>
              <w:rPr>
                <w:sz w:val="17"/>
                <w:szCs w:val="17"/>
                <w:color w:val="auto"/>
              </w:rPr>
            </w:pPr>
          </w:p>
        </w:tc>
        <w:tc>
          <w:tcPr>
            <w:tcW w:w="8380" w:type="dxa"/>
            <w:vAlign w:val="bottom"/>
          </w:tcPr>
          <w:p>
            <w:pPr>
              <w:ind w:left="640"/>
              <w:spacing w:after="0"/>
              <w:rPr>
                <w:sz w:val="20"/>
                <w:szCs w:val="20"/>
                <w:color w:val="auto"/>
              </w:rPr>
            </w:pPr>
            <w:r>
              <w:rPr>
                <w:rFonts w:ascii="Arial" w:cs="Arial" w:eastAsia="Arial" w:hAnsi="Arial"/>
                <w:sz w:val="16"/>
                <w:szCs w:val="16"/>
                <w:color w:val="auto"/>
              </w:rPr>
              <w:t>roles at Lucent Technologies and AT&amp;T Corporation.</w:t>
            </w:r>
          </w:p>
        </w:tc>
        <w:tc>
          <w:tcPr>
            <w:tcW w:w="0" w:type="dxa"/>
            <w:vAlign w:val="bottom"/>
          </w:tcPr>
          <w:p>
            <w:pPr>
              <w:spacing w:after="0"/>
              <w:rPr>
                <w:sz w:val="1"/>
                <w:szCs w:val="1"/>
                <w:color w:val="auto"/>
              </w:rPr>
            </w:pPr>
          </w:p>
        </w:tc>
      </w:tr>
      <w:tr>
        <w:trPr>
          <w:trHeight w:val="119"/>
        </w:trPr>
        <w:tc>
          <w:tcPr>
            <w:tcW w:w="2240" w:type="dxa"/>
            <w:vAlign w:val="bottom"/>
            <w:tcBorders>
              <w:bottom w:val="single" w:sz="8" w:color="7F7F7F"/>
            </w:tcBorders>
          </w:tcPr>
          <w:p>
            <w:pPr>
              <w:spacing w:after="0"/>
              <w:rPr>
                <w:sz w:val="10"/>
                <w:szCs w:val="10"/>
                <w:color w:val="auto"/>
              </w:rPr>
            </w:pPr>
          </w:p>
        </w:tc>
        <w:tc>
          <w:tcPr>
            <w:tcW w:w="8380" w:type="dxa"/>
            <w:vAlign w:val="bottom"/>
            <w:tcBorders>
              <w:bottom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60"/>
              <w:spacing w:after="0"/>
              <w:rPr>
                <w:sz w:val="20"/>
                <w:szCs w:val="20"/>
                <w:color w:val="auto"/>
              </w:rPr>
            </w:pPr>
            <w:r>
              <w:rPr>
                <w:rFonts w:ascii="Arial" w:cs="Arial" w:eastAsia="Arial" w:hAnsi="Arial"/>
                <w:sz w:val="16"/>
                <w:szCs w:val="16"/>
                <w:b w:val="1"/>
                <w:bCs w:val="1"/>
                <w:color w:val="auto"/>
              </w:rPr>
              <w:t>Olivier G. Thirot</w:t>
            </w:r>
          </w:p>
        </w:tc>
        <w:tc>
          <w:tcPr>
            <w:tcW w:w="8380" w:type="dxa"/>
            <w:vAlign w:val="bottom"/>
          </w:tcPr>
          <w:p>
            <w:pPr>
              <w:ind w:left="640"/>
              <w:spacing w:after="0"/>
              <w:rPr>
                <w:sz w:val="20"/>
                <w:szCs w:val="20"/>
                <w:color w:val="auto"/>
              </w:rPr>
            </w:pPr>
            <w:r>
              <w:rPr>
                <w:rFonts w:ascii="Arial" w:cs="Arial" w:eastAsia="Arial" w:hAnsi="Arial"/>
                <w:sz w:val="16"/>
                <w:szCs w:val="16"/>
                <w:color w:val="auto"/>
              </w:rPr>
              <w:t>Mr. Thirot served as the Company’s acting Chief Financial Officer from March 2015 to January 2016 when he</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Executive Vice</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w w:val="97"/>
              </w:rPr>
              <w:t>was appointed Chief Financial Officer. He served as the Company’s Senior Vice President and Chief Accounting</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President and Chief</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w w:val="98"/>
              </w:rPr>
              <w:t>Officer from September 2014 to March 2015. Mr. Thirot was Vice President, Finance for the Company’s EMEA</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Financial Officer</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rPr>
              <w:t>business beginning in 2008 when he joined the Company and assumed added responsibility for the APAC</w:t>
            </w:r>
          </w:p>
        </w:tc>
        <w:tc>
          <w:tcPr>
            <w:tcW w:w="0" w:type="dxa"/>
            <w:vAlign w:val="bottom"/>
          </w:tcPr>
          <w:p>
            <w:pPr>
              <w:spacing w:after="0"/>
              <w:rPr>
                <w:sz w:val="1"/>
                <w:szCs w:val="1"/>
                <w:color w:val="auto"/>
              </w:rPr>
            </w:pPr>
          </w:p>
        </w:tc>
      </w:tr>
      <w:tr>
        <w:trPr>
          <w:trHeight w:val="182"/>
        </w:trPr>
        <w:tc>
          <w:tcPr>
            <w:tcW w:w="2240" w:type="dxa"/>
            <w:vAlign w:val="bottom"/>
            <w:vMerge w:val="restart"/>
          </w:tcPr>
          <w:p>
            <w:pPr>
              <w:ind w:left="60"/>
              <w:spacing w:after="0"/>
              <w:rPr>
                <w:sz w:val="20"/>
                <w:szCs w:val="20"/>
                <w:color w:val="auto"/>
              </w:rPr>
            </w:pPr>
            <w:r>
              <w:rPr>
                <w:rFonts w:ascii="Arial" w:cs="Arial" w:eastAsia="Arial" w:hAnsi="Arial"/>
                <w:sz w:val="16"/>
                <w:szCs w:val="16"/>
                <w:b w:val="1"/>
                <w:bCs w:val="1"/>
                <w:color w:val="0A9E50"/>
              </w:rPr>
              <w:t xml:space="preserve">Age: </w:t>
            </w:r>
            <w:r>
              <w:rPr>
                <w:rFonts w:ascii="Arial" w:cs="Arial" w:eastAsia="Arial" w:hAnsi="Arial"/>
                <w:sz w:val="16"/>
                <w:szCs w:val="16"/>
                <w:color w:val="000000"/>
              </w:rPr>
              <w:t>63</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w w:val="98"/>
              </w:rPr>
              <w:t>business in 2011. Prior to joining the Company, he worked at L. Raphael as Chief Financial Officer and prior to</w:t>
            </w:r>
          </w:p>
        </w:tc>
        <w:tc>
          <w:tcPr>
            <w:tcW w:w="0" w:type="dxa"/>
            <w:vAlign w:val="bottom"/>
          </w:tcPr>
          <w:p>
            <w:pPr>
              <w:spacing w:after="0"/>
              <w:rPr>
                <w:sz w:val="1"/>
                <w:szCs w:val="1"/>
                <w:color w:val="auto"/>
              </w:rPr>
            </w:pPr>
          </w:p>
        </w:tc>
      </w:tr>
      <w:tr>
        <w:trPr>
          <w:trHeight w:val="109"/>
        </w:trPr>
        <w:tc>
          <w:tcPr>
            <w:tcW w:w="2240" w:type="dxa"/>
            <w:vAlign w:val="bottom"/>
            <w:vMerge w:val="continue"/>
          </w:tcPr>
          <w:p>
            <w:pPr>
              <w:spacing w:after="0"/>
              <w:rPr>
                <w:sz w:val="9"/>
                <w:szCs w:val="9"/>
                <w:color w:val="auto"/>
              </w:rPr>
            </w:pPr>
          </w:p>
        </w:tc>
        <w:tc>
          <w:tcPr>
            <w:tcW w:w="8380" w:type="dxa"/>
            <w:vAlign w:val="bottom"/>
            <w:vMerge w:val="restart"/>
          </w:tcPr>
          <w:p>
            <w:pPr>
              <w:ind w:left="640"/>
              <w:spacing w:after="0"/>
              <w:rPr>
                <w:sz w:val="20"/>
                <w:szCs w:val="20"/>
                <w:color w:val="auto"/>
              </w:rPr>
            </w:pPr>
            <w:r>
              <w:rPr>
                <w:rFonts w:ascii="Arial" w:cs="Arial" w:eastAsia="Arial" w:hAnsi="Arial"/>
                <w:sz w:val="16"/>
                <w:szCs w:val="16"/>
                <w:color w:val="auto"/>
              </w:rPr>
              <w:t>that, he spent 18 years with Bacardi, LTD in various leadership positions.</w:t>
            </w:r>
          </w:p>
        </w:tc>
        <w:tc>
          <w:tcPr>
            <w:tcW w:w="0" w:type="dxa"/>
            <w:vAlign w:val="bottom"/>
          </w:tcPr>
          <w:p>
            <w:pPr>
              <w:spacing w:after="0"/>
              <w:rPr>
                <w:sz w:val="1"/>
                <w:szCs w:val="1"/>
                <w:color w:val="auto"/>
              </w:rPr>
            </w:pPr>
          </w:p>
        </w:tc>
      </w:tr>
      <w:tr>
        <w:trPr>
          <w:trHeight w:val="96"/>
        </w:trPr>
        <w:tc>
          <w:tcPr>
            <w:tcW w:w="2240" w:type="dxa"/>
            <w:vAlign w:val="bottom"/>
          </w:tcPr>
          <w:p>
            <w:pPr>
              <w:spacing w:after="0"/>
              <w:rPr>
                <w:sz w:val="8"/>
                <w:szCs w:val="8"/>
                <w:color w:val="auto"/>
              </w:rPr>
            </w:pPr>
          </w:p>
        </w:tc>
        <w:tc>
          <w:tcPr>
            <w:tcW w:w="8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240" w:type="dxa"/>
            <w:vAlign w:val="bottom"/>
            <w:tcBorders>
              <w:bottom w:val="single" w:sz="8" w:color="7F7F7F"/>
            </w:tcBorders>
          </w:tcPr>
          <w:p>
            <w:pPr>
              <w:spacing w:after="0"/>
              <w:rPr>
                <w:sz w:val="10"/>
                <w:szCs w:val="10"/>
                <w:color w:val="auto"/>
              </w:rPr>
            </w:pPr>
          </w:p>
        </w:tc>
        <w:tc>
          <w:tcPr>
            <w:tcW w:w="8380" w:type="dxa"/>
            <w:vAlign w:val="bottom"/>
            <w:tcBorders>
              <w:bottom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240" w:type="dxa"/>
            <w:vAlign w:val="bottom"/>
          </w:tcPr>
          <w:p>
            <w:pPr>
              <w:ind w:left="60"/>
              <w:spacing w:after="0"/>
              <w:rPr>
                <w:sz w:val="20"/>
                <w:szCs w:val="20"/>
                <w:color w:val="auto"/>
              </w:rPr>
            </w:pPr>
            <w:r>
              <w:rPr>
                <w:rFonts w:ascii="Arial" w:cs="Arial" w:eastAsia="Arial" w:hAnsi="Arial"/>
                <w:sz w:val="16"/>
                <w:szCs w:val="16"/>
                <w:b w:val="1"/>
                <w:bCs w:val="1"/>
                <w:color w:val="auto"/>
              </w:rPr>
              <w:t>Daniel Hugo Malan</w:t>
            </w:r>
          </w:p>
        </w:tc>
        <w:tc>
          <w:tcPr>
            <w:tcW w:w="8380" w:type="dxa"/>
            <w:vAlign w:val="bottom"/>
          </w:tcPr>
          <w:p>
            <w:pPr>
              <w:ind w:left="640"/>
              <w:spacing w:after="0"/>
              <w:rPr>
                <w:sz w:val="20"/>
                <w:szCs w:val="20"/>
                <w:color w:val="auto"/>
              </w:rPr>
            </w:pPr>
            <w:r>
              <w:rPr>
                <w:rFonts w:ascii="Arial" w:cs="Arial" w:eastAsia="Arial" w:hAnsi="Arial"/>
                <w:sz w:val="16"/>
                <w:szCs w:val="16"/>
                <w:color w:val="auto"/>
                <w:w w:val="97"/>
              </w:rPr>
              <w:t>Mr. Malan has served as the Company’s President of Science, Engineering, and Technology since March 2020.</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Senior Vice President</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w w:val="99"/>
              </w:rPr>
              <w:t>Prior to that he worked at EmployBridge for three years, serving as President of its Commercial Business from</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President, Kelly</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rPr>
              <w:t>December 2016 to July 2018 before being named Chief Operating Officer in August 2018 through November</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Science, Enginerring,</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w w:val="98"/>
              </w:rPr>
              <w:t>2019. From November 2014 to November 2016, Mr. Malan was Executive Vice President and President, North</w:t>
            </w:r>
          </w:p>
        </w:tc>
        <w:tc>
          <w:tcPr>
            <w:tcW w:w="0" w:type="dxa"/>
            <w:vAlign w:val="bottom"/>
          </w:tcPr>
          <w:p>
            <w:pPr>
              <w:spacing w:after="0"/>
              <w:rPr>
                <w:sz w:val="1"/>
                <w:szCs w:val="1"/>
                <w:color w:val="auto"/>
              </w:rPr>
            </w:pPr>
          </w:p>
        </w:tc>
      </w:tr>
      <w:tr>
        <w:trPr>
          <w:trHeight w:val="182"/>
        </w:trPr>
        <w:tc>
          <w:tcPr>
            <w:tcW w:w="2240" w:type="dxa"/>
            <w:vAlign w:val="bottom"/>
          </w:tcPr>
          <w:p>
            <w:pPr>
              <w:ind w:left="60"/>
              <w:spacing w:after="0" w:line="182" w:lineRule="exact"/>
              <w:rPr>
                <w:sz w:val="20"/>
                <w:szCs w:val="20"/>
                <w:color w:val="auto"/>
              </w:rPr>
            </w:pPr>
            <w:r>
              <w:rPr>
                <w:rFonts w:ascii="Arial" w:cs="Arial" w:eastAsia="Arial" w:hAnsi="Arial"/>
                <w:sz w:val="16"/>
                <w:szCs w:val="16"/>
                <w:color w:val="auto"/>
              </w:rPr>
              <w:t>Technology &amp; Telecom</w:t>
            </w:r>
          </w:p>
        </w:tc>
        <w:tc>
          <w:tcPr>
            <w:tcW w:w="8380" w:type="dxa"/>
            <w:vAlign w:val="bottom"/>
          </w:tcPr>
          <w:p>
            <w:pPr>
              <w:ind w:left="640"/>
              <w:spacing w:after="0" w:line="182" w:lineRule="exact"/>
              <w:rPr>
                <w:sz w:val="20"/>
                <w:szCs w:val="20"/>
                <w:color w:val="auto"/>
              </w:rPr>
            </w:pPr>
            <w:r>
              <w:rPr>
                <w:rFonts w:ascii="Arial" w:cs="Arial" w:eastAsia="Arial" w:hAnsi="Arial"/>
                <w:sz w:val="16"/>
                <w:szCs w:val="16"/>
                <w:color w:val="auto"/>
              </w:rPr>
              <w:t>America Staffing for CDI Talent and Technology Solutions, and from March 2009 to October 2014 served as</w:t>
            </w:r>
          </w:p>
        </w:tc>
        <w:tc>
          <w:tcPr>
            <w:tcW w:w="0" w:type="dxa"/>
            <w:vAlign w:val="bottom"/>
          </w:tcPr>
          <w:p>
            <w:pPr>
              <w:spacing w:after="0"/>
              <w:rPr>
                <w:sz w:val="1"/>
                <w:szCs w:val="1"/>
                <w:color w:val="auto"/>
              </w:rPr>
            </w:pPr>
          </w:p>
        </w:tc>
      </w:tr>
      <w:tr>
        <w:trPr>
          <w:trHeight w:val="205"/>
        </w:trPr>
        <w:tc>
          <w:tcPr>
            <w:tcW w:w="2240" w:type="dxa"/>
            <w:vAlign w:val="bottom"/>
            <w:vMerge w:val="restart"/>
          </w:tcPr>
          <w:p>
            <w:pPr>
              <w:ind w:left="60"/>
              <w:spacing w:after="0"/>
              <w:rPr>
                <w:sz w:val="20"/>
                <w:szCs w:val="20"/>
                <w:color w:val="auto"/>
              </w:rPr>
            </w:pPr>
            <w:r>
              <w:rPr>
                <w:rFonts w:ascii="Arial" w:cs="Arial" w:eastAsia="Arial" w:hAnsi="Arial"/>
                <w:sz w:val="16"/>
                <w:szCs w:val="16"/>
                <w:b w:val="1"/>
                <w:bCs w:val="1"/>
                <w:color w:val="0A9E50"/>
              </w:rPr>
              <w:t xml:space="preserve">Age: </w:t>
            </w:r>
            <w:r>
              <w:rPr>
                <w:rFonts w:ascii="Arial" w:cs="Arial" w:eastAsia="Arial" w:hAnsi="Arial"/>
                <w:sz w:val="16"/>
                <w:szCs w:val="16"/>
                <w:color w:val="000000"/>
              </w:rPr>
              <w:t>54</w:t>
            </w:r>
          </w:p>
        </w:tc>
        <w:tc>
          <w:tcPr>
            <w:tcW w:w="8380" w:type="dxa"/>
            <w:vAlign w:val="bottom"/>
          </w:tcPr>
          <w:p>
            <w:pPr>
              <w:ind w:left="640"/>
              <w:spacing w:after="0"/>
              <w:rPr>
                <w:sz w:val="20"/>
                <w:szCs w:val="20"/>
                <w:color w:val="auto"/>
              </w:rPr>
            </w:pPr>
            <w:r>
              <w:rPr>
                <w:rFonts w:ascii="Arial" w:cs="Arial" w:eastAsia="Arial" w:hAnsi="Arial"/>
                <w:sz w:val="16"/>
                <w:szCs w:val="16"/>
                <w:color w:val="auto"/>
              </w:rPr>
              <w:t>Senior Vice President and President of operating units for Sears Holdings.</w:t>
            </w:r>
          </w:p>
        </w:tc>
        <w:tc>
          <w:tcPr>
            <w:tcW w:w="0" w:type="dxa"/>
            <w:vAlign w:val="bottom"/>
          </w:tcPr>
          <w:p>
            <w:pPr>
              <w:spacing w:after="0"/>
              <w:rPr>
                <w:sz w:val="1"/>
                <w:szCs w:val="1"/>
                <w:color w:val="auto"/>
              </w:rPr>
            </w:pPr>
          </w:p>
        </w:tc>
      </w:tr>
      <w:tr>
        <w:trPr>
          <w:trHeight w:val="86"/>
        </w:trPr>
        <w:tc>
          <w:tcPr>
            <w:tcW w:w="2240" w:type="dxa"/>
            <w:vAlign w:val="bottom"/>
            <w:vMerge w:val="continue"/>
          </w:tcPr>
          <w:p>
            <w:pPr>
              <w:spacing w:after="0"/>
              <w:rPr>
                <w:sz w:val="7"/>
                <w:szCs w:val="7"/>
                <w:color w:val="auto"/>
              </w:rPr>
            </w:pPr>
          </w:p>
        </w:tc>
        <w:tc>
          <w:tcPr>
            <w:tcW w:w="8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9310" cy="539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7405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p>
      <w:pPr>
        <w:spacing w:after="0" w:line="16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Vanessa P. Williams</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4"/>
          <w:szCs w:val="14"/>
          <w:color w:val="auto"/>
        </w:rPr>
        <w:t>Senior Vice President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4"/>
          <w:szCs w:val="14"/>
          <w:color w:val="auto"/>
        </w:rPr>
        <w:t>General Counsel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Corporate Secretary</w:t>
      </w:r>
    </w:p>
    <w:p>
      <w:pPr>
        <w:spacing w:after="0" w:line="6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A9E50"/>
        </w:rPr>
        <w:t xml:space="preserve">Age: </w:t>
      </w:r>
      <w:r>
        <w:rPr>
          <w:rFonts w:ascii="Arial" w:cs="Arial" w:eastAsia="Arial" w:hAnsi="Arial"/>
          <w:sz w:val="16"/>
          <w:szCs w:val="16"/>
          <w:color w:val="000000"/>
        </w:rPr>
        <w:t>52</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Ms. Williams has served as General Counsel since joining the Company in September 2020 and was recently appointed Corporate Secretary effective October 1, 2023. Previously, she worked from July 2006 to September 2020 in a variety of roles for IHS Market including Senior Vice President, Legal, Risk and Compliance; Vice President, Divisional Counsel-Transportation; Vice President, Chief Legal Counsel and Global Privacy Officer (IHS, Inc.); Vice President and Deputy General Counsel and Chief Compliance Officer; Deputy General Counsel; and Associate General Counsel (R.L. Polk &amp; Co.). In addition, Ms. Williams has been a member of Horizon Bank’s board of directors since 2022 and Horizon Bancorp, Inc.’s board of directors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59055</wp:posOffset>
            </wp:positionV>
            <wp:extent cx="67405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2160" w:space="720"/>
            <w:col w:w="7740"/>
          </w:cols>
          <w:pgMar w:left="640" w:top="296" w:right="639" w:bottom="1440" w:gutter="0" w:footer="0" w:header="0"/>
          <w:type w:val="continuous"/>
        </w:sectPr>
      </w:pPr>
    </w:p>
    <w:p>
      <w:pPr>
        <w:spacing w:after="0" w:line="193" w:lineRule="exact"/>
        <w:rPr>
          <w:sz w:val="20"/>
          <w:szCs w:val="20"/>
          <w:color w:val="auto"/>
        </w:rPr>
      </w:pPr>
    </w:p>
    <w:p>
      <w:pPr>
        <w:ind w:left="60" w:right="100"/>
        <w:spacing w:after="0" w:line="252" w:lineRule="auto"/>
        <w:rPr>
          <w:sz w:val="20"/>
          <w:szCs w:val="20"/>
          <w:color w:val="auto"/>
        </w:rPr>
      </w:pPr>
      <w:r>
        <w:rPr>
          <w:rFonts w:ascii="Arial" w:cs="Arial" w:eastAsia="Arial" w:hAnsi="Arial"/>
          <w:sz w:val="16"/>
          <w:szCs w:val="16"/>
          <w:b w:val="1"/>
          <w:bCs w:val="1"/>
          <w:color w:val="auto"/>
        </w:rPr>
        <w:t xml:space="preserve">Dinette Koolhaas </w:t>
      </w:r>
      <w:r>
        <w:rPr>
          <w:rFonts w:ascii="Arial" w:cs="Arial" w:eastAsia="Arial" w:hAnsi="Arial"/>
          <w:sz w:val="16"/>
          <w:szCs w:val="16"/>
          <w:color w:val="auto"/>
        </w:rPr>
        <w:t>Senior Vice President President, Kelly International</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A9E50"/>
        </w:rPr>
        <w:t xml:space="preserve">Age: </w:t>
      </w:r>
      <w:r>
        <w:rPr>
          <w:rFonts w:ascii="Arial" w:cs="Arial" w:eastAsia="Arial" w:hAnsi="Arial"/>
          <w:sz w:val="16"/>
          <w:szCs w:val="16"/>
          <w:color w:val="000000"/>
        </w:rPr>
        <w:t>55</w:t>
      </w:r>
    </w:p>
    <w:p>
      <w:pPr>
        <w:spacing w:after="0" w:line="20" w:lineRule="exact"/>
        <w:rPr>
          <w:sz w:val="20"/>
          <w:szCs w:val="20"/>
          <w:color w:val="auto"/>
        </w:rPr>
      </w:pPr>
      <w:r>
        <w:rPr>
          <w:sz w:val="20"/>
          <w:szCs w:val="20"/>
          <w:color w:val="auto"/>
        </w:rPr>
        <w:br w:type="column"/>
      </w:r>
    </w:p>
    <w:p>
      <w:pPr>
        <w:ind w:right="120"/>
        <w:spacing w:after="0" w:line="244" w:lineRule="auto"/>
        <w:rPr>
          <w:sz w:val="20"/>
          <w:szCs w:val="20"/>
          <w:color w:val="auto"/>
        </w:rPr>
      </w:pPr>
      <w:r>
        <w:rPr>
          <w:rFonts w:ascii="Arial" w:cs="Arial" w:eastAsia="Arial" w:hAnsi="Arial"/>
          <w:sz w:val="16"/>
          <w:szCs w:val="16"/>
          <w:color w:val="auto"/>
        </w:rPr>
        <w:t>Ms. Koolhaas previously served as Vice President, EMEA Operations from September 2013 to February 2017, at which time she took on Managing Director responsibilities for EMEA until July 2020 when she took on her current role. Prior to that, she was Vice President and Regional Manager of Western Europe from June 2008 through August 2013. Prior to joining the Company in 2008, Ms. Koolhaas served in various roles with USG People.</w:t>
      </w:r>
    </w:p>
    <w:p>
      <w:pPr>
        <w:spacing w:after="0" w:line="186" w:lineRule="exact"/>
        <w:rPr>
          <w:sz w:val="20"/>
          <w:szCs w:val="20"/>
          <w:color w:val="auto"/>
        </w:rPr>
      </w:pPr>
    </w:p>
    <w:p>
      <w:pPr>
        <w:sectPr>
          <w:pgSz w:w="11900" w:h="16838" w:orient="portrait"/>
          <w:cols w:equalWidth="0" w:num="2">
            <w:col w:w="2160" w:space="720"/>
            <w:col w:w="7740"/>
          </w:cols>
          <w:pgMar w:left="640" w:top="296" w:right="639" w:bottom="1440" w:gutter="0" w:footer="0" w:header="0"/>
          <w:type w:val="continuous"/>
        </w:sectPr>
      </w:pPr>
    </w:p>
    <w:p>
      <w:pPr>
        <w:ind w:left="8780"/>
        <w:spacing w:after="0"/>
        <w:tabs>
          <w:tab w:leader="none" w:pos="1002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67405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6308725</wp:posOffset>
            </wp:positionH>
            <wp:positionV relativeFrom="paragraph">
              <wp:posOffset>-184150</wp:posOffset>
            </wp:positionV>
            <wp:extent cx="8255" cy="2228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type w:val="continuous"/>
        </w:sectPr>
      </w:pPr>
    </w:p>
    <w:bookmarkStart w:id="49" w:name="page50"/>
    <w:bookmarkEnd w:id="49"/>
    <w:p>
      <w:pPr>
        <w:ind w:left="4"/>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Executive Summary</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Fiscal 2023 Performance</w:t>
      </w:r>
    </w:p>
    <w:p>
      <w:pPr>
        <w:spacing w:after="0" w:line="108" w:lineRule="exact"/>
        <w:rPr>
          <w:sz w:val="20"/>
          <w:szCs w:val="20"/>
          <w:color w:val="auto"/>
        </w:rPr>
      </w:pPr>
    </w:p>
    <w:p>
      <w:pPr>
        <w:ind w:left="4"/>
        <w:spacing w:after="0" w:line="243" w:lineRule="auto"/>
        <w:rPr>
          <w:sz w:val="20"/>
          <w:szCs w:val="20"/>
          <w:color w:val="auto"/>
        </w:rPr>
      </w:pPr>
      <w:r>
        <w:rPr>
          <w:rFonts w:ascii="Arial" w:cs="Arial" w:eastAsia="Arial" w:hAnsi="Arial"/>
          <w:sz w:val="16"/>
          <w:szCs w:val="16"/>
          <w:color w:val="auto"/>
        </w:rPr>
        <w:t>Kelly’s philosophy as a talent company is rooted in the conviction that our business makes a difference daily – in the lives of our employees and talent networks, for our customers, in the local communities we serve, and in the broader economy. As work has evolved so has our range of solutions, growing over the years to reflect the changing needs of our customers and the changing nature of work itself. Kelly’s simple yet powerful noble purpose, “We connect people to work in ways that enrich their lives,” continues to guide our strategy and actions. Kelly remains committed to being a leading talent solutions provider in our specialty areas and in the markets where we compete. While executing our strategy, we will continue to demonstrate our expected behaviors and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773545" cy="2965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73545" cy="2965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 xml:space="preserve">The described actions detailed below in the </w:t>
      </w:r>
      <w:r>
        <w:rPr>
          <w:rFonts w:ascii="Arial" w:cs="Arial" w:eastAsia="Arial" w:hAnsi="Arial"/>
          <w:sz w:val="16"/>
          <w:szCs w:val="16"/>
          <w:i w:val="1"/>
          <w:iCs w:val="1"/>
          <w:color w:val="auto"/>
        </w:rPr>
        <w:t>Key Executive Compensation Program Highlights for Fiscal 2023</w:t>
      </w:r>
      <w:r>
        <w:rPr>
          <w:rFonts w:ascii="Arial" w:cs="Arial" w:eastAsia="Arial" w:hAnsi="Arial"/>
          <w:sz w:val="16"/>
          <w:szCs w:val="16"/>
          <w:color w:val="auto"/>
        </w:rPr>
        <w:t xml:space="preserve"> section provided fiscally responsible reward programs while also providing targeted investments needed to reward employees for achieving important financial and operational goals, and to support the longer-term retention of critical talent.</w:t>
      </w:r>
    </w:p>
    <w:p>
      <w:pPr>
        <w:spacing w:after="0" w:line="47" w:lineRule="exact"/>
        <w:rPr>
          <w:sz w:val="20"/>
          <w:szCs w:val="20"/>
          <w:color w:val="auto"/>
        </w:rPr>
      </w:pPr>
    </w:p>
    <w:p>
      <w:pPr>
        <w:ind w:left="4" w:right="160"/>
        <w:spacing w:after="0" w:line="251" w:lineRule="auto"/>
        <w:rPr>
          <w:sz w:val="20"/>
          <w:szCs w:val="20"/>
          <w:color w:val="auto"/>
        </w:rPr>
      </w:pPr>
      <w:r>
        <w:rPr>
          <w:rFonts w:ascii="Arial" w:cs="Arial" w:eastAsia="Arial" w:hAnsi="Arial"/>
          <w:sz w:val="16"/>
          <w:szCs w:val="16"/>
          <w:color w:val="auto"/>
        </w:rPr>
        <w:t>As our strategy evolves and we manage through the impact of inflation and market uncertainty, we continue to move forward with our specialization strategy. These specialties represent areas where we see the most robust demand, the most promising growth opportunities, and where we believe we excel in attracting and placing talent.</w:t>
      </w:r>
    </w:p>
    <w:p>
      <w:pPr>
        <w:spacing w:after="0" w:line="34" w:lineRule="exact"/>
        <w:rPr>
          <w:sz w:val="20"/>
          <w:szCs w:val="20"/>
          <w:color w:val="auto"/>
        </w:rPr>
      </w:pPr>
    </w:p>
    <w:p>
      <w:pPr>
        <w:jc w:val="both"/>
        <w:ind w:left="4" w:right="160"/>
        <w:spacing w:after="0" w:line="304" w:lineRule="auto"/>
        <w:rPr>
          <w:sz w:val="20"/>
          <w:szCs w:val="20"/>
          <w:color w:val="auto"/>
        </w:rPr>
      </w:pPr>
      <w:r>
        <w:rPr>
          <w:rFonts w:ascii="Arial" w:cs="Arial" w:eastAsia="Arial" w:hAnsi="Arial"/>
          <w:sz w:val="14"/>
          <w:szCs w:val="14"/>
          <w:color w:val="auto"/>
        </w:rPr>
        <w:t>Kelly’s business model brings together both staffing and outcome-based solutions under a single specialty leader and aggregates assets to accelerate specialty growth and profitability. We believe this specialty structure gives us greater advantages in the market, and we expect our disciplined focus will enable us to achieve greater efficiencies and deliver profitable growth coming out of a period of elevated economic uncertainty.</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Key Executive Compensation Program Highlights for Fiscal 2023</w:t>
      </w:r>
    </w:p>
    <w:p>
      <w:pPr>
        <w:spacing w:after="0" w:line="69" w:lineRule="exact"/>
        <w:rPr>
          <w:sz w:val="20"/>
          <w:szCs w:val="20"/>
          <w:color w:val="auto"/>
        </w:rPr>
      </w:pPr>
    </w:p>
    <w:p>
      <w:pPr>
        <w:ind w:left="4" w:right="40"/>
        <w:spacing w:after="0" w:line="244" w:lineRule="auto"/>
        <w:rPr>
          <w:sz w:val="20"/>
          <w:szCs w:val="20"/>
          <w:color w:val="auto"/>
        </w:rPr>
      </w:pPr>
      <w:r>
        <w:rPr>
          <w:rFonts w:ascii="Arial" w:cs="Arial" w:eastAsia="Arial" w:hAnsi="Arial"/>
          <w:sz w:val="16"/>
          <w:szCs w:val="16"/>
          <w:color w:val="auto"/>
        </w:rPr>
        <w:t>We believe compensation should align with and enhance long-term shareholder value. Our pay-for-performance philosophy ensures that a significant portion of compensation for our senior officers is “at risk” and reflects our business performance. Kelly continued to focus on striking a balance of providing competitive compensation programs that attract, reward, and retain high performing talent while doing so in a fiscally responsible framework. Our named executive officers experienced the following outcomes for 2023 as a result of Company performance and management’s decision to focus on the Company’s transition in becoming a more profitable talent solutions company:</w:t>
      </w:r>
    </w:p>
    <w:p>
      <w:pPr>
        <w:spacing w:after="0" w:line="22" w:lineRule="exact"/>
        <w:rPr>
          <w:sz w:val="20"/>
          <w:szCs w:val="20"/>
          <w:color w:val="auto"/>
        </w:rPr>
      </w:pPr>
    </w:p>
    <w:p>
      <w:pPr>
        <w:ind w:left="204" w:hanging="204"/>
        <w:spacing w:after="0"/>
        <w:tabs>
          <w:tab w:leader="none" w:pos="204" w:val="left"/>
        </w:tabs>
        <w:numPr>
          <w:ilvl w:val="0"/>
          <w:numId w:val="28"/>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Performed a targeted annual base salary review process with one named executive officer receiving a salary increase in 2023;</w:t>
      </w:r>
    </w:p>
    <w:p>
      <w:pPr>
        <w:spacing w:after="0" w:line="60" w:lineRule="exact"/>
        <w:rPr>
          <w:sz w:val="20"/>
          <w:szCs w:val="20"/>
          <w:color w:val="auto"/>
        </w:rPr>
      </w:pPr>
    </w:p>
    <w:p>
      <w:pPr>
        <w:ind w:left="64"/>
        <w:spacing w:after="0"/>
        <w:tabs>
          <w:tab w:leader="none" w:pos="563" w:val="left"/>
        </w:tabs>
        <w:rPr>
          <w:sz w:val="20"/>
          <w:szCs w:val="20"/>
          <w:color w:val="auto"/>
        </w:rPr>
      </w:pPr>
      <w:r>
        <w:rPr>
          <w:rFonts w:ascii="Arial" w:cs="Arial" w:eastAsia="Arial" w:hAnsi="Arial"/>
          <w:sz w:val="36"/>
          <w:szCs w:val="36"/>
          <w:color w:val="auto"/>
          <w:vertAlign w:val="superscript"/>
        </w:rPr>
        <w:t>48 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-216535</wp:posOffset>
            </wp:positionV>
            <wp:extent cx="8255" cy="2228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564"/>
          </w:cols>
          <w:pgMar w:left="636" w:top="296" w:right="699" w:bottom="1440" w:gutter="0" w:footer="0" w:header="0"/>
        </w:sectPr>
      </w:pPr>
    </w:p>
    <w:bookmarkStart w:id="50" w:name="page51"/>
    <w:bookmarkEnd w:id="50"/>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66" w:lineRule="exact"/>
        <w:rPr>
          <w:sz w:val="20"/>
          <w:szCs w:val="20"/>
          <w:color w:val="auto"/>
        </w:rPr>
      </w:pPr>
    </w:p>
    <w:p>
      <w:pPr>
        <w:ind w:left="204" w:hanging="204"/>
        <w:spacing w:after="0"/>
        <w:tabs>
          <w:tab w:leader="none" w:pos="204" w:val="left"/>
        </w:tabs>
        <w:numPr>
          <w:ilvl w:val="0"/>
          <w:numId w:val="2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With respect to our short-term incentive plan:</w:t>
      </w:r>
    </w:p>
    <w:p>
      <w:pPr>
        <w:spacing w:after="0" w:line="68" w:lineRule="exact"/>
        <w:rPr>
          <w:rFonts w:ascii="Times New Roman" w:cs="Times New Roman" w:eastAsia="Times New Roman" w:hAnsi="Times New Roman"/>
          <w:sz w:val="24"/>
          <w:szCs w:val="24"/>
          <w:color w:val="0A9E50"/>
          <w:vertAlign w:val="superscript"/>
        </w:rPr>
      </w:pPr>
    </w:p>
    <w:p>
      <w:pPr>
        <w:ind w:left="524" w:hanging="316"/>
        <w:spacing w:after="0"/>
        <w:tabs>
          <w:tab w:leader="none" w:pos="524" w:val="left"/>
        </w:tabs>
        <w:numPr>
          <w:ilvl w:val="1"/>
          <w:numId w:val="29"/>
        </w:numPr>
        <w:rPr>
          <w:rFonts w:ascii="Arial" w:cs="Arial" w:eastAsia="Arial" w:hAnsi="Arial"/>
          <w:sz w:val="16"/>
          <w:szCs w:val="16"/>
          <w:color w:val="auto"/>
        </w:rPr>
      </w:pPr>
      <w:r>
        <w:rPr>
          <w:rFonts w:ascii="Arial" w:cs="Arial" w:eastAsia="Arial" w:hAnsi="Arial"/>
          <w:sz w:val="16"/>
          <w:szCs w:val="16"/>
          <w:color w:val="auto"/>
        </w:rPr>
        <w:t>funding for all participants focused 100% on total Company earnings from operations (“EFO”)</w:t>
      </w:r>
    </w:p>
    <w:p>
      <w:pPr>
        <w:spacing w:after="0" w:line="62" w:lineRule="exact"/>
        <w:rPr>
          <w:rFonts w:ascii="Arial" w:cs="Arial" w:eastAsia="Arial" w:hAnsi="Arial"/>
          <w:sz w:val="16"/>
          <w:szCs w:val="16"/>
          <w:color w:val="auto"/>
        </w:rPr>
      </w:pPr>
    </w:p>
    <w:p>
      <w:pPr>
        <w:ind w:left="524" w:hanging="316"/>
        <w:spacing w:after="0"/>
        <w:tabs>
          <w:tab w:leader="none" w:pos="524" w:val="left"/>
        </w:tabs>
        <w:numPr>
          <w:ilvl w:val="1"/>
          <w:numId w:val="29"/>
        </w:numPr>
        <w:rPr>
          <w:rFonts w:ascii="Arial" w:cs="Arial" w:eastAsia="Arial" w:hAnsi="Arial"/>
          <w:sz w:val="16"/>
          <w:szCs w:val="16"/>
          <w:color w:val="auto"/>
        </w:rPr>
      </w:pPr>
      <w:r>
        <w:rPr>
          <w:rFonts w:ascii="Arial" w:cs="Arial" w:eastAsia="Arial" w:hAnsi="Arial"/>
          <w:sz w:val="16"/>
          <w:szCs w:val="16"/>
          <w:color w:val="auto"/>
        </w:rPr>
        <w:t>returned to setting threshold at 50% of target and straight-line interpolation between threshold and target;</w:t>
      </w:r>
    </w:p>
    <w:p>
      <w:pPr>
        <w:spacing w:after="0" w:line="76" w:lineRule="exact"/>
        <w:rPr>
          <w:rFonts w:ascii="Arial" w:cs="Arial" w:eastAsia="Arial" w:hAnsi="Arial"/>
          <w:sz w:val="16"/>
          <w:szCs w:val="16"/>
          <w:color w:val="auto"/>
        </w:rPr>
      </w:pPr>
    </w:p>
    <w:p>
      <w:pPr>
        <w:ind w:left="524" w:hanging="316"/>
        <w:spacing w:after="0"/>
        <w:tabs>
          <w:tab w:leader="none" w:pos="524" w:val="left"/>
        </w:tabs>
        <w:numPr>
          <w:ilvl w:val="1"/>
          <w:numId w:val="29"/>
        </w:numPr>
        <w:rPr>
          <w:rFonts w:ascii="Arial" w:cs="Arial" w:eastAsia="Arial" w:hAnsi="Arial"/>
          <w:sz w:val="16"/>
          <w:szCs w:val="16"/>
          <w:color w:val="auto"/>
        </w:rPr>
      </w:pPr>
      <w:r>
        <w:rPr>
          <w:rFonts w:ascii="Arial" w:cs="Arial" w:eastAsia="Arial" w:hAnsi="Arial"/>
          <w:sz w:val="16"/>
          <w:szCs w:val="16"/>
          <w:color w:val="auto"/>
        </w:rPr>
        <w:t>continued with a maximum payout opportunity of 200% of target;</w:t>
      </w:r>
    </w:p>
    <w:p>
      <w:pPr>
        <w:spacing w:after="0" w:line="76" w:lineRule="exact"/>
        <w:rPr>
          <w:rFonts w:ascii="Arial" w:cs="Arial" w:eastAsia="Arial" w:hAnsi="Arial"/>
          <w:sz w:val="16"/>
          <w:szCs w:val="16"/>
          <w:color w:val="auto"/>
        </w:rPr>
      </w:pPr>
    </w:p>
    <w:p>
      <w:pPr>
        <w:ind w:left="524" w:hanging="316"/>
        <w:spacing w:after="0"/>
        <w:tabs>
          <w:tab w:leader="none" w:pos="524" w:val="left"/>
        </w:tabs>
        <w:numPr>
          <w:ilvl w:val="1"/>
          <w:numId w:val="29"/>
        </w:numPr>
        <w:rPr>
          <w:rFonts w:ascii="Arial" w:cs="Arial" w:eastAsia="Arial" w:hAnsi="Arial"/>
          <w:sz w:val="16"/>
          <w:szCs w:val="16"/>
          <w:color w:val="auto"/>
        </w:rPr>
      </w:pPr>
      <w:r>
        <w:rPr>
          <w:rFonts w:ascii="Arial" w:cs="Arial" w:eastAsia="Arial" w:hAnsi="Arial"/>
          <w:sz w:val="16"/>
          <w:szCs w:val="16"/>
          <w:color w:val="auto"/>
        </w:rPr>
        <w:t>continued emphasis on individual performance for determining final payouts; and</w:t>
      </w:r>
    </w:p>
    <w:p>
      <w:pPr>
        <w:spacing w:after="0" w:line="76" w:lineRule="exact"/>
        <w:rPr>
          <w:rFonts w:ascii="Arial" w:cs="Arial" w:eastAsia="Arial" w:hAnsi="Arial"/>
          <w:sz w:val="16"/>
          <w:szCs w:val="16"/>
          <w:color w:val="auto"/>
        </w:rPr>
      </w:pPr>
    </w:p>
    <w:p>
      <w:pPr>
        <w:ind w:left="524" w:hanging="316"/>
        <w:spacing w:after="0"/>
        <w:tabs>
          <w:tab w:leader="none" w:pos="524" w:val="left"/>
        </w:tabs>
        <w:numPr>
          <w:ilvl w:val="1"/>
          <w:numId w:val="29"/>
        </w:numPr>
        <w:rPr>
          <w:rFonts w:ascii="Arial" w:cs="Arial" w:eastAsia="Arial" w:hAnsi="Arial"/>
          <w:sz w:val="16"/>
          <w:szCs w:val="16"/>
          <w:color w:val="auto"/>
        </w:rPr>
      </w:pPr>
      <w:r>
        <w:rPr>
          <w:rFonts w:ascii="Arial" w:cs="Arial" w:eastAsia="Arial" w:hAnsi="Arial"/>
          <w:sz w:val="16"/>
          <w:szCs w:val="16"/>
          <w:color w:val="auto"/>
        </w:rPr>
        <w:t>2023 Short Term Incentive Plan (“STIP”) was funded at 94% of target levels based on total company performance.</w:t>
      </w:r>
    </w:p>
    <w:p>
      <w:pPr>
        <w:spacing w:after="0" w:line="21" w:lineRule="exact"/>
        <w:rPr>
          <w:rFonts w:ascii="Arial" w:cs="Arial" w:eastAsia="Arial" w:hAnsi="Arial"/>
          <w:sz w:val="16"/>
          <w:szCs w:val="16"/>
          <w:color w:val="auto"/>
        </w:rPr>
      </w:pPr>
    </w:p>
    <w:p>
      <w:pPr>
        <w:ind w:left="204" w:hanging="204"/>
        <w:spacing w:after="0" w:line="226" w:lineRule="auto"/>
        <w:tabs>
          <w:tab w:leader="none" w:pos="204" w:val="left"/>
        </w:tabs>
        <w:numPr>
          <w:ilvl w:val="0"/>
          <w:numId w:val="2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With respect to our long-term incentive plan:</w:t>
      </w:r>
    </w:p>
    <w:p>
      <w:pPr>
        <w:spacing w:after="0" w:line="69" w:lineRule="exact"/>
        <w:rPr>
          <w:rFonts w:ascii="Times New Roman" w:cs="Times New Roman" w:eastAsia="Times New Roman" w:hAnsi="Times New Roman"/>
          <w:sz w:val="24"/>
          <w:szCs w:val="24"/>
          <w:color w:val="0A9E50"/>
          <w:vertAlign w:val="superscript"/>
        </w:rPr>
      </w:pPr>
    </w:p>
    <w:p>
      <w:pPr>
        <w:ind w:left="524" w:hanging="316"/>
        <w:spacing w:after="0"/>
        <w:tabs>
          <w:tab w:leader="none" w:pos="524" w:val="left"/>
        </w:tabs>
        <w:numPr>
          <w:ilvl w:val="1"/>
          <w:numId w:val="29"/>
        </w:numPr>
        <w:rPr>
          <w:rFonts w:ascii="Arial" w:cs="Arial" w:eastAsia="Arial" w:hAnsi="Arial"/>
          <w:sz w:val="16"/>
          <w:szCs w:val="16"/>
          <w:color w:val="auto"/>
        </w:rPr>
      </w:pPr>
      <w:r>
        <w:rPr>
          <w:rFonts w:ascii="Arial" w:cs="Arial" w:eastAsia="Arial" w:hAnsi="Arial"/>
          <w:sz w:val="16"/>
          <w:szCs w:val="16"/>
          <w:color w:val="auto"/>
        </w:rPr>
        <w:t>continued with three one-year annual goals for performance-based Long-Term Incentives (“LTI”) program;</w:t>
      </w:r>
    </w:p>
    <w:p>
      <w:pPr>
        <w:spacing w:after="0" w:line="62" w:lineRule="exact"/>
        <w:rPr>
          <w:rFonts w:ascii="Arial" w:cs="Arial" w:eastAsia="Arial" w:hAnsi="Arial"/>
          <w:sz w:val="16"/>
          <w:szCs w:val="16"/>
          <w:color w:val="auto"/>
        </w:rPr>
      </w:pPr>
    </w:p>
    <w:p>
      <w:pPr>
        <w:ind w:left="524" w:hanging="316"/>
        <w:spacing w:after="0"/>
        <w:tabs>
          <w:tab w:leader="none" w:pos="524" w:val="left"/>
        </w:tabs>
        <w:numPr>
          <w:ilvl w:val="1"/>
          <w:numId w:val="29"/>
        </w:numPr>
        <w:rPr>
          <w:rFonts w:ascii="Arial" w:cs="Arial" w:eastAsia="Arial" w:hAnsi="Arial"/>
          <w:sz w:val="16"/>
          <w:szCs w:val="16"/>
          <w:color w:val="auto"/>
        </w:rPr>
      </w:pPr>
      <w:r>
        <w:rPr>
          <w:rFonts w:ascii="Arial" w:cs="Arial" w:eastAsia="Arial" w:hAnsi="Arial"/>
          <w:sz w:val="16"/>
          <w:szCs w:val="16"/>
          <w:color w:val="auto"/>
        </w:rPr>
        <w:t>continued with 100% cliff-vesting at the end of the three-year performance period for any earned performance-based LTI;</w:t>
      </w:r>
    </w:p>
    <w:p>
      <w:pPr>
        <w:spacing w:after="0" w:line="76" w:lineRule="exact"/>
        <w:rPr>
          <w:rFonts w:ascii="Arial" w:cs="Arial" w:eastAsia="Arial" w:hAnsi="Arial"/>
          <w:sz w:val="16"/>
          <w:szCs w:val="16"/>
          <w:color w:val="auto"/>
        </w:rPr>
      </w:pPr>
    </w:p>
    <w:p>
      <w:pPr>
        <w:ind w:left="524" w:right="20" w:hanging="316"/>
        <w:spacing w:after="0" w:line="251" w:lineRule="auto"/>
        <w:tabs>
          <w:tab w:leader="none" w:pos="524" w:val="left"/>
        </w:tabs>
        <w:numPr>
          <w:ilvl w:val="1"/>
          <w:numId w:val="29"/>
        </w:numPr>
        <w:rPr>
          <w:rFonts w:ascii="Arial" w:cs="Arial" w:eastAsia="Arial" w:hAnsi="Arial"/>
          <w:sz w:val="16"/>
          <w:szCs w:val="16"/>
          <w:color w:val="auto"/>
        </w:rPr>
      </w:pPr>
      <w:r>
        <w:rPr>
          <w:rFonts w:ascii="Arial" w:cs="Arial" w:eastAsia="Arial" w:hAnsi="Arial"/>
          <w:sz w:val="16"/>
          <w:szCs w:val="16"/>
          <w:color w:val="auto"/>
        </w:rPr>
        <w:t>2023 LTI target award opportunity was granted in a mix of 75% weighting in the form of Performance Shares and 25% weighting in the form of time-based vesting restricted shares for the CEO and a mix of 60% weighting in the form of Performance Shares and 40% weighting in the form of time-based vesting restricted shares for all other named executive officers;</w:t>
      </w:r>
    </w:p>
    <w:p>
      <w:pPr>
        <w:spacing w:after="0" w:line="47" w:lineRule="exact"/>
        <w:rPr>
          <w:rFonts w:ascii="Arial" w:cs="Arial" w:eastAsia="Arial" w:hAnsi="Arial"/>
          <w:sz w:val="16"/>
          <w:szCs w:val="16"/>
          <w:color w:val="auto"/>
        </w:rPr>
      </w:pPr>
    </w:p>
    <w:p>
      <w:pPr>
        <w:ind w:left="524" w:right="60" w:hanging="316"/>
        <w:spacing w:after="0" w:line="265" w:lineRule="auto"/>
        <w:tabs>
          <w:tab w:leader="none" w:pos="524" w:val="left"/>
        </w:tabs>
        <w:numPr>
          <w:ilvl w:val="1"/>
          <w:numId w:val="29"/>
        </w:numPr>
        <w:rPr>
          <w:rFonts w:ascii="Arial" w:cs="Arial" w:eastAsia="Arial" w:hAnsi="Arial"/>
          <w:sz w:val="16"/>
          <w:szCs w:val="16"/>
          <w:color w:val="auto"/>
        </w:rPr>
      </w:pPr>
      <w:r>
        <w:rPr>
          <w:rFonts w:ascii="Arial" w:cs="Arial" w:eastAsia="Arial" w:hAnsi="Arial"/>
          <w:sz w:val="16"/>
          <w:szCs w:val="16"/>
          <w:color w:val="auto"/>
        </w:rPr>
        <w:t>year one of the 2023-2025, year two of the 2022-2024 and year three of the 2021-2023 Performance Shares were earned in aggregate, at 50% of target for the 2023 assessment period;</w:t>
      </w:r>
    </w:p>
    <w:p>
      <w:pPr>
        <w:spacing w:after="0" w:line="36" w:lineRule="exact"/>
        <w:rPr>
          <w:rFonts w:ascii="Arial" w:cs="Arial" w:eastAsia="Arial" w:hAnsi="Arial"/>
          <w:sz w:val="16"/>
          <w:szCs w:val="16"/>
          <w:color w:val="auto"/>
        </w:rPr>
      </w:pPr>
    </w:p>
    <w:p>
      <w:pPr>
        <w:ind w:left="524" w:hanging="316"/>
        <w:spacing w:after="0"/>
        <w:tabs>
          <w:tab w:leader="none" w:pos="524" w:val="left"/>
        </w:tabs>
        <w:numPr>
          <w:ilvl w:val="1"/>
          <w:numId w:val="29"/>
        </w:numPr>
        <w:rPr>
          <w:rFonts w:ascii="Arial" w:cs="Arial" w:eastAsia="Arial" w:hAnsi="Arial"/>
          <w:sz w:val="16"/>
          <w:szCs w:val="16"/>
          <w:color w:val="auto"/>
        </w:rPr>
      </w:pPr>
      <w:r>
        <w:rPr>
          <w:rFonts w:ascii="Arial" w:cs="Arial" w:eastAsia="Arial" w:hAnsi="Arial"/>
          <w:sz w:val="16"/>
          <w:szCs w:val="16"/>
          <w:color w:val="auto"/>
        </w:rPr>
        <w:t>one-third of the 2021 special equity award Key Employee Equity Plan (“KEEP”) was earned during 2023; and</w:t>
      </w:r>
    </w:p>
    <w:p>
      <w:pPr>
        <w:spacing w:after="0" w:line="76" w:lineRule="exact"/>
        <w:rPr>
          <w:rFonts w:ascii="Arial" w:cs="Arial" w:eastAsia="Arial" w:hAnsi="Arial"/>
          <w:sz w:val="16"/>
          <w:szCs w:val="16"/>
          <w:color w:val="auto"/>
        </w:rPr>
      </w:pPr>
    </w:p>
    <w:p>
      <w:pPr>
        <w:ind w:left="524" w:hanging="316"/>
        <w:spacing w:after="0"/>
        <w:tabs>
          <w:tab w:leader="none" w:pos="524" w:val="left"/>
        </w:tabs>
        <w:numPr>
          <w:ilvl w:val="1"/>
          <w:numId w:val="29"/>
        </w:numPr>
        <w:rPr>
          <w:rFonts w:ascii="Arial" w:cs="Arial" w:eastAsia="Arial" w:hAnsi="Arial"/>
          <w:sz w:val="16"/>
          <w:szCs w:val="16"/>
          <w:color w:val="auto"/>
        </w:rPr>
      </w:pPr>
      <w:r>
        <w:rPr>
          <w:rFonts w:ascii="Arial" w:cs="Arial" w:eastAsia="Arial" w:hAnsi="Arial"/>
          <w:sz w:val="16"/>
          <w:szCs w:val="16"/>
          <w:color w:val="auto"/>
        </w:rPr>
        <w:t>granted special long-term equity recognition award to one named executive officer.</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Annual Say on Pay Vote</w:t>
      </w:r>
    </w:p>
    <w:p>
      <w:pPr>
        <w:spacing w:after="0" w:line="69" w:lineRule="exact"/>
        <w:rPr>
          <w:sz w:val="20"/>
          <w:szCs w:val="20"/>
          <w:color w:val="auto"/>
        </w:rPr>
      </w:pPr>
    </w:p>
    <w:p>
      <w:pPr>
        <w:ind w:left="4" w:right="20"/>
        <w:spacing w:after="0" w:line="304" w:lineRule="auto"/>
        <w:rPr>
          <w:sz w:val="20"/>
          <w:szCs w:val="20"/>
          <w:color w:val="auto"/>
        </w:rPr>
      </w:pPr>
      <w:r>
        <w:rPr>
          <w:rFonts w:ascii="Arial" w:cs="Arial" w:eastAsia="Arial" w:hAnsi="Arial"/>
          <w:sz w:val="14"/>
          <w:szCs w:val="14"/>
          <w:color w:val="auto"/>
        </w:rPr>
        <w:t xml:space="preserve">The frequency of the Company’s Say on Pay vote is annual and, as such, the Committee considers the shareholder advisory vote on executive compensation as disclosed in the Company’s Proxy Statement each year. In 2023, </w:t>
      </w:r>
      <w:r>
        <w:rPr>
          <w:rFonts w:ascii="Arial" w:cs="Arial" w:eastAsia="Arial" w:hAnsi="Arial"/>
          <w:sz w:val="14"/>
          <w:szCs w:val="14"/>
          <w:b w:val="1"/>
          <w:bCs w:val="1"/>
          <w:color w:val="auto"/>
        </w:rPr>
        <w:t>98.57%</w:t>
      </w:r>
      <w:r>
        <w:rPr>
          <w:rFonts w:ascii="Arial" w:cs="Arial" w:eastAsia="Arial" w:hAnsi="Arial"/>
          <w:sz w:val="14"/>
          <w:szCs w:val="14"/>
          <w:color w:val="auto"/>
        </w:rPr>
        <w:t xml:space="preserve"> of the shares represented at the meeting approved the Say on Pay proposal. The Committee considered this result as a factor in its decision to maintain the general design of the Company’s compensation programs.</w:t>
      </w:r>
    </w:p>
    <w:p>
      <w:pPr>
        <w:spacing w:after="0" w:line="13" w:lineRule="exact"/>
        <w:rPr>
          <w:sz w:val="20"/>
          <w:szCs w:val="20"/>
          <w:color w:val="auto"/>
        </w:rPr>
      </w:pPr>
    </w:p>
    <w:p>
      <w:pPr>
        <w:ind w:left="4"/>
        <w:spacing w:after="0"/>
        <w:rPr>
          <w:sz w:val="20"/>
          <w:szCs w:val="20"/>
          <w:color w:val="auto"/>
        </w:rPr>
      </w:pPr>
      <w:r>
        <w:rPr>
          <w:rFonts w:ascii="Arial" w:cs="Arial" w:eastAsia="Arial" w:hAnsi="Arial"/>
          <w:sz w:val="16"/>
          <w:szCs w:val="16"/>
          <w:color w:val="auto"/>
        </w:rPr>
        <w:t>However, we continue to evaluate our executive compensation program and make changes to further align with our</w:t>
      </w:r>
    </w:p>
    <w:p>
      <w:pPr>
        <w:spacing w:after="0" w:line="12" w:lineRule="exact"/>
        <w:rPr>
          <w:sz w:val="20"/>
          <w:szCs w:val="20"/>
          <w:color w:val="auto"/>
        </w:rPr>
      </w:pPr>
    </w:p>
    <w:p>
      <w:pPr>
        <w:ind w:left="4" w:right="60"/>
        <w:spacing w:after="0"/>
        <w:rPr>
          <w:sz w:val="20"/>
          <w:szCs w:val="20"/>
          <w:color w:val="auto"/>
        </w:rPr>
      </w:pPr>
      <w:r>
        <w:rPr>
          <w:rFonts w:ascii="Arial" w:cs="Arial" w:eastAsia="Arial" w:hAnsi="Arial"/>
          <w:sz w:val="16"/>
          <w:szCs w:val="16"/>
          <w:color w:val="auto"/>
        </w:rPr>
        <w:t>strategic priorities and to reward short- and long-term business success. We designed a program that aligns with shareholder interests, incentivizes growth and operational excellence, and demonstrates a clear linkage between compensation and performance. The program continues to seek to ensure pay for performance and minimize incentives for management to take excessive risks. The Committee worked with management and its independent compensation consultant, as described later in this document, to review current compensation programs, including the incentive plans.</w:t>
      </w:r>
    </w:p>
    <w:p>
      <w:pPr>
        <w:spacing w:after="0" w:line="44" w:lineRule="exact"/>
        <w:rPr>
          <w:sz w:val="20"/>
          <w:szCs w:val="20"/>
          <w:color w:val="auto"/>
        </w:rPr>
      </w:pPr>
    </w:p>
    <w:p>
      <w:pPr>
        <w:ind w:left="4" w:right="80"/>
        <w:spacing w:after="0" w:line="265" w:lineRule="auto"/>
        <w:rPr>
          <w:sz w:val="20"/>
          <w:szCs w:val="20"/>
          <w:color w:val="auto"/>
        </w:rPr>
      </w:pPr>
      <w:r>
        <w:rPr>
          <w:rFonts w:ascii="Arial" w:cs="Arial" w:eastAsia="Arial" w:hAnsi="Arial"/>
          <w:sz w:val="16"/>
          <w:szCs w:val="16"/>
          <w:color w:val="auto"/>
        </w:rPr>
        <w:t>The Company has two plans that provide the framework for incentive compensation opportunities for our senior officers, a group that includes our named executive officers.</w:t>
      </w:r>
    </w:p>
    <w:p>
      <w:pPr>
        <w:spacing w:after="0" w:line="75" w:lineRule="exact"/>
        <w:rPr>
          <w:sz w:val="20"/>
          <w:szCs w:val="20"/>
          <w:color w:val="auto"/>
        </w:rPr>
      </w:pPr>
    </w:p>
    <w:p>
      <w:pPr>
        <w:ind w:left="204" w:right="780" w:hanging="204"/>
        <w:spacing w:after="0" w:line="202" w:lineRule="auto"/>
        <w:tabs>
          <w:tab w:leader="none" w:pos="204" w:val="left"/>
        </w:tabs>
        <w:numPr>
          <w:ilvl w:val="0"/>
          <w:numId w:val="3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The Short-Term Incentive Plan (“STIP”) provides for annual cash-based incentive opportunities based upon the achievement of one or more performance measures, as established by the Committee.</w:t>
      </w:r>
    </w:p>
    <w:p>
      <w:pPr>
        <w:spacing w:after="0" w:line="55" w:lineRule="exact"/>
        <w:rPr>
          <w:rFonts w:ascii="Times New Roman" w:cs="Times New Roman" w:eastAsia="Times New Roman" w:hAnsi="Times New Roman"/>
          <w:sz w:val="24"/>
          <w:szCs w:val="24"/>
          <w:color w:val="0A9E50"/>
          <w:vertAlign w:val="superscript"/>
        </w:rPr>
      </w:pPr>
    </w:p>
    <w:p>
      <w:pPr>
        <w:ind w:left="204" w:right="420" w:hanging="204"/>
        <w:spacing w:after="0" w:line="202" w:lineRule="auto"/>
        <w:tabs>
          <w:tab w:leader="none" w:pos="204" w:val="left"/>
        </w:tabs>
        <w:numPr>
          <w:ilvl w:val="0"/>
          <w:numId w:val="3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The Equity Incentive Plan (“EIP”) provides the Committee the ability to grant long-term incentive (“LTI”) opportunities, in various award types, that focus on the long-term performance of the Company and align the interests of senior officers with those of shareholders.</w:t>
      </w:r>
    </w:p>
    <w:p>
      <w:pPr>
        <w:ind w:left="9064" w:hanging="281"/>
        <w:spacing w:after="0"/>
        <w:tabs>
          <w:tab w:leader="none" w:pos="9064" w:val="left"/>
        </w:tabs>
        <w:numPr>
          <w:ilvl w:val="1"/>
          <w:numId w:val="30"/>
        </w:numPr>
        <w:rPr>
          <w:rFonts w:ascii="Arial" w:cs="Arial" w:eastAsia="Arial" w:hAnsi="Arial"/>
          <w:sz w:val="21"/>
          <w:szCs w:val="21"/>
          <w:color w:val="auto"/>
          <w:vertAlign w:val="subscript"/>
        </w:rPr>
      </w:pPr>
      <w:r>
        <w:rPr>
          <w:sz w:val="1"/>
          <w:szCs w:val="1"/>
          <w:color w:val="auto"/>
        </w:rPr>
        <w:drawing>
          <wp:inline distT="0" distB="0" distL="0" distR="0">
            <wp:extent cx="396240" cy="18986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vertAlign w:val="subscript"/>
        </w:rPr>
        <w:t xml:space="preserve">    </w:t>
      </w:r>
      <w:r>
        <w:rPr>
          <w:rFonts w:ascii="Arial" w:cs="Arial" w:eastAsia="Arial" w:hAnsi="Arial"/>
          <w:sz w:val="21"/>
          <w:szCs w:val="21"/>
          <w:color w:val="auto"/>
        </w:rPr>
        <w: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6311265</wp:posOffset>
            </wp:positionH>
            <wp:positionV relativeFrom="paragraph">
              <wp:posOffset>-133985</wp:posOffset>
            </wp:positionV>
            <wp:extent cx="8255" cy="2228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Compensation Philosophy, Objectives, and Design</w:t>
      </w:r>
    </w:p>
    <w:p>
      <w:pPr>
        <w:spacing w:after="0" w:line="11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Our executive compensation philosophy is to provide market-based pay opportunities with incentive payouts aligned with the achievement of the Company’s overall short- and long-term business strategy, performance goals, and results. The design of our executive compensation programs allocates total compensation to fixed and variable pay elements resulting in a mix of short-term and long-term pay elements. The Committee continually evaluates our executive compensation programs to ensure that the Company provides market-competitive opportunities that enable us to attract and retain highly qualified individuals to lead the organization and drive business success. Our executive compensation programs are designed to achieve the following objectives: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i w:val="1"/>
          <w:iCs w:val="1"/>
          <w:u w:val="single" w:color="auto"/>
          <w:color w:val="auto"/>
        </w:rPr>
        <w:t>Pay-for-Performance Framework</w:t>
      </w:r>
    </w:p>
    <w:p>
      <w:pPr>
        <w:spacing w:after="0" w:line="76" w:lineRule="exact"/>
        <w:rPr>
          <w:sz w:val="20"/>
          <w:szCs w:val="20"/>
          <w:color w:val="auto"/>
        </w:rPr>
      </w:pPr>
    </w:p>
    <w:p>
      <w:pPr>
        <w:ind w:left="420" w:right="420" w:hanging="216"/>
        <w:spacing w:after="0" w:line="202" w:lineRule="auto"/>
        <w:tabs>
          <w:tab w:leader="none" w:pos="420" w:val="left"/>
        </w:tabs>
        <w:numPr>
          <w:ilvl w:val="0"/>
          <w:numId w:val="3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Align a significant portion of compensation with the achievement of multiple performance goals that motivate and reward executives based on Company, business unit, and individual performance results.</w:t>
      </w:r>
    </w:p>
    <w:p>
      <w:pPr>
        <w:spacing w:after="0" w:line="55" w:lineRule="exact"/>
        <w:rPr>
          <w:rFonts w:ascii="Times New Roman" w:cs="Times New Roman" w:eastAsia="Times New Roman" w:hAnsi="Times New Roman"/>
          <w:sz w:val="24"/>
          <w:szCs w:val="24"/>
          <w:color w:val="0A9E50"/>
          <w:vertAlign w:val="superscript"/>
        </w:rPr>
      </w:pPr>
    </w:p>
    <w:p>
      <w:pPr>
        <w:ind w:left="420" w:right="280" w:hanging="216"/>
        <w:spacing w:after="0" w:line="202" w:lineRule="auto"/>
        <w:tabs>
          <w:tab w:leader="none" w:pos="420" w:val="left"/>
        </w:tabs>
        <w:numPr>
          <w:ilvl w:val="0"/>
          <w:numId w:val="3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Attract and retain exceptional talent with the leadership abilities and experience necessary to develop and execute business strategies, achieve outstanding results, and build long-term shareholder value.</w:t>
      </w:r>
    </w:p>
    <w:p>
      <w:pPr>
        <w:ind w:left="420" w:hanging="216"/>
        <w:spacing w:after="0" w:line="226" w:lineRule="auto"/>
        <w:tabs>
          <w:tab w:leader="none" w:pos="420" w:val="left"/>
        </w:tabs>
        <w:numPr>
          <w:ilvl w:val="0"/>
          <w:numId w:val="3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Support achievement of the Company’s vision and strategy.</w:t>
      </w:r>
    </w:p>
    <w:p>
      <w:pPr>
        <w:spacing w:after="0" w:line="69" w:lineRule="exact"/>
        <w:rPr>
          <w:rFonts w:ascii="Times New Roman" w:cs="Times New Roman" w:eastAsia="Times New Roman" w:hAnsi="Times New Roman"/>
          <w:sz w:val="24"/>
          <w:szCs w:val="24"/>
          <w:color w:val="0A9E50"/>
          <w:vertAlign w:val="superscript"/>
        </w:rPr>
      </w:pPr>
    </w:p>
    <w:p>
      <w:pPr>
        <w:ind w:left="420" w:hanging="216"/>
        <w:spacing w:after="0" w:line="181" w:lineRule="auto"/>
        <w:tabs>
          <w:tab w:leader="none" w:pos="420" w:val="left"/>
        </w:tabs>
        <w:numPr>
          <w:ilvl w:val="0"/>
          <w:numId w:val="31"/>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Create an ownership mindset that closely aligns the interests of management with those of shareholders.</w:t>
      </w:r>
    </w:p>
    <w:p>
      <w:pPr>
        <w:spacing w:after="0" w:line="69" w:lineRule="exact"/>
        <w:rPr>
          <w:rFonts w:ascii="Times New Roman" w:cs="Times New Roman" w:eastAsia="Times New Roman" w:hAnsi="Times New Roman"/>
          <w:sz w:val="22"/>
          <w:szCs w:val="22"/>
          <w:color w:val="0A9E50"/>
          <w:vertAlign w:val="superscript"/>
        </w:rPr>
      </w:pPr>
    </w:p>
    <w:p>
      <w:pPr>
        <w:ind w:left="420" w:right="220" w:hanging="216"/>
        <w:spacing w:after="0" w:line="194" w:lineRule="auto"/>
        <w:tabs>
          <w:tab w:leader="none" w:pos="420" w:val="left"/>
        </w:tabs>
        <w:numPr>
          <w:ilvl w:val="0"/>
          <w:numId w:val="31"/>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Provide appropriate balance between the achievement of both short- and long-term performance objectives, with clear emphasis on affordability, managing the sustainability of the business, and mitigation of risk.</w:t>
      </w:r>
    </w:p>
    <w:p>
      <w:pPr>
        <w:spacing w:after="0" w:line="43" w:lineRule="exact"/>
        <w:rPr>
          <w:sz w:val="20"/>
          <w:szCs w:val="20"/>
          <w:color w:val="auto"/>
        </w:rPr>
      </w:pPr>
    </w:p>
    <w:p>
      <w:pPr>
        <w:ind w:right="40"/>
        <w:spacing w:after="0" w:line="293" w:lineRule="auto"/>
        <w:rPr>
          <w:sz w:val="20"/>
          <w:szCs w:val="20"/>
          <w:color w:val="auto"/>
        </w:rPr>
      </w:pPr>
      <w:r>
        <w:rPr>
          <w:rFonts w:ascii="Arial" w:cs="Arial" w:eastAsia="Arial" w:hAnsi="Arial"/>
          <w:sz w:val="14"/>
          <w:szCs w:val="14"/>
          <w:color w:val="auto"/>
        </w:rPr>
        <w:t>The Committee believes that a majority of a senior officer’s compensation should be “at risk” and based upon the achievement of corporate and business unit results, the Company’s share price performance, as well as the individual’s performance. As a result, senior officers participate in incentive programs that provide them with the opportunity to earn awards that are directly tied to the Company’s performance and that drive sustainable long-term shareholder value. The Company’s compensation programs provide an incentive for senior officers to meet and exceed performance goals.</w:t>
      </w:r>
    </w:p>
    <w:p>
      <w:pPr>
        <w:spacing w:after="0" w:line="2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Executives are held accountable for results and rewarded with above target payout amounts for performance that exceeds target goals. When target goals are not met, award payouts are designed to deliver below target payouts or no payouts. We believe the combination of our annual incentive awards and long-term equity incentive awards align the interests of our senior officers with the interests of our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CEO and Other Named Executive Officers Pay Mix</w:t>
      </w:r>
    </w:p>
    <w:p>
      <w:pPr>
        <w:spacing w:after="0" w:line="63"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While we believe that a majority of an executive officer’s target compensation opportunity should be performance- based, we do not have a specified formula that defines the overall weighting of each element. We believe that the higher a role is positioned within the organizational structure, the greater the emphasis on performance-based compensation should be. As such, the CEO has a greater percentage of his compensation opportunity that is performance-based through higher target opportunities for STIP and LTI, as compared to the compensation opportunities of the other named executive officers. At-risk compensation consists of annual cash incentive awards and performance shares that are contingent upon the achievement of pre-established performance goals. Restricted shares, which are not classified as at-risk compensation, have value at vesting reflecting the Company’s stock price performance since date of grant, which aligns to shareholders’ experience. The following charts illustrate the typical Target Total Direct Compensation mix for our President and CEO and the other named executive officers combined and includes the pay elements of base salary, STIP (at target), restricted shares, and performance shares (at target). Pay mixes shown below are based on target amounts under typical plan designs during fiscal year 2023.</w:t>
      </w:r>
    </w:p>
    <w:p>
      <w:pPr>
        <w:spacing w:after="0" w:line="62"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50 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580"/>
          </w:cols>
          <w:pgMar w:left="640" w:top="296" w:right="679" w:bottom="1440" w:gutter="0" w:footer="0" w:header="0"/>
        </w:sectPr>
      </w:pPr>
    </w:p>
    <w:bookmarkStart w:id="52" w:name="page53"/>
    <w:bookmarkEnd w:id="52"/>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Typical Target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160655</wp:posOffset>
            </wp:positionV>
            <wp:extent cx="5064125" cy="19246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064125" cy="192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Elements of Compensation for Named Executive Officers</w:t>
      </w:r>
    </w:p>
    <w:p>
      <w:pPr>
        <w:spacing w:after="0" w:line="63" w:lineRule="exact"/>
        <w:rPr>
          <w:sz w:val="20"/>
          <w:szCs w:val="20"/>
          <w:color w:val="auto"/>
        </w:rPr>
      </w:pPr>
    </w:p>
    <w:p>
      <w:pPr>
        <w:ind w:right="280"/>
        <w:spacing w:after="0" w:line="337" w:lineRule="auto"/>
        <w:rPr>
          <w:sz w:val="20"/>
          <w:szCs w:val="20"/>
          <w:color w:val="auto"/>
        </w:rPr>
      </w:pPr>
      <w:r>
        <w:rPr>
          <w:rFonts w:ascii="Arial" w:cs="Arial" w:eastAsia="Arial" w:hAnsi="Arial"/>
          <w:sz w:val="14"/>
          <w:szCs w:val="14"/>
          <w:color w:val="auto"/>
        </w:rPr>
        <w:t>The Committee determines the elements of total direct compensation that we provide to our senior officers, a group that includes the named executive officers. The elements of our executive compensation program of our named executive officers and the objectives for each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0A9E50"/>
              </w:rPr>
              <w:t>  Compensation</w:t>
            </w:r>
          </w:p>
        </w:tc>
        <w:tc>
          <w:tcPr>
            <w:tcW w:w="13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0A9E50"/>
              </w:rPr>
              <w:t>For More</w:t>
            </w:r>
          </w:p>
        </w:tc>
        <w:tc>
          <w:tcPr>
            <w:tcW w:w="0" w:type="dxa"/>
            <w:vAlign w:val="bottom"/>
          </w:tcPr>
          <w:p>
            <w:pPr>
              <w:spacing w:after="0"/>
              <w:rPr>
                <w:sz w:val="1"/>
                <w:szCs w:val="1"/>
                <w:color w:val="auto"/>
              </w:rPr>
            </w:pPr>
          </w:p>
        </w:tc>
      </w:tr>
      <w:tr>
        <w:trPr>
          <w:trHeight w:val="179"/>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0A9E50"/>
              </w:rPr>
              <w:t>  Element</w:t>
            </w: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0A9E50"/>
              </w:rPr>
              <w:t>Type</w:t>
            </w:r>
          </w:p>
        </w:tc>
        <w:tc>
          <w:tcPr>
            <w:tcW w:w="3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0A9E50"/>
              </w:rPr>
              <w:t>Considerations</w:t>
            </w:r>
          </w:p>
        </w:tc>
        <w:tc>
          <w:tcPr>
            <w:tcW w:w="33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0A9E50"/>
              </w:rPr>
              <w:t>Objectives</w:t>
            </w: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9E50"/>
              </w:rPr>
              <w:t>Information</w:t>
            </w:r>
          </w:p>
        </w:tc>
        <w:tc>
          <w:tcPr>
            <w:tcW w:w="0" w:type="dxa"/>
            <w:vAlign w:val="bottom"/>
          </w:tcPr>
          <w:p>
            <w:pPr>
              <w:spacing w:after="0"/>
              <w:rPr>
                <w:sz w:val="1"/>
                <w:szCs w:val="1"/>
                <w:color w:val="auto"/>
              </w:rPr>
            </w:pPr>
          </w:p>
        </w:tc>
      </w:tr>
      <w:tr>
        <w:trPr>
          <w:trHeight w:val="140"/>
        </w:trPr>
        <w:tc>
          <w:tcPr>
            <w:tcW w:w="1140" w:type="dxa"/>
            <w:vAlign w:val="bottom"/>
            <w:gridSpan w:val="2"/>
          </w:tcPr>
          <w:p>
            <w:pPr>
              <w:spacing w:after="0" w:line="140" w:lineRule="exact"/>
              <w:rPr>
                <w:sz w:val="20"/>
                <w:szCs w:val="20"/>
                <w:color w:val="auto"/>
              </w:rPr>
            </w:pPr>
            <w:r>
              <w:rPr>
                <w:rFonts w:ascii="Arial" w:cs="Arial" w:eastAsia="Arial" w:hAnsi="Arial"/>
                <w:sz w:val="14"/>
                <w:szCs w:val="14"/>
                <w:b w:val="1"/>
                <w:bCs w:val="1"/>
                <w:color w:val="auto"/>
              </w:rPr>
              <w:t>  Base Salary</w:t>
            </w:r>
          </w:p>
        </w:tc>
        <w:tc>
          <w:tcPr>
            <w:tcW w:w="1380" w:type="dxa"/>
            <w:vAlign w:val="bottom"/>
          </w:tcPr>
          <w:p>
            <w:pPr>
              <w:ind w:left="120"/>
              <w:spacing w:after="0" w:line="140" w:lineRule="exact"/>
              <w:rPr>
                <w:sz w:val="20"/>
                <w:szCs w:val="20"/>
                <w:color w:val="auto"/>
              </w:rPr>
            </w:pPr>
            <w:r>
              <w:rPr>
                <w:rFonts w:ascii="Arial" w:cs="Arial" w:eastAsia="Arial" w:hAnsi="Arial"/>
                <w:sz w:val="14"/>
                <w:szCs w:val="14"/>
                <w:color w:val="auto"/>
              </w:rPr>
              <w:t>Fixed</w:t>
            </w:r>
          </w:p>
        </w:tc>
        <w:tc>
          <w:tcPr>
            <w:tcW w:w="3740" w:type="dxa"/>
            <w:vAlign w:val="bottom"/>
          </w:tcPr>
          <w:p>
            <w:pPr>
              <w:ind w:left="120"/>
              <w:spacing w:after="0" w:line="140" w:lineRule="exact"/>
              <w:rPr>
                <w:sz w:val="20"/>
                <w:szCs w:val="20"/>
                <w:color w:val="auto"/>
              </w:rPr>
            </w:pPr>
            <w:r>
              <w:rPr>
                <w:rFonts w:ascii="Arial" w:cs="Arial" w:eastAsia="Arial" w:hAnsi="Arial"/>
                <w:sz w:val="14"/>
                <w:szCs w:val="14"/>
                <w:color w:val="auto"/>
              </w:rPr>
              <w:t>•   Reviewed annually</w:t>
            </w:r>
          </w:p>
        </w:tc>
        <w:tc>
          <w:tcPr>
            <w:tcW w:w="3320" w:type="dxa"/>
            <w:vAlign w:val="bottom"/>
          </w:tcPr>
          <w:p>
            <w:pPr>
              <w:ind w:left="100"/>
              <w:spacing w:after="0" w:line="140" w:lineRule="exact"/>
              <w:rPr>
                <w:sz w:val="20"/>
                <w:szCs w:val="20"/>
                <w:color w:val="auto"/>
              </w:rPr>
            </w:pPr>
            <w:r>
              <w:rPr>
                <w:rFonts w:ascii="Arial" w:cs="Arial" w:eastAsia="Arial" w:hAnsi="Arial"/>
                <w:sz w:val="14"/>
                <w:szCs w:val="14"/>
                <w:color w:val="auto"/>
                <w:w w:val="99"/>
              </w:rPr>
              <w:t>•   Provide competitive compensation for day-to-day</w:t>
            </w:r>
          </w:p>
        </w:tc>
        <w:tc>
          <w:tcPr>
            <w:tcW w:w="1040" w:type="dxa"/>
            <w:vAlign w:val="bottom"/>
          </w:tcPr>
          <w:p>
            <w:pPr>
              <w:ind w:left="80"/>
              <w:spacing w:after="0" w:line="140" w:lineRule="exact"/>
              <w:rPr>
                <w:sz w:val="20"/>
                <w:szCs w:val="20"/>
                <w:color w:val="auto"/>
              </w:rPr>
            </w:pPr>
            <w:r>
              <w:rPr>
                <w:rFonts w:ascii="Arial" w:cs="Arial" w:eastAsia="Arial" w:hAnsi="Arial"/>
                <w:sz w:val="14"/>
                <w:szCs w:val="14"/>
                <w:b w:val="1"/>
                <w:bCs w:val="1"/>
                <w:color w:val="0A9E50"/>
              </w:rPr>
              <w:t>Page 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ind w:left="120"/>
              <w:spacing w:after="0" w:line="156" w:lineRule="exact"/>
              <w:rPr>
                <w:sz w:val="20"/>
                <w:szCs w:val="20"/>
                <w:color w:val="auto"/>
              </w:rPr>
            </w:pPr>
            <w:r>
              <w:rPr>
                <w:rFonts w:ascii="Arial" w:cs="Arial" w:eastAsia="Arial" w:hAnsi="Arial"/>
                <w:sz w:val="14"/>
                <w:szCs w:val="14"/>
                <w:color w:val="auto"/>
              </w:rPr>
              <w:t>Compensation</w:t>
            </w:r>
          </w:p>
        </w:tc>
        <w:tc>
          <w:tcPr>
            <w:tcW w:w="3740" w:type="dxa"/>
            <w:vAlign w:val="bottom"/>
          </w:tcPr>
          <w:p>
            <w:pPr>
              <w:ind w:left="120"/>
              <w:spacing w:after="0" w:line="156" w:lineRule="exact"/>
              <w:rPr>
                <w:sz w:val="20"/>
                <w:szCs w:val="20"/>
                <w:color w:val="auto"/>
              </w:rPr>
            </w:pPr>
            <w:r>
              <w:rPr>
                <w:rFonts w:ascii="Arial" w:cs="Arial" w:eastAsia="Arial" w:hAnsi="Arial"/>
                <w:sz w:val="14"/>
                <w:szCs w:val="14"/>
                <w:color w:val="auto"/>
                <w:w w:val="99"/>
              </w:rPr>
              <w:t>•   Adjusted, when appropriate based on role and scope of</w:t>
            </w:r>
          </w:p>
        </w:tc>
        <w:tc>
          <w:tcPr>
            <w:tcW w:w="3320" w:type="dxa"/>
            <w:vAlign w:val="bottom"/>
          </w:tcPr>
          <w:p>
            <w:pPr>
              <w:ind w:left="240"/>
              <w:spacing w:after="0" w:line="156" w:lineRule="exact"/>
              <w:rPr>
                <w:sz w:val="20"/>
                <w:szCs w:val="20"/>
                <w:color w:val="auto"/>
              </w:rPr>
            </w:pPr>
            <w:r>
              <w:rPr>
                <w:rFonts w:ascii="Arial" w:cs="Arial" w:eastAsia="Arial" w:hAnsi="Arial"/>
                <w:sz w:val="14"/>
                <w:szCs w:val="14"/>
                <w:color w:val="auto"/>
              </w:rPr>
              <w:t>responsibilities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740" w:type="dxa"/>
            <w:vAlign w:val="bottom"/>
          </w:tcPr>
          <w:p>
            <w:pPr>
              <w:ind w:left="260"/>
              <w:spacing w:after="0" w:line="156" w:lineRule="exact"/>
              <w:rPr>
                <w:sz w:val="20"/>
                <w:szCs w:val="20"/>
                <w:color w:val="auto"/>
              </w:rPr>
            </w:pPr>
            <w:r>
              <w:rPr>
                <w:rFonts w:ascii="Arial" w:cs="Arial" w:eastAsia="Arial" w:hAnsi="Arial"/>
                <w:sz w:val="14"/>
                <w:szCs w:val="14"/>
                <w:color w:val="auto"/>
              </w:rPr>
              <w:t>responsibilities, skills, experience, sustained individual</w:t>
            </w:r>
          </w:p>
        </w:tc>
        <w:tc>
          <w:tcPr>
            <w:tcW w:w="3320" w:type="dxa"/>
            <w:vAlign w:val="bottom"/>
          </w:tcPr>
          <w:p>
            <w:pPr>
              <w:ind w:left="100"/>
              <w:spacing w:after="0" w:line="156" w:lineRule="exact"/>
              <w:rPr>
                <w:sz w:val="20"/>
                <w:szCs w:val="20"/>
                <w:color w:val="auto"/>
              </w:rPr>
            </w:pPr>
            <w:r>
              <w:rPr>
                <w:rFonts w:ascii="Arial" w:cs="Arial" w:eastAsia="Arial" w:hAnsi="Arial"/>
                <w:sz w:val="14"/>
                <w:szCs w:val="14"/>
                <w:color w:val="auto"/>
              </w:rPr>
              <w:t>•   Attract and retain qualified senior officers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740" w:type="dxa"/>
            <w:vAlign w:val="bottom"/>
          </w:tcPr>
          <w:p>
            <w:pPr>
              <w:ind w:left="260"/>
              <w:spacing w:after="0" w:line="156" w:lineRule="exact"/>
              <w:rPr>
                <w:sz w:val="20"/>
                <w:szCs w:val="20"/>
                <w:color w:val="auto"/>
              </w:rPr>
            </w:pPr>
            <w:r>
              <w:rPr>
                <w:rFonts w:ascii="Arial" w:cs="Arial" w:eastAsia="Arial" w:hAnsi="Arial"/>
                <w:sz w:val="14"/>
                <w:szCs w:val="14"/>
                <w:color w:val="auto"/>
              </w:rPr>
              <w:t>contribution, and comparison to market- comparable</w:t>
            </w:r>
          </w:p>
        </w:tc>
        <w:tc>
          <w:tcPr>
            <w:tcW w:w="3320" w:type="dxa"/>
            <w:vAlign w:val="bottom"/>
          </w:tcPr>
          <w:p>
            <w:pPr>
              <w:ind w:left="100"/>
              <w:spacing w:after="0" w:line="156" w:lineRule="exact"/>
              <w:rPr>
                <w:sz w:val="20"/>
                <w:szCs w:val="20"/>
                <w:color w:val="auto"/>
              </w:rPr>
            </w:pPr>
            <w:r>
              <w:rPr>
                <w:rFonts w:ascii="Arial" w:cs="Arial" w:eastAsia="Arial" w:hAnsi="Arial"/>
                <w:sz w:val="14"/>
                <w:szCs w:val="14"/>
                <w:color w:val="auto"/>
              </w:rPr>
              <w:t>•   Balance risk-taking</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740" w:type="dxa"/>
            <w:vAlign w:val="bottom"/>
          </w:tcPr>
          <w:p>
            <w:pPr>
              <w:ind w:left="260"/>
              <w:spacing w:after="0"/>
              <w:rPr>
                <w:sz w:val="20"/>
                <w:szCs w:val="20"/>
                <w:color w:val="auto"/>
              </w:rPr>
            </w:pPr>
            <w:r>
              <w:rPr>
                <w:rFonts w:ascii="Arial" w:cs="Arial" w:eastAsia="Arial" w:hAnsi="Arial"/>
                <w:sz w:val="14"/>
                <w:szCs w:val="14"/>
                <w:color w:val="auto"/>
              </w:rPr>
              <w:t>jobs</w:t>
            </w:r>
          </w:p>
        </w:tc>
        <w:tc>
          <w:tcPr>
            <w:tcW w:w="3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1140" w:type="dxa"/>
            <w:vAlign w:val="bottom"/>
            <w:gridSpan w:val="2"/>
          </w:tcPr>
          <w:p>
            <w:pPr>
              <w:spacing w:after="0"/>
              <w:rPr>
                <w:sz w:val="5"/>
                <w:szCs w:val="5"/>
                <w:color w:val="auto"/>
              </w:rPr>
            </w:pPr>
          </w:p>
        </w:tc>
        <w:tc>
          <w:tcPr>
            <w:tcW w:w="13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3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tcBorders>
              <w:top w:val="single" w:sz="8" w:color="7F7F7F"/>
            </w:tcBorders>
          </w:tcPr>
          <w:p>
            <w:pPr>
              <w:spacing w:after="0" w:line="140" w:lineRule="exact"/>
              <w:rPr>
                <w:sz w:val="20"/>
                <w:szCs w:val="20"/>
                <w:color w:val="auto"/>
              </w:rPr>
            </w:pPr>
            <w:r>
              <w:rPr>
                <w:rFonts w:ascii="Arial" w:cs="Arial" w:eastAsia="Arial" w:hAnsi="Arial"/>
                <w:sz w:val="14"/>
                <w:szCs w:val="14"/>
                <w:b w:val="1"/>
                <w:bCs w:val="1"/>
                <w:color w:val="auto"/>
              </w:rPr>
              <w:t>  Short-Term  </w:t>
            </w:r>
          </w:p>
        </w:tc>
        <w:tc>
          <w:tcPr>
            <w:tcW w:w="1380" w:type="dxa"/>
            <w:vAlign w:val="bottom"/>
            <w:tcBorders>
              <w:top w:val="single" w:sz="8" w:color="7F7F7F"/>
            </w:tcBorders>
          </w:tcPr>
          <w:p>
            <w:pPr>
              <w:ind w:left="120"/>
              <w:spacing w:after="0" w:line="140" w:lineRule="exact"/>
              <w:rPr>
                <w:sz w:val="20"/>
                <w:szCs w:val="20"/>
                <w:color w:val="auto"/>
              </w:rPr>
            </w:pPr>
            <w:r>
              <w:rPr>
                <w:rFonts w:ascii="Arial" w:cs="Arial" w:eastAsia="Arial" w:hAnsi="Arial"/>
                <w:sz w:val="14"/>
                <w:szCs w:val="14"/>
                <w:color w:val="auto"/>
              </w:rPr>
              <w:t>Variable At-Risk</w:t>
            </w:r>
          </w:p>
        </w:tc>
        <w:tc>
          <w:tcPr>
            <w:tcW w:w="3740" w:type="dxa"/>
            <w:vAlign w:val="bottom"/>
            <w:tcBorders>
              <w:top w:val="single" w:sz="8" w:color="7F7F7F"/>
            </w:tcBorders>
          </w:tcPr>
          <w:p>
            <w:pPr>
              <w:ind w:left="120"/>
              <w:spacing w:after="0" w:line="140" w:lineRule="exact"/>
              <w:rPr>
                <w:sz w:val="20"/>
                <w:szCs w:val="20"/>
                <w:color w:val="auto"/>
              </w:rPr>
            </w:pPr>
            <w:r>
              <w:rPr>
                <w:rFonts w:ascii="Arial" w:cs="Arial" w:eastAsia="Arial" w:hAnsi="Arial"/>
                <w:sz w:val="14"/>
                <w:szCs w:val="14"/>
                <w:color w:val="auto"/>
              </w:rPr>
              <w:t>•   Annual performance period</w:t>
            </w:r>
          </w:p>
        </w:tc>
        <w:tc>
          <w:tcPr>
            <w:tcW w:w="3320" w:type="dxa"/>
            <w:vAlign w:val="bottom"/>
            <w:tcBorders>
              <w:top w:val="single" w:sz="8" w:color="7F7F7F"/>
            </w:tcBorders>
          </w:tcPr>
          <w:p>
            <w:pPr>
              <w:ind w:left="100"/>
              <w:spacing w:after="0" w:line="140" w:lineRule="exact"/>
              <w:rPr>
                <w:sz w:val="20"/>
                <w:szCs w:val="20"/>
                <w:color w:val="auto"/>
              </w:rPr>
            </w:pPr>
            <w:r>
              <w:rPr>
                <w:rFonts w:ascii="Arial" w:cs="Arial" w:eastAsia="Arial" w:hAnsi="Arial"/>
                <w:sz w:val="14"/>
                <w:szCs w:val="14"/>
                <w:color w:val="auto"/>
              </w:rPr>
              <w:t>•   Motivate and reward senior officers for</w:t>
            </w:r>
          </w:p>
        </w:tc>
        <w:tc>
          <w:tcPr>
            <w:tcW w:w="1040" w:type="dxa"/>
            <w:vAlign w:val="bottom"/>
            <w:tcBorders>
              <w:top w:val="single" w:sz="8" w:color="7F7F7F"/>
            </w:tcBorders>
          </w:tcPr>
          <w:p>
            <w:pPr>
              <w:ind w:left="80"/>
              <w:spacing w:after="0" w:line="140" w:lineRule="exact"/>
              <w:rPr>
                <w:sz w:val="20"/>
                <w:szCs w:val="20"/>
                <w:color w:val="auto"/>
              </w:rPr>
            </w:pPr>
            <w:r>
              <w:rPr>
                <w:rFonts w:ascii="Arial" w:cs="Arial" w:eastAsia="Arial" w:hAnsi="Arial"/>
                <w:sz w:val="14"/>
                <w:szCs w:val="14"/>
                <w:b w:val="1"/>
                <w:bCs w:val="1"/>
                <w:color w:val="0A9E50"/>
              </w:rPr>
              <w:t>Page 61</w:t>
            </w:r>
          </w:p>
        </w:tc>
        <w:tc>
          <w:tcPr>
            <w:tcW w:w="0" w:type="dxa"/>
            <w:vAlign w:val="bottom"/>
          </w:tcPr>
          <w:p>
            <w:pPr>
              <w:spacing w:after="0"/>
              <w:rPr>
                <w:sz w:val="1"/>
                <w:szCs w:val="1"/>
                <w:color w:val="auto"/>
              </w:rPr>
            </w:pPr>
          </w:p>
        </w:tc>
      </w:tr>
      <w:tr>
        <w:trPr>
          <w:trHeight w:val="156"/>
        </w:trPr>
        <w:tc>
          <w:tcPr>
            <w:tcW w:w="11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Incentive  </w:t>
            </w:r>
          </w:p>
        </w:tc>
        <w:tc>
          <w:tcPr>
            <w:tcW w:w="1380" w:type="dxa"/>
            <w:vAlign w:val="bottom"/>
          </w:tcPr>
          <w:p>
            <w:pPr>
              <w:ind w:left="120"/>
              <w:spacing w:after="0" w:line="156" w:lineRule="exact"/>
              <w:rPr>
                <w:sz w:val="20"/>
                <w:szCs w:val="20"/>
                <w:color w:val="auto"/>
              </w:rPr>
            </w:pPr>
            <w:r>
              <w:rPr>
                <w:rFonts w:ascii="Arial" w:cs="Arial" w:eastAsia="Arial" w:hAnsi="Arial"/>
                <w:sz w:val="14"/>
                <w:szCs w:val="14"/>
                <w:color w:val="auto"/>
              </w:rPr>
              <w:t>Performance-</w:t>
            </w:r>
          </w:p>
        </w:tc>
        <w:tc>
          <w:tcPr>
            <w:tcW w:w="3740" w:type="dxa"/>
            <w:vAlign w:val="bottom"/>
          </w:tcPr>
          <w:p>
            <w:pPr>
              <w:ind w:left="120"/>
              <w:spacing w:after="0" w:line="156" w:lineRule="exact"/>
              <w:rPr>
                <w:sz w:val="20"/>
                <w:szCs w:val="20"/>
                <w:color w:val="auto"/>
              </w:rPr>
            </w:pPr>
            <w:r>
              <w:rPr>
                <w:rFonts w:ascii="Arial" w:cs="Arial" w:eastAsia="Arial" w:hAnsi="Arial"/>
                <w:sz w:val="14"/>
                <w:szCs w:val="14"/>
                <w:color w:val="auto"/>
                <w:w w:val="99"/>
              </w:rPr>
              <w:t>•   Target payout opportunity established as percentage of</w:t>
            </w:r>
          </w:p>
        </w:tc>
        <w:tc>
          <w:tcPr>
            <w:tcW w:w="3320" w:type="dxa"/>
            <w:vAlign w:val="bottom"/>
          </w:tcPr>
          <w:p>
            <w:pPr>
              <w:ind w:left="240"/>
              <w:spacing w:after="0" w:line="156" w:lineRule="exact"/>
              <w:rPr>
                <w:sz w:val="20"/>
                <w:szCs w:val="20"/>
                <w:color w:val="auto"/>
              </w:rPr>
            </w:pPr>
            <w:r>
              <w:rPr>
                <w:rFonts w:ascii="Arial" w:cs="Arial" w:eastAsia="Arial" w:hAnsi="Arial"/>
                <w:sz w:val="14"/>
                <w:szCs w:val="14"/>
                <w:color w:val="auto"/>
              </w:rPr>
              <w:t>achievement of critical near-term performance</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Plan (STIP)</w:t>
            </w:r>
          </w:p>
        </w:tc>
        <w:tc>
          <w:tcPr>
            <w:tcW w:w="1380" w:type="dxa"/>
            <w:vAlign w:val="bottom"/>
          </w:tcPr>
          <w:p>
            <w:pPr>
              <w:ind w:left="120"/>
              <w:spacing w:after="0" w:line="156" w:lineRule="exact"/>
              <w:rPr>
                <w:sz w:val="20"/>
                <w:szCs w:val="20"/>
                <w:color w:val="auto"/>
              </w:rPr>
            </w:pPr>
            <w:r>
              <w:rPr>
                <w:rFonts w:ascii="Arial" w:cs="Arial" w:eastAsia="Arial" w:hAnsi="Arial"/>
                <w:sz w:val="14"/>
                <w:szCs w:val="14"/>
                <w:color w:val="auto"/>
              </w:rPr>
              <w:t>Based</w:t>
            </w:r>
          </w:p>
        </w:tc>
        <w:tc>
          <w:tcPr>
            <w:tcW w:w="3740" w:type="dxa"/>
            <w:vAlign w:val="bottom"/>
          </w:tcPr>
          <w:p>
            <w:pPr>
              <w:ind w:left="260"/>
              <w:spacing w:after="0" w:line="156" w:lineRule="exact"/>
              <w:rPr>
                <w:sz w:val="20"/>
                <w:szCs w:val="20"/>
                <w:color w:val="auto"/>
              </w:rPr>
            </w:pPr>
            <w:r>
              <w:rPr>
                <w:rFonts w:ascii="Arial" w:cs="Arial" w:eastAsia="Arial" w:hAnsi="Arial"/>
                <w:sz w:val="14"/>
                <w:szCs w:val="14"/>
                <w:color w:val="auto"/>
              </w:rPr>
              <w:t>earnings for each senior officer based on role</w:t>
            </w:r>
          </w:p>
        </w:tc>
        <w:tc>
          <w:tcPr>
            <w:tcW w:w="3320" w:type="dxa"/>
            <w:vAlign w:val="bottom"/>
          </w:tcPr>
          <w:p>
            <w:pPr>
              <w:ind w:left="240"/>
              <w:spacing w:after="0" w:line="156" w:lineRule="exact"/>
              <w:rPr>
                <w:sz w:val="20"/>
                <w:szCs w:val="20"/>
                <w:color w:val="auto"/>
              </w:rPr>
            </w:pPr>
            <w:r>
              <w:rPr>
                <w:rFonts w:ascii="Arial" w:cs="Arial" w:eastAsia="Arial" w:hAnsi="Arial"/>
                <w:sz w:val="14"/>
                <w:szCs w:val="14"/>
                <w:color w:val="auto"/>
              </w:rPr>
              <w:t>goals that support the Company’s strategic</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ind w:left="120"/>
              <w:spacing w:after="0" w:line="156" w:lineRule="exact"/>
              <w:rPr>
                <w:sz w:val="20"/>
                <w:szCs w:val="20"/>
                <w:color w:val="auto"/>
              </w:rPr>
            </w:pPr>
            <w:r>
              <w:rPr>
                <w:rFonts w:ascii="Arial" w:cs="Arial" w:eastAsia="Arial" w:hAnsi="Arial"/>
                <w:sz w:val="14"/>
                <w:szCs w:val="14"/>
                <w:color w:val="auto"/>
              </w:rPr>
              <w:t>Compensation</w:t>
            </w:r>
          </w:p>
        </w:tc>
        <w:tc>
          <w:tcPr>
            <w:tcW w:w="3740" w:type="dxa"/>
            <w:vAlign w:val="bottom"/>
          </w:tcPr>
          <w:p>
            <w:pPr>
              <w:ind w:left="120"/>
              <w:spacing w:after="0" w:line="156" w:lineRule="exact"/>
              <w:rPr>
                <w:sz w:val="20"/>
                <w:szCs w:val="20"/>
                <w:color w:val="auto"/>
              </w:rPr>
            </w:pPr>
            <w:r>
              <w:rPr>
                <w:rFonts w:ascii="Arial" w:cs="Arial" w:eastAsia="Arial" w:hAnsi="Arial"/>
                <w:sz w:val="14"/>
                <w:szCs w:val="14"/>
                <w:color w:val="auto"/>
              </w:rPr>
              <w:t>•   Performance measures selected to align with our</w:t>
            </w:r>
          </w:p>
        </w:tc>
        <w:tc>
          <w:tcPr>
            <w:tcW w:w="3320" w:type="dxa"/>
            <w:vAlign w:val="bottom"/>
          </w:tcPr>
          <w:p>
            <w:pPr>
              <w:ind w:left="240"/>
              <w:spacing w:after="0" w:line="156" w:lineRule="exact"/>
              <w:rPr>
                <w:sz w:val="20"/>
                <w:szCs w:val="20"/>
                <w:color w:val="auto"/>
              </w:rPr>
            </w:pPr>
            <w:r>
              <w:rPr>
                <w:rFonts w:ascii="Arial" w:cs="Arial" w:eastAsia="Arial" w:hAnsi="Arial"/>
                <w:sz w:val="14"/>
                <w:szCs w:val="14"/>
                <w:color w:val="auto"/>
              </w:rPr>
              <w:t>business objectives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740" w:type="dxa"/>
            <w:vAlign w:val="bottom"/>
          </w:tcPr>
          <w:p>
            <w:pPr>
              <w:ind w:left="260"/>
              <w:spacing w:after="0" w:line="156" w:lineRule="exact"/>
              <w:rPr>
                <w:sz w:val="20"/>
                <w:szCs w:val="20"/>
                <w:color w:val="auto"/>
              </w:rPr>
            </w:pPr>
            <w:r>
              <w:rPr>
                <w:rFonts w:ascii="Arial" w:cs="Arial" w:eastAsia="Arial" w:hAnsi="Arial"/>
                <w:sz w:val="14"/>
                <w:szCs w:val="14"/>
                <w:color w:val="auto"/>
              </w:rPr>
              <w:t>business strategy</w:t>
            </w:r>
          </w:p>
        </w:tc>
        <w:tc>
          <w:tcPr>
            <w:tcW w:w="3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740" w:type="dxa"/>
            <w:vAlign w:val="bottom"/>
          </w:tcPr>
          <w:p>
            <w:pPr>
              <w:ind w:left="120"/>
              <w:spacing w:after="0" w:line="156" w:lineRule="exact"/>
              <w:rPr>
                <w:sz w:val="20"/>
                <w:szCs w:val="20"/>
                <w:color w:val="auto"/>
              </w:rPr>
            </w:pPr>
            <w:r>
              <w:rPr>
                <w:rFonts w:ascii="Arial" w:cs="Arial" w:eastAsia="Arial" w:hAnsi="Arial"/>
                <w:sz w:val="14"/>
                <w:szCs w:val="14"/>
                <w:color w:val="auto"/>
              </w:rPr>
              <w:t>•   Multiple performance measures that reflect key</w:t>
            </w:r>
          </w:p>
        </w:tc>
        <w:tc>
          <w:tcPr>
            <w:tcW w:w="3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740" w:type="dxa"/>
            <w:vAlign w:val="bottom"/>
          </w:tcPr>
          <w:p>
            <w:pPr>
              <w:ind w:left="260"/>
              <w:spacing w:after="0" w:line="156" w:lineRule="exact"/>
              <w:rPr>
                <w:sz w:val="20"/>
                <w:szCs w:val="20"/>
                <w:color w:val="auto"/>
              </w:rPr>
            </w:pPr>
            <w:r>
              <w:rPr>
                <w:rFonts w:ascii="Arial" w:cs="Arial" w:eastAsia="Arial" w:hAnsi="Arial"/>
                <w:sz w:val="14"/>
                <w:szCs w:val="14"/>
                <w:color w:val="auto"/>
              </w:rPr>
              <w:t>operational and financial measures of success</w:t>
            </w:r>
          </w:p>
        </w:tc>
        <w:tc>
          <w:tcPr>
            <w:tcW w:w="3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auto"/>
              </w:rPr>
              <w:t>•   Payout based on achievement of predetermined goals</w:t>
            </w:r>
          </w:p>
        </w:tc>
        <w:tc>
          <w:tcPr>
            <w:tcW w:w="3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120" w:type="dxa"/>
            <w:vAlign w:val="bottom"/>
            <w:tcBorders>
              <w:bottom w:val="single" w:sz="8" w:color="7F7F7F"/>
            </w:tcBorders>
          </w:tcPr>
          <w:p>
            <w:pPr>
              <w:spacing w:after="0"/>
              <w:rPr>
                <w:sz w:val="5"/>
                <w:szCs w:val="5"/>
                <w:color w:val="auto"/>
              </w:rPr>
            </w:pPr>
          </w:p>
        </w:tc>
        <w:tc>
          <w:tcPr>
            <w:tcW w:w="1380" w:type="dxa"/>
            <w:vAlign w:val="bottom"/>
            <w:tcBorders>
              <w:bottom w:val="single" w:sz="8" w:color="7F7F7F"/>
            </w:tcBorders>
          </w:tcPr>
          <w:p>
            <w:pPr>
              <w:spacing w:after="0"/>
              <w:rPr>
                <w:sz w:val="5"/>
                <w:szCs w:val="5"/>
                <w:color w:val="auto"/>
              </w:rPr>
            </w:pPr>
          </w:p>
        </w:tc>
        <w:tc>
          <w:tcPr>
            <w:tcW w:w="3740" w:type="dxa"/>
            <w:vAlign w:val="bottom"/>
            <w:tcBorders>
              <w:bottom w:val="single" w:sz="8" w:color="7F7F7F"/>
            </w:tcBorders>
          </w:tcPr>
          <w:p>
            <w:pPr>
              <w:spacing w:after="0"/>
              <w:rPr>
                <w:sz w:val="5"/>
                <w:szCs w:val="5"/>
                <w:color w:val="auto"/>
              </w:rPr>
            </w:pPr>
          </w:p>
        </w:tc>
        <w:tc>
          <w:tcPr>
            <w:tcW w:w="3320" w:type="dxa"/>
            <w:vAlign w:val="bottom"/>
            <w:tcBorders>
              <w:bottom w:val="single" w:sz="8" w:color="7F7F7F"/>
            </w:tcBorders>
          </w:tcPr>
          <w:p>
            <w:pPr>
              <w:spacing w:after="0"/>
              <w:rPr>
                <w:sz w:val="5"/>
                <w:szCs w:val="5"/>
                <w:color w:val="auto"/>
              </w:rPr>
            </w:pPr>
          </w:p>
        </w:tc>
        <w:tc>
          <w:tcPr>
            <w:tcW w:w="104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  Long Term  </w:t>
            </w:r>
          </w:p>
        </w:tc>
        <w:tc>
          <w:tcPr>
            <w:tcW w:w="1380" w:type="dxa"/>
            <w:vAlign w:val="bottom"/>
          </w:tcPr>
          <w:p>
            <w:pPr>
              <w:ind w:left="120"/>
              <w:spacing w:after="0" w:line="153" w:lineRule="exact"/>
              <w:rPr>
                <w:sz w:val="20"/>
                <w:szCs w:val="20"/>
                <w:color w:val="auto"/>
              </w:rPr>
            </w:pPr>
            <w:r>
              <w:rPr>
                <w:rFonts w:ascii="Arial" w:cs="Arial" w:eastAsia="Arial" w:hAnsi="Arial"/>
                <w:sz w:val="14"/>
                <w:szCs w:val="14"/>
                <w:color w:val="auto"/>
              </w:rPr>
              <w:t>Time-Based Fixed</w:t>
            </w:r>
          </w:p>
        </w:tc>
        <w:tc>
          <w:tcPr>
            <w:tcW w:w="3740" w:type="dxa"/>
            <w:vAlign w:val="bottom"/>
            <w:shd w:val="clear" w:color="auto" w:fill="EDEDED"/>
          </w:tcPr>
          <w:p>
            <w:pPr>
              <w:spacing w:after="0"/>
              <w:rPr>
                <w:sz w:val="13"/>
                <w:szCs w:val="13"/>
                <w:color w:val="auto"/>
              </w:rPr>
            </w:pPr>
          </w:p>
        </w:tc>
        <w:tc>
          <w:tcPr>
            <w:tcW w:w="3320" w:type="dxa"/>
            <w:vAlign w:val="bottom"/>
            <w:shd w:val="clear" w:color="auto" w:fill="EDEDED"/>
          </w:tcPr>
          <w:p>
            <w:pPr>
              <w:spacing w:after="0"/>
              <w:rPr>
                <w:sz w:val="13"/>
                <w:szCs w:val="13"/>
                <w:color w:val="auto"/>
              </w:rPr>
            </w:pPr>
          </w:p>
        </w:tc>
        <w:tc>
          <w:tcPr>
            <w:tcW w:w="1040" w:type="dxa"/>
            <w:vAlign w:val="bottom"/>
            <w:vMerge w:val="restart"/>
            <w:shd w:val="clear" w:color="auto" w:fill="EDEDED"/>
          </w:tcPr>
          <w:p>
            <w:pPr>
              <w:ind w:left="80"/>
              <w:spacing w:after="0"/>
              <w:rPr>
                <w:sz w:val="20"/>
                <w:szCs w:val="20"/>
                <w:color w:val="auto"/>
              </w:rPr>
            </w:pPr>
            <w:r>
              <w:rPr>
                <w:rFonts w:ascii="Arial" w:cs="Arial" w:eastAsia="Arial" w:hAnsi="Arial"/>
                <w:sz w:val="14"/>
                <w:szCs w:val="14"/>
                <w:b w:val="1"/>
                <w:bCs w:val="1"/>
                <w:color w:val="0A9E50"/>
              </w:rPr>
              <w:t>Page 60</w:t>
            </w:r>
          </w:p>
        </w:tc>
        <w:tc>
          <w:tcPr>
            <w:tcW w:w="0" w:type="dxa"/>
            <w:vAlign w:val="bottom"/>
          </w:tcPr>
          <w:p>
            <w:pPr>
              <w:spacing w:after="0"/>
              <w:rPr>
                <w:sz w:val="1"/>
                <w:szCs w:val="1"/>
                <w:color w:val="auto"/>
              </w:rPr>
            </w:pPr>
          </w:p>
        </w:tc>
      </w:tr>
      <w:tr>
        <w:trPr>
          <w:trHeight w:val="156"/>
        </w:trPr>
        <w:tc>
          <w:tcPr>
            <w:tcW w:w="114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Incentives</w:t>
            </w:r>
          </w:p>
        </w:tc>
        <w:tc>
          <w:tcPr>
            <w:tcW w:w="1380" w:type="dxa"/>
            <w:vAlign w:val="bottom"/>
          </w:tcPr>
          <w:p>
            <w:pPr>
              <w:ind w:left="120"/>
              <w:spacing w:after="0" w:line="156" w:lineRule="exact"/>
              <w:rPr>
                <w:sz w:val="20"/>
                <w:szCs w:val="20"/>
                <w:color w:val="auto"/>
              </w:rPr>
            </w:pPr>
            <w:r>
              <w:rPr>
                <w:rFonts w:ascii="Arial" w:cs="Arial" w:eastAsia="Arial" w:hAnsi="Arial"/>
                <w:sz w:val="14"/>
                <w:szCs w:val="14"/>
                <w:color w:val="auto"/>
              </w:rPr>
              <w:t>Compensation</w:t>
            </w:r>
          </w:p>
        </w:tc>
        <w:tc>
          <w:tcPr>
            <w:tcW w:w="3740" w:type="dxa"/>
            <w:vAlign w:val="bottom"/>
            <w:shd w:val="clear" w:color="auto" w:fill="EDEDED"/>
          </w:tcPr>
          <w:p>
            <w:pPr>
              <w:ind w:left="120"/>
              <w:spacing w:after="0" w:line="156" w:lineRule="exact"/>
              <w:rPr>
                <w:sz w:val="20"/>
                <w:szCs w:val="20"/>
                <w:color w:val="auto"/>
              </w:rPr>
            </w:pPr>
            <w:r>
              <w:rPr>
                <w:rFonts w:ascii="Arial" w:cs="Arial" w:eastAsia="Arial" w:hAnsi="Arial"/>
                <w:sz w:val="14"/>
                <w:szCs w:val="14"/>
                <w:b w:val="1"/>
                <w:bCs w:val="1"/>
                <w:color w:val="auto"/>
              </w:rPr>
              <w:t>Restricted Stock</w:t>
            </w:r>
          </w:p>
        </w:tc>
        <w:tc>
          <w:tcPr>
            <w:tcW w:w="3320" w:type="dxa"/>
            <w:vAlign w:val="bottom"/>
            <w:shd w:val="clear" w:color="auto" w:fill="EDEDED"/>
          </w:tcPr>
          <w:p>
            <w:pPr>
              <w:spacing w:after="0"/>
              <w:rPr>
                <w:sz w:val="13"/>
                <w:szCs w:val="13"/>
                <w:color w:val="auto"/>
              </w:rPr>
            </w:pPr>
          </w:p>
        </w:tc>
        <w:tc>
          <w:tcPr>
            <w:tcW w:w="1040" w:type="dxa"/>
            <w:vAlign w:val="bottom"/>
            <w:vMerge w:val="continue"/>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(LTI)</w:t>
            </w:r>
          </w:p>
        </w:tc>
        <w:tc>
          <w:tcPr>
            <w:tcW w:w="1380" w:type="dxa"/>
            <w:vAlign w:val="bottom"/>
          </w:tcPr>
          <w:p>
            <w:pPr>
              <w:spacing w:after="0"/>
              <w:rPr>
                <w:sz w:val="7"/>
                <w:szCs w:val="7"/>
                <w:color w:val="auto"/>
              </w:rPr>
            </w:pPr>
          </w:p>
        </w:tc>
        <w:tc>
          <w:tcPr>
            <w:tcW w:w="3740" w:type="dxa"/>
            <w:vAlign w:val="bottom"/>
            <w:shd w:val="clear" w:color="auto" w:fill="EDEDED"/>
          </w:tcPr>
          <w:p>
            <w:pPr>
              <w:spacing w:after="0"/>
              <w:rPr>
                <w:sz w:val="7"/>
                <w:szCs w:val="7"/>
                <w:color w:val="auto"/>
              </w:rPr>
            </w:pPr>
          </w:p>
        </w:tc>
        <w:tc>
          <w:tcPr>
            <w:tcW w:w="3320" w:type="dxa"/>
            <w:vAlign w:val="bottom"/>
            <w:shd w:val="clear" w:color="auto" w:fill="EDEDED"/>
          </w:tcPr>
          <w:p>
            <w:pPr>
              <w:spacing w:after="0"/>
              <w:rPr>
                <w:sz w:val="7"/>
                <w:szCs w:val="7"/>
                <w:color w:val="auto"/>
              </w:rPr>
            </w:pPr>
          </w:p>
        </w:tc>
        <w:tc>
          <w:tcPr>
            <w:tcW w:w="104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140" w:type="dxa"/>
            <w:vAlign w:val="bottom"/>
            <w:gridSpan w:val="2"/>
            <w:vMerge w:val="continue"/>
          </w:tcPr>
          <w:p>
            <w:pPr>
              <w:spacing w:after="0"/>
              <w:rPr>
                <w:sz w:val="9"/>
                <w:szCs w:val="9"/>
                <w:color w:val="auto"/>
              </w:rPr>
            </w:pPr>
          </w:p>
        </w:tc>
        <w:tc>
          <w:tcPr>
            <w:tcW w:w="1380" w:type="dxa"/>
            <w:vAlign w:val="bottom"/>
          </w:tcPr>
          <w:p>
            <w:pPr>
              <w:spacing w:after="0"/>
              <w:rPr>
                <w:sz w:val="9"/>
                <w:szCs w:val="9"/>
                <w:color w:val="auto"/>
              </w:rPr>
            </w:pPr>
          </w:p>
        </w:tc>
        <w:tc>
          <w:tcPr>
            <w:tcW w:w="3740" w:type="dxa"/>
            <w:vAlign w:val="bottom"/>
            <w:vMerge w:val="restart"/>
          </w:tcPr>
          <w:p>
            <w:pPr>
              <w:ind w:left="120"/>
              <w:spacing w:after="0" w:line="147" w:lineRule="exact"/>
              <w:rPr>
                <w:sz w:val="20"/>
                <w:szCs w:val="20"/>
                <w:color w:val="auto"/>
              </w:rPr>
            </w:pPr>
            <w:r>
              <w:rPr>
                <w:rFonts w:ascii="Arial" w:cs="Arial" w:eastAsia="Arial" w:hAnsi="Arial"/>
                <w:sz w:val="14"/>
                <w:szCs w:val="14"/>
                <w:color w:val="auto"/>
              </w:rPr>
              <w:t>•   Accounts for 25% for CEO and 40% for other named</w:t>
            </w:r>
          </w:p>
        </w:tc>
        <w:tc>
          <w:tcPr>
            <w:tcW w:w="3320" w:type="dxa"/>
            <w:vAlign w:val="bottom"/>
            <w:vMerge w:val="restart"/>
          </w:tcPr>
          <w:p>
            <w:pPr>
              <w:ind w:left="100"/>
              <w:spacing w:after="0" w:line="147" w:lineRule="exact"/>
              <w:rPr>
                <w:sz w:val="20"/>
                <w:szCs w:val="20"/>
                <w:color w:val="auto"/>
              </w:rPr>
            </w:pPr>
            <w:r>
              <w:rPr>
                <w:rFonts w:ascii="Arial" w:cs="Arial" w:eastAsia="Arial" w:hAnsi="Arial"/>
                <w:sz w:val="14"/>
                <w:szCs w:val="14"/>
                <w:color w:val="auto"/>
              </w:rPr>
              <w:t>•   Align interests of senior officers and</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740" w:type="dxa"/>
            <w:vAlign w:val="bottom"/>
            <w:vMerge w:val="continue"/>
          </w:tcPr>
          <w:p>
            <w:pPr>
              <w:spacing w:after="0"/>
              <w:rPr>
                <w:sz w:val="3"/>
                <w:szCs w:val="3"/>
                <w:color w:val="auto"/>
              </w:rPr>
            </w:pPr>
          </w:p>
        </w:tc>
        <w:tc>
          <w:tcPr>
            <w:tcW w:w="332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740" w:type="dxa"/>
            <w:vAlign w:val="bottom"/>
          </w:tcPr>
          <w:p>
            <w:pPr>
              <w:ind w:left="260"/>
              <w:spacing w:after="0" w:line="156" w:lineRule="exact"/>
              <w:rPr>
                <w:sz w:val="20"/>
                <w:szCs w:val="20"/>
                <w:color w:val="auto"/>
              </w:rPr>
            </w:pPr>
            <w:r>
              <w:rPr>
                <w:rFonts w:ascii="Arial" w:cs="Arial" w:eastAsia="Arial" w:hAnsi="Arial"/>
                <w:sz w:val="14"/>
                <w:szCs w:val="14"/>
                <w:color w:val="auto"/>
              </w:rPr>
              <w:t>executive officers of total LTI award opportunity</w:t>
            </w:r>
          </w:p>
        </w:tc>
        <w:tc>
          <w:tcPr>
            <w:tcW w:w="3320" w:type="dxa"/>
            <w:vAlign w:val="bottom"/>
          </w:tcPr>
          <w:p>
            <w:pPr>
              <w:ind w:left="240"/>
              <w:spacing w:after="0" w:line="156" w:lineRule="exact"/>
              <w:rPr>
                <w:sz w:val="20"/>
                <w:szCs w:val="20"/>
                <w:color w:val="auto"/>
              </w:rPr>
            </w:pPr>
            <w:r>
              <w:rPr>
                <w:rFonts w:ascii="Arial" w:cs="Arial" w:eastAsia="Arial" w:hAnsi="Arial"/>
                <w:sz w:val="14"/>
                <w:szCs w:val="14"/>
                <w:color w:val="auto"/>
              </w:rPr>
              <w:t>shareholders</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740" w:type="dxa"/>
            <w:vAlign w:val="bottom"/>
          </w:tcPr>
          <w:p>
            <w:pPr>
              <w:ind w:left="120"/>
              <w:spacing w:after="0" w:line="156" w:lineRule="exact"/>
              <w:rPr>
                <w:sz w:val="20"/>
                <w:szCs w:val="20"/>
                <w:color w:val="auto"/>
              </w:rPr>
            </w:pPr>
            <w:r>
              <w:rPr>
                <w:rFonts w:ascii="Arial" w:cs="Arial" w:eastAsia="Arial" w:hAnsi="Arial"/>
                <w:sz w:val="14"/>
                <w:szCs w:val="14"/>
                <w:color w:val="auto"/>
              </w:rPr>
              <w:t>•   Shares vest ratably over three years</w:t>
            </w:r>
          </w:p>
        </w:tc>
        <w:tc>
          <w:tcPr>
            <w:tcW w:w="3320" w:type="dxa"/>
            <w:vAlign w:val="bottom"/>
          </w:tcPr>
          <w:p>
            <w:pPr>
              <w:ind w:left="100"/>
              <w:spacing w:after="0" w:line="156" w:lineRule="exact"/>
              <w:rPr>
                <w:sz w:val="20"/>
                <w:szCs w:val="20"/>
                <w:color w:val="auto"/>
              </w:rPr>
            </w:pPr>
            <w:r>
              <w:rPr>
                <w:rFonts w:ascii="Arial" w:cs="Arial" w:eastAsia="Arial" w:hAnsi="Arial"/>
                <w:sz w:val="14"/>
                <w:szCs w:val="14"/>
                <w:color w:val="auto"/>
              </w:rPr>
              <w:t>•   Support retention</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320" w:type="dxa"/>
            <w:vAlign w:val="bottom"/>
          </w:tcPr>
          <w:p>
            <w:pPr>
              <w:ind w:left="100"/>
              <w:spacing w:after="0"/>
              <w:rPr>
                <w:sz w:val="20"/>
                <w:szCs w:val="20"/>
                <w:color w:val="auto"/>
              </w:rPr>
            </w:pPr>
            <w:r>
              <w:rPr>
                <w:rFonts w:ascii="Arial" w:cs="Arial" w:eastAsia="Arial" w:hAnsi="Arial"/>
                <w:sz w:val="14"/>
                <w:szCs w:val="14"/>
                <w:color w:val="auto"/>
              </w:rPr>
              <w:t>•   Support meaningful stock ownership</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-2075815</wp:posOffset>
            </wp:positionV>
            <wp:extent cx="6740525" cy="34118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40525" cy="341185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p>
      <w:pPr>
        <w:spacing w:after="0" w:line="64" w:lineRule="exact"/>
        <w:rPr>
          <w:sz w:val="20"/>
          <w:szCs w:val="20"/>
          <w:color w:val="auto"/>
        </w:rPr>
      </w:pPr>
    </w:p>
    <w:p>
      <w:pPr>
        <w:ind w:left="1260"/>
        <w:spacing w:after="0"/>
        <w:rPr>
          <w:sz w:val="20"/>
          <w:szCs w:val="20"/>
          <w:color w:val="auto"/>
        </w:rPr>
      </w:pPr>
      <w:r>
        <w:rPr>
          <w:rFonts w:ascii="Arial" w:cs="Arial" w:eastAsia="Arial" w:hAnsi="Arial"/>
          <w:sz w:val="13"/>
          <w:szCs w:val="13"/>
          <w:color w:val="auto"/>
        </w:rPr>
        <w:t>Variable At-Risk</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Performance-</w:t>
      </w:r>
    </w:p>
    <w:p>
      <w:pPr>
        <w:ind w:left="1260"/>
        <w:spacing w:after="0" w:line="232" w:lineRule="auto"/>
        <w:rPr>
          <w:sz w:val="20"/>
          <w:szCs w:val="20"/>
          <w:color w:val="auto"/>
        </w:rPr>
      </w:pPr>
      <w:r>
        <w:rPr>
          <w:rFonts w:ascii="Arial" w:cs="Arial" w:eastAsia="Arial" w:hAnsi="Arial"/>
          <w:sz w:val="14"/>
          <w:szCs w:val="14"/>
          <w:color w:val="auto"/>
        </w:rPr>
        <w:t>Based</w:t>
      </w:r>
    </w:p>
    <w:p>
      <w:pPr>
        <w:ind w:left="1260"/>
        <w:spacing w:after="0"/>
        <w:rPr>
          <w:sz w:val="20"/>
          <w:szCs w:val="20"/>
          <w:color w:val="auto"/>
        </w:rPr>
      </w:pPr>
      <w:r>
        <w:rPr>
          <w:rFonts w:ascii="Arial" w:cs="Arial" w:eastAsia="Arial" w:hAnsi="Arial"/>
          <w:sz w:val="14"/>
          <w:szCs w:val="14"/>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Shares</w:t>
      </w:r>
    </w:p>
    <w:p>
      <w:pPr>
        <w:spacing w:after="0" w:line="73" w:lineRule="exact"/>
        <w:rPr>
          <w:sz w:val="20"/>
          <w:szCs w:val="20"/>
          <w:color w:val="auto"/>
        </w:rPr>
      </w:pPr>
    </w:p>
    <w:p>
      <w:pPr>
        <w:ind w:left="140" w:right="80" w:hanging="138"/>
        <w:spacing w:after="0" w:line="261" w:lineRule="auto"/>
        <w:rPr>
          <w:sz w:val="20"/>
          <w:szCs w:val="20"/>
          <w:color w:val="auto"/>
        </w:rPr>
      </w:pPr>
      <w:r>
        <w:rPr>
          <w:rFonts w:ascii="Arial" w:cs="Arial" w:eastAsia="Arial" w:hAnsi="Arial"/>
          <w:sz w:val="13"/>
          <w:szCs w:val="13"/>
          <w:color w:val="auto"/>
        </w:rPr>
        <w:t>•   Accounts for 75% for CEO and 60% for other named executive officers of total LTI award opportunity</w:t>
      </w:r>
    </w:p>
    <w:p>
      <w:pPr>
        <w:spacing w:after="0" w:line="1" w:lineRule="exact"/>
        <w:rPr>
          <w:sz w:val="20"/>
          <w:szCs w:val="20"/>
          <w:color w:val="auto"/>
        </w:rPr>
      </w:pPr>
    </w:p>
    <w:p>
      <w:pPr>
        <w:ind w:left="140" w:right="160" w:hanging="138"/>
        <w:spacing w:after="0" w:line="250" w:lineRule="auto"/>
        <w:rPr>
          <w:sz w:val="20"/>
          <w:szCs w:val="20"/>
          <w:color w:val="auto"/>
        </w:rPr>
      </w:pPr>
      <w:r>
        <w:rPr>
          <w:rFonts w:ascii="Arial" w:cs="Arial" w:eastAsia="Arial" w:hAnsi="Arial"/>
          <w:sz w:val="13"/>
          <w:szCs w:val="13"/>
          <w:color w:val="auto"/>
        </w:rPr>
        <w:t>•   Provides opportunity to earn shares based on achievement of multiple specific performance goals</w:t>
      </w:r>
    </w:p>
    <w:p>
      <w:pPr>
        <w:spacing w:after="0" w:line="1" w:lineRule="exact"/>
        <w:rPr>
          <w:sz w:val="20"/>
          <w:szCs w:val="20"/>
          <w:color w:val="auto"/>
        </w:rPr>
      </w:pPr>
    </w:p>
    <w:p>
      <w:pPr>
        <w:jc w:val="both"/>
        <w:ind w:left="140" w:hanging="138"/>
        <w:spacing w:after="0" w:line="236" w:lineRule="auto"/>
        <w:rPr>
          <w:sz w:val="20"/>
          <w:szCs w:val="20"/>
          <w:color w:val="auto"/>
        </w:rPr>
      </w:pPr>
      <w:r>
        <w:rPr>
          <w:rFonts w:ascii="Arial" w:cs="Arial" w:eastAsia="Arial" w:hAnsi="Arial"/>
          <w:sz w:val="14"/>
          <w:szCs w:val="14"/>
          <w:color w:val="auto"/>
        </w:rPr>
        <w:t>•   Given the continued complexity of goal setting in the current business environment, financial measures for 2023-2025 LTI awards are established and assessed independently for each of three one-year performance periods (2023, 2024, and 2025) with goals set early in each performance period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right"/>
        <w:ind w:right="440"/>
        <w:spacing w:after="0"/>
        <w:rPr>
          <w:sz w:val="20"/>
          <w:szCs w:val="20"/>
          <w:color w:val="auto"/>
        </w:rPr>
      </w:pPr>
      <w:r>
        <w:rPr>
          <w:rFonts w:ascii="Arial" w:cs="Arial" w:eastAsia="Arial" w:hAnsi="Arial"/>
          <w:sz w:val="14"/>
          <w:szCs w:val="14"/>
          <w:b w:val="1"/>
          <w:bCs w:val="1"/>
          <w:color w:val="0A9E50"/>
        </w:rPr>
        <w:t>Page 57</w:t>
      </w:r>
    </w:p>
    <w:p>
      <w:pPr>
        <w:spacing w:after="0" w:line="125" w:lineRule="exact"/>
        <w:rPr>
          <w:sz w:val="20"/>
          <w:szCs w:val="20"/>
          <w:color w:val="auto"/>
        </w:rPr>
      </w:pPr>
    </w:p>
    <w:p>
      <w:pPr>
        <w:ind w:right="1220"/>
        <w:spacing w:after="0" w:line="261" w:lineRule="auto"/>
        <w:rPr>
          <w:sz w:val="20"/>
          <w:szCs w:val="20"/>
          <w:color w:val="auto"/>
        </w:rPr>
      </w:pPr>
      <w:r>
        <w:rPr>
          <w:rFonts w:ascii="Arial" w:cs="Arial" w:eastAsia="Arial" w:hAnsi="Arial"/>
          <w:sz w:val="13"/>
          <w:szCs w:val="13"/>
          <w:color w:val="auto"/>
        </w:rPr>
        <w:t>•   Drive long-term value creation for shareholders •   Motivate and reward senior officers for</w:t>
      </w:r>
    </w:p>
    <w:p>
      <w:pPr>
        <w:spacing w:after="0" w:line="1" w:lineRule="exact"/>
        <w:rPr>
          <w:sz w:val="20"/>
          <w:szCs w:val="20"/>
          <w:color w:val="auto"/>
        </w:rPr>
      </w:pPr>
    </w:p>
    <w:p>
      <w:pPr>
        <w:ind w:left="140" w:right="1380"/>
        <w:spacing w:after="0" w:line="232" w:lineRule="auto"/>
        <w:rPr>
          <w:sz w:val="20"/>
          <w:szCs w:val="20"/>
          <w:color w:val="auto"/>
        </w:rPr>
      </w:pPr>
      <w:r>
        <w:rPr>
          <w:rFonts w:ascii="Arial" w:cs="Arial" w:eastAsia="Arial" w:hAnsi="Arial"/>
          <w:sz w:val="14"/>
          <w:szCs w:val="14"/>
          <w:color w:val="auto"/>
        </w:rPr>
        <w:t>achievement of strategic business objectives over a three-year period</w:t>
      </w:r>
    </w:p>
    <w:p>
      <w:pPr>
        <w:spacing w:after="0" w:line="1" w:lineRule="exact"/>
        <w:rPr>
          <w:sz w:val="20"/>
          <w:szCs w:val="20"/>
          <w:color w:val="auto"/>
        </w:rPr>
      </w:pPr>
    </w:p>
    <w:p>
      <w:pPr>
        <w:ind w:left="140" w:right="1100" w:hanging="138"/>
        <w:spacing w:after="0" w:line="282" w:lineRule="auto"/>
        <w:rPr>
          <w:sz w:val="20"/>
          <w:szCs w:val="20"/>
          <w:color w:val="auto"/>
        </w:rPr>
      </w:pPr>
      <w:r>
        <w:rPr>
          <w:rFonts w:ascii="Arial" w:cs="Arial" w:eastAsia="Arial" w:hAnsi="Arial"/>
          <w:sz w:val="13"/>
          <w:szCs w:val="13"/>
          <w:color w:val="auto"/>
        </w:rPr>
        <w:t>•   Align the interests of senior officers with the long-term interests of the Company and shareholders</w:t>
      </w:r>
    </w:p>
    <w:p>
      <w:pPr>
        <w:spacing w:after="0" w:line="623" w:lineRule="exact"/>
        <w:rPr>
          <w:sz w:val="20"/>
          <w:szCs w:val="20"/>
          <w:color w:val="auto"/>
        </w:rPr>
      </w:pPr>
    </w:p>
    <w:p>
      <w:pPr>
        <w:sectPr>
          <w:pgSz w:w="11900" w:h="16838" w:orient="portrait"/>
          <w:cols w:equalWidth="0" w:num="3">
            <w:col w:w="2240" w:space="400"/>
            <w:col w:w="3440" w:space="280"/>
            <w:col w:w="4260"/>
          </w:cols>
          <w:pgMar w:left="640" w:top="296" w:right="639" w:bottom="1440" w:gutter="0" w:footer="0" w:header="0"/>
          <w:type w:val="continuous"/>
        </w:sectPr>
      </w:pPr>
    </w:p>
    <w:p>
      <w:pPr>
        <w:ind w:left="8780"/>
        <w:spacing w:after="0"/>
        <w:tabs>
          <w:tab w:leader="none" w:pos="1002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67405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40525" cy="8255"/>
                    </a:xfrm>
                    <a:prstGeom prst="rect">
                      <a:avLst/>
                    </a:prstGeom>
                    <a:noFill/>
                  </pic:spPr>
                </pic:pic>
              </a:graphicData>
            </a:graphic>
          </wp:anchor>
        </w:drawing>
        <w:drawing>
          <wp:anchor simplePos="0" relativeHeight="251657728" behindDoc="1" locked="0" layoutInCell="0" allowOverlap="1">
            <wp:simplePos x="0" y="0"/>
            <wp:positionH relativeFrom="column">
              <wp:posOffset>6308725</wp:posOffset>
            </wp:positionH>
            <wp:positionV relativeFrom="paragraph">
              <wp:posOffset>-184150</wp:posOffset>
            </wp:positionV>
            <wp:extent cx="8255" cy="2228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2024 Executive Incentive Plans</w:t>
      </w:r>
    </w:p>
    <w:p>
      <w:pPr>
        <w:spacing w:after="0" w:line="6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For the 2024 incentive plan designs, the Company continues to focus on pay-for-performance alignment by using multiple financial measures to strongly drive our key business objectives and shareholder value. Additional details regarding the 2024 incentive plan designs will be presented in our 2025 Proxy Statement.</w:t>
      </w: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Process for Determining Executive Compensation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Role of the Compensation and Talent Management Committee</w:t>
      </w:r>
    </w:p>
    <w:p>
      <w:pPr>
        <w:spacing w:after="0" w:line="63"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Committee designs and administers the Company’s executive compensation programs and policies, including regularly reviewing the program and policy objectives, applicable new legal and regulatory practices, evolving best practices, and corporate governance trends. The Committee and members of the Board of Directors determine the compensation of the CEO. The CEO’s total compensation is the same design as the other named executive officers consisting of base salary, STIP, and LTI award opportunities. The CEO does not participate in recommendations or discussions related to his own compensation. As part of its responsibility for executive compensation, the Committee annually reviews and determines the compensation of each of our senior officers, including the named executive officers listed in the Summary Compensation Table of this Proxy Statement, based on individual performance, including consideration of ethical behavior, achievement of planned goals, relevant market comparisons, the recommendations of the CEO, and other factors. The Committee reviews the costs and short-and long-term benefits of the compensation arrangements it considers and approves for senior officers.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responsibilities of the Committee are defined in its charter, which can be found on the Company’s website at </w:t>
      </w:r>
      <w:r>
        <w:rPr>
          <w:rFonts w:ascii="Arial" w:cs="Arial" w:eastAsia="Arial" w:hAnsi="Arial"/>
          <w:sz w:val="16"/>
          <w:szCs w:val="16"/>
          <w:i w:val="1"/>
          <w:iCs w:val="1"/>
          <w:color w:val="auto"/>
        </w:rPr>
        <w:t>kellyservices.com</w:t>
      </w:r>
      <w:r>
        <w:rPr>
          <w:rFonts w:ascii="Arial" w:cs="Arial" w:eastAsia="Arial" w:hAnsi="Arial"/>
          <w:sz w:val="16"/>
          <w:szCs w:val="16"/>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Role of the Independent Compensation Consultant</w:t>
      </w:r>
    </w:p>
    <w:p>
      <w:pPr>
        <w:spacing w:after="0" w:line="76"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Pay Governance LLC is the Committee’s independent compensation consultant (the “Consultant”). The Committee considers analysis and guidance from the Consultant when making compensation decisions on plan design; the merits of various incentive plan performance measures; senior officer pay levels, including that of the CEO and our other executive officers, relative to peer group and other market data; composition of peer group companies; stock ownership requirements; and other pay practices. In addition, the Consultant updates the Committee on market trends and best practices in executive compensation and as requested, provides data and guidance on other items such as director compensation. The Committee uses its own independent judgment to make all decisions related to the compensation of the Company’s senior officers.</w:t>
      </w:r>
    </w:p>
    <w:p>
      <w:pPr>
        <w:spacing w:after="0" w:line="40"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During 2023, the Consultant regularly attended Committee meetings and communicated with the Chairman of the Board and the Committee Chairman outside of Committee meetings. The Committee regularly meets with the Consultant in private session (without members of management). As directed by the Compensation and Talent Management Committee, the Consultant also met with the Senior Vice President and Chief People Officer (“Chief People Officer”), Senior Vice President, General Counsel and Corporate Secretary (“Corporate Secretary”), and members of the Executive Compensation, Finance, and Corporate Governance teams of the Company. The Consultant maintains a direct reporting relationship to the Committee on all compensation matters.</w:t>
      </w:r>
    </w:p>
    <w:p>
      <w:pPr>
        <w:spacing w:after="0" w:line="4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Committee conducts an annual assessment of the Consultant’s independence, using factors established by Nasdaq. The Consultant provided no services to the Company in 2023 other than services to the Committee. The Committee reviewed and affirmed the independence of the Consultant as the Compensation Consultant to the Committee and concluded the work performed by the Consultant did not raise a conflict of interest.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Role of Management</w:t>
      </w:r>
    </w:p>
    <w:p>
      <w:pPr>
        <w:spacing w:after="0" w:line="76" w:lineRule="exact"/>
        <w:rPr>
          <w:sz w:val="20"/>
          <w:szCs w:val="20"/>
          <w:color w:val="auto"/>
        </w:rPr>
      </w:pPr>
    </w:p>
    <w:p>
      <w:pPr>
        <w:ind w:right="900"/>
        <w:spacing w:after="0" w:line="265" w:lineRule="auto"/>
        <w:rPr>
          <w:sz w:val="20"/>
          <w:szCs w:val="20"/>
          <w:color w:val="auto"/>
        </w:rPr>
      </w:pPr>
      <w:r>
        <w:rPr>
          <w:rFonts w:ascii="Arial" w:cs="Arial" w:eastAsia="Arial" w:hAnsi="Arial"/>
          <w:sz w:val="16"/>
          <w:szCs w:val="16"/>
          <w:color w:val="auto"/>
        </w:rPr>
        <w:t>The Committee consults with the CEO and the Chief People Officer to obtain feedback with respect to the strategic direction of our executive compensation programs.</w:t>
      </w:r>
    </w:p>
    <w:p>
      <w:pPr>
        <w:spacing w:after="0" w:line="2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CEO makes recommendations for each of the executive officers about elements of their total compensation. His recommendations are based on the assessment of each executive officer’s performance, as well as the performance of their respective business or function and other factors. The Committee takes into consideration the recommendations of the CEO when determining the compensation of the other executive officers.</w:t>
      </w:r>
    </w:p>
    <w:p>
      <w:pPr>
        <w:spacing w:after="0" w:line="34"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In addition, the CFO provides periodic financial updates and information to the Committee to aid in establishing incentive plan goals and determining payout amounts.</w:t>
      </w:r>
    </w:p>
    <w:p>
      <w:pPr>
        <w:spacing w:after="0" w:line="3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Committee consults with the Corporate Secretary and the Consultant on matters related to executive and director stock ownership requirements and director compensation.</w:t>
      </w:r>
    </w:p>
    <w:p>
      <w:pPr>
        <w:spacing w:after="0" w:line="38"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52 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580"/>
          </w:cols>
          <w:pgMar w:left="640" w:top="296" w:right="679" w:bottom="1440" w:gutter="0" w:footer="0" w:header="0"/>
        </w:sectPr>
      </w:pPr>
    </w:p>
    <w:bookmarkStart w:id="54" w:name="page55"/>
    <w:bookmarkEnd w:id="54"/>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Comparator Data</w:t>
      </w:r>
    </w:p>
    <w:p>
      <w:pPr>
        <w:spacing w:after="0" w:line="63"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Committee uses third-party survey data for comparably sized general industry companies and available data from a select group of peer companies in determining the competitive positioning of our compensation programs. Comparator data is also used as one of several inputs to establish the individual compensation opportunities of each of our senior officers, including the named executive officers.</w:t>
      </w:r>
    </w:p>
    <w:p>
      <w:pPr>
        <w:spacing w:after="0" w:line="47" w:lineRule="exact"/>
        <w:rPr>
          <w:sz w:val="20"/>
          <w:szCs w:val="20"/>
          <w:color w:val="auto"/>
        </w:rPr>
      </w:pPr>
    </w:p>
    <w:p>
      <w:pPr>
        <w:ind w:right="40"/>
        <w:spacing w:after="0"/>
        <w:rPr>
          <w:sz w:val="20"/>
          <w:szCs w:val="20"/>
          <w:color w:val="auto"/>
        </w:rPr>
      </w:pPr>
      <w:r>
        <w:rPr>
          <w:rFonts w:ascii="Arial" w:cs="Arial" w:eastAsia="Arial" w:hAnsi="Arial"/>
          <w:sz w:val="16"/>
          <w:szCs w:val="16"/>
          <w:color w:val="auto"/>
        </w:rPr>
        <w:t>Each senior officer’s performance is reviewed (see Senior Officer Performance Reviews and Succession Planning below) and compensation decisions are made on an annual basis (or as a senior officer’s duties and responsibilities change). Base salaries, target STIP, and target long-term incentive opportunities are benchmarked against a group of comparable executive positions in general industry companies of similar revenue size as reflected in multiple third-party surveys. We seek to establish target total direct compensation opportunities (defined as base salary, target STIP, and target long-term incentive) for our named executive officers that are near a competitive range of the median of the market data. Compensation ultimately earned from these opportunities can vary from the targeted levels based on Company, business unit, and individual performance. Various other factors are taken into consideration and in certain circumstances, we may target pay above or below the competitive median. Individual target total direct compensation may be above or below the median depending on Company performance, cost considerations, the role’s scope of responsibilities, individual experience and performance, and any succession, retention, or internal equity considerations. The Company has taken a conservative approach to target long-term incentive opportunities generally below market median for senior officers. This approach is in support of the Company’s efforts to reduce costs in connection with its investment strategy and its goal to become more profitable.</w:t>
      </w:r>
    </w:p>
    <w:p>
      <w:pPr>
        <w:spacing w:after="0" w:line="45"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In setting 2023 target compensation, the Committee performed a competitive executive compensation analysis, which included an analysis of third-party survey data prepared internally by the Company’s executive compensation group, and a peer group review of CEO pay prepared by the Consultant. Third-party general industry survey data from Aon, Pearl Meyer, and WTW were used to prepare the survey analysis. Specific companies that participated in the third-party surveys were unknown and not a factor in the Committee’s deliberations. The Consultant reviewed the survey analysis for the Committee.</w:t>
      </w:r>
    </w:p>
    <w:p>
      <w:pPr>
        <w:spacing w:after="0" w:line="40"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The Consultant worked with the Committee and management to develop a group of peer companies to be used for market comparison purposes in terms of CEO pay levels and executive pay practices. We do not believe many companies compete directly with us in all areas of our business or are of similar size. However, in order to have a reference group of publicly traded comparators, the Consultant identified a group of relevant companies that compare to Kelly in at least some areas of our business. The resulting group of twelve comparator companies consists solely of staffing and HR-focused companies with generally similar annual revenues and recent market cap. The majority are multi-national/ global companies headquartered in U.S. The following group of companies includes direct peers and a balanced mix of some significantly smaller and larger companies in similar industries and was unchanged from last year. The peer group, unchanged from 2022, was used by the Committee and management as another reference point when assessing 2023 executive pay practices and CEO pay levels: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A9E50"/>
        </w:rPr>
        <w:t>2023 Peer Group</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ABM Industries Incorporated</w:t>
            </w:r>
          </w:p>
        </w:tc>
        <w:tc>
          <w:tcPr>
            <w:tcW w:w="38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Barrett Business Services, Inc.</w:t>
            </w:r>
          </w:p>
        </w:tc>
        <w:tc>
          <w:tcPr>
            <w:tcW w:w="38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ManpowerGroup Inc.</w:t>
            </w:r>
          </w:p>
        </w:tc>
      </w:tr>
      <w:tr>
        <w:trPr>
          <w:trHeight w:val="235"/>
        </w:trPr>
        <w:tc>
          <w:tcPr>
            <w:tcW w:w="3000" w:type="dxa"/>
            <w:vAlign w:val="bottom"/>
          </w:tcPr>
          <w:p>
            <w:pPr>
              <w:ind w:left="1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Adecco Group AG</w:t>
            </w:r>
          </w:p>
        </w:tc>
        <w:tc>
          <w:tcPr>
            <w:tcW w:w="3820" w:type="dxa"/>
            <w:vAlign w:val="bottom"/>
          </w:tcPr>
          <w:p>
            <w:pPr>
              <w:ind w:left="5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Heidrick &amp; Struggles International, Inc.</w:t>
            </w:r>
          </w:p>
        </w:tc>
        <w:tc>
          <w:tcPr>
            <w:tcW w:w="3800" w:type="dxa"/>
            <w:vAlign w:val="bottom"/>
          </w:tcPr>
          <w:p>
            <w:pPr>
              <w:ind w:left="4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Randstad NV</w:t>
            </w:r>
          </w:p>
        </w:tc>
      </w:tr>
      <w:tr>
        <w:trPr>
          <w:trHeight w:val="247"/>
        </w:trPr>
        <w:tc>
          <w:tcPr>
            <w:tcW w:w="3000" w:type="dxa"/>
            <w:vAlign w:val="bottom"/>
          </w:tcPr>
          <w:p>
            <w:pPr>
              <w:ind w:left="1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AMN Healthcare Services, Inc.</w:t>
            </w:r>
          </w:p>
        </w:tc>
        <w:tc>
          <w:tcPr>
            <w:tcW w:w="3820" w:type="dxa"/>
            <w:vAlign w:val="bottom"/>
          </w:tcPr>
          <w:p>
            <w:pPr>
              <w:ind w:left="5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Insperity, Inc.</w:t>
            </w:r>
          </w:p>
        </w:tc>
        <w:tc>
          <w:tcPr>
            <w:tcW w:w="3800" w:type="dxa"/>
            <w:vAlign w:val="bottom"/>
          </w:tcPr>
          <w:p>
            <w:pPr>
              <w:ind w:left="4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Robert Half International Inc.</w:t>
            </w:r>
          </w:p>
        </w:tc>
      </w:tr>
      <w:tr>
        <w:trPr>
          <w:trHeight w:val="236"/>
        </w:trPr>
        <w:tc>
          <w:tcPr>
            <w:tcW w:w="3000" w:type="dxa"/>
            <w:vAlign w:val="bottom"/>
            <w:tcBorders>
              <w:bottom w:val="single" w:sz="8" w:color="7F7F7F"/>
            </w:tcBorders>
          </w:tcPr>
          <w:p>
            <w:pPr>
              <w:ind w:left="1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ASGN Inc.</w:t>
            </w:r>
          </w:p>
        </w:tc>
        <w:tc>
          <w:tcPr>
            <w:tcW w:w="3820" w:type="dxa"/>
            <w:vAlign w:val="bottom"/>
            <w:tcBorders>
              <w:bottom w:val="single" w:sz="8" w:color="7F7F7F"/>
            </w:tcBorders>
          </w:tcPr>
          <w:p>
            <w:pPr>
              <w:ind w:left="56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Kforce Inc.</w:t>
            </w:r>
          </w:p>
        </w:tc>
        <w:tc>
          <w:tcPr>
            <w:tcW w:w="3800" w:type="dxa"/>
            <w:vAlign w:val="bottom"/>
            <w:tcBorders>
              <w:bottom w:val="single" w:sz="8" w:color="7F7F7F"/>
            </w:tcBorders>
          </w:tcPr>
          <w:p>
            <w:pPr>
              <w:ind w:left="44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TrueBlue, Inc.</w:t>
            </w:r>
          </w:p>
        </w:tc>
      </w:tr>
    </w:tbl>
    <w:p>
      <w:pPr>
        <w:spacing w:after="0" w:line="66"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The Committee considers peer group and general industry survey data as a point of reference, not the sole factor in determining senior officers’ compensation. The third-party survey data and peer group analysis represent “Market Data” when referenced throughout this Compensation Discussion and Analysis. The Committee considers all resources provided as part of a holistic process that also includes officer performance and the recommendations of the Company’s CEO regarding total compensation for senior officers.</w:t>
      </w:r>
    </w:p>
    <w:p>
      <w:pPr>
        <w:spacing w:after="0" w:line="39"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In addition to Market Data and for use as background information, the Executive Compensation group provides the Committee with comprehensive detail illustrating historical target and actual total compensation data and long-term incentive grant detail that includes grant date fair value as well as the intrinsic value of outstanding award opportunities.</w:t>
      </w:r>
    </w:p>
    <w:p>
      <w:pPr>
        <w:spacing w:after="0" w:line="3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The Committee reviews this detail for the executive officers and believes it is useful multi-year reference information, along with other perspectives, when considering whether compensation decisions reflect the Company’s executive compensation philosophy and performance.</w:t>
      </w:r>
    </w:p>
    <w:p>
      <w:pPr>
        <w:spacing w:after="0" w:line="1" w:lineRule="exact"/>
        <w:rPr>
          <w:sz w:val="20"/>
          <w:szCs w:val="20"/>
          <w:color w:val="auto"/>
        </w:rPr>
      </w:pPr>
    </w:p>
    <w:p>
      <w:pPr>
        <w:ind w:left="8780"/>
        <w:spacing w:after="0"/>
        <w:tabs>
          <w:tab w:leader="none" w:pos="1002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6308725</wp:posOffset>
            </wp:positionH>
            <wp:positionV relativeFrom="paragraph">
              <wp:posOffset>-222250</wp:posOffset>
            </wp:positionV>
            <wp:extent cx="8255" cy="2228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Officer Performance Reviews and Succession Planning</w:t>
      </w:r>
    </w:p>
    <w:p>
      <w:pPr>
        <w:spacing w:after="0" w:line="63" w:lineRule="exact"/>
        <w:rPr>
          <w:sz w:val="20"/>
          <w:szCs w:val="20"/>
          <w:color w:val="auto"/>
        </w:rPr>
      </w:pPr>
    </w:p>
    <w:p>
      <w:pPr>
        <w:ind w:right="520"/>
        <w:spacing w:after="0" w:line="265" w:lineRule="auto"/>
        <w:rPr>
          <w:sz w:val="20"/>
          <w:szCs w:val="20"/>
          <w:color w:val="auto"/>
        </w:rPr>
      </w:pPr>
      <w:r>
        <w:rPr>
          <w:rFonts w:ascii="Arial" w:cs="Arial" w:eastAsia="Arial" w:hAnsi="Arial"/>
          <w:sz w:val="16"/>
          <w:szCs w:val="16"/>
          <w:color w:val="auto"/>
        </w:rPr>
        <w:t>Annually, the Committee conducts a comprehensive review of performance, leadership development initiatives, and succession planning for senior officers. Combined, these processes are used to identify, develop, and evaluate the Company’s senior officers.</w:t>
      </w:r>
    </w:p>
    <w:p>
      <w:pPr>
        <w:spacing w:after="0" w:line="36"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The Chief People Officer, with input from the CEO, prepares detailed executive performance review information for each of the senior officers, including named executive officers (other than the CEO). The performance review information for each of the senior officers includes key annual initiatives, performance results, and development opportunities. The CEO reviews the performance of the other senior officers and presents their individual performance assessments, development plans, and succession strategies to the Committee.</w:t>
      </w:r>
    </w:p>
    <w:p>
      <w:pPr>
        <w:spacing w:after="0" w:line="39"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During the individual performance assessments, the Committee asks questions, renders advice, and makes recommendations on matters that include individual development needs, succession planning, and retention. Senior officers are not present during the discussion of their performance by the Committee. The Committee uses each executive’s individual performance assessment, the compensation analysis discussed in the previous section, and the recommendations of the CEO, to determine compensation for the senior officers.</w:t>
      </w:r>
    </w:p>
    <w:p>
      <w:pPr>
        <w:spacing w:after="0" w:line="39"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In the fourth quarter of the year the CEO presented his performance self-evaluation which included a review of performance of the organization against strategy and business plans.</w:t>
      </w:r>
    </w:p>
    <w:p>
      <w:pPr>
        <w:spacing w:after="0" w:line="36"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Periodic sessions are held to discuss talent and development for multiple levels of the organization, increasing transparency and understanding of talent across leadership teams and business units. Development plans are crafted to prepare emerging talent for future opportunities, including stretch assignments, formal training, experiential learning opportunities and formal coaching.</w:t>
      </w:r>
    </w:p>
    <w:p>
      <w:pPr>
        <w:spacing w:after="0" w:line="34"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Board approves the Company’s executive succession plan annually, including updates, and in connection with the performance assessments. The plan includes all executives at the senior officer level, as well as their potential successors from within the Company in the event of an emergency or departure of a senior officer. Documentation includes detailed executive performance review information as discussed above, readiness assessments and a review of the health and diversity of succession pipelines.</w:t>
      </w: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Programs: Decisions and Actions in 2023</w:t>
      </w:r>
    </w:p>
    <w:p>
      <w:pPr>
        <w:spacing w:after="0" w:line="72" w:lineRule="exact"/>
        <w:rPr>
          <w:sz w:val="20"/>
          <w:szCs w:val="20"/>
          <w:color w:val="auto"/>
        </w:rPr>
      </w:pPr>
    </w:p>
    <w:p>
      <w:pPr>
        <w:ind w:right="480"/>
        <w:spacing w:after="0" w:line="265" w:lineRule="auto"/>
        <w:rPr>
          <w:sz w:val="20"/>
          <w:szCs w:val="20"/>
          <w:color w:val="auto"/>
        </w:rPr>
      </w:pPr>
      <w:r>
        <w:rPr>
          <w:rFonts w:ascii="Arial" w:cs="Arial" w:eastAsia="Arial" w:hAnsi="Arial"/>
          <w:sz w:val="16"/>
          <w:szCs w:val="16"/>
          <w:color w:val="auto"/>
        </w:rPr>
        <w:t>The Committee believes the actions detailed below supported the strategic direction of the Company and helped position it for long-term success in achieving its goals.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 Salary</w:t>
      </w:r>
    </w:p>
    <w:p>
      <w:pPr>
        <w:spacing w:after="0" w:line="76"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Base salaries for senior officers, including the named executive officers are within a competitive range of the Market Data to ensure that the Company can attract and retain the executives necessary to successfully lead and manage the organization. Base salaries generally fall within a range (+/- 15%) around the median of salaries in the Market Data, as individual base salaries will vary based upon the factors described below. Based on Market Data available at the time of the review in November 2023, we determined that the base salaries of our named executive officers were, on average, within this competitive range of the market medians for comparable roles. Base salary is only one component of target total direct compensation and may be affected by other components to ensure that target total direct compensation meets compensation objectives.</w:t>
      </w:r>
    </w:p>
    <w:p>
      <w:pPr>
        <w:spacing w:after="0" w:line="40" w:lineRule="exact"/>
        <w:rPr>
          <w:sz w:val="20"/>
          <w:szCs w:val="20"/>
          <w:color w:val="auto"/>
        </w:rPr>
      </w:pPr>
    </w:p>
    <w:p>
      <w:pPr>
        <w:jc w:val="both"/>
        <w:ind w:right="60"/>
        <w:spacing w:after="0" w:line="246" w:lineRule="auto"/>
        <w:rPr>
          <w:sz w:val="20"/>
          <w:szCs w:val="20"/>
          <w:color w:val="auto"/>
        </w:rPr>
      </w:pPr>
      <w:r>
        <w:rPr>
          <w:rFonts w:ascii="Arial" w:cs="Arial" w:eastAsia="Arial" w:hAnsi="Arial"/>
          <w:sz w:val="16"/>
          <w:szCs w:val="16"/>
          <w:color w:val="auto"/>
        </w:rPr>
        <w:t>The Committee reviews the base salaries of senior officers, including the named executive officers, on an annual basis (or as a senior officer’s duties and responsibilities change). Base salaries are determined by the Committee for each of the senior officers based on various factors, including the scope and responsibilities of the role, an individual’s experience and performance in the role, their current level of pay compared to Market Data, internal pay equity, the recommendations of the CEO, and consideration of the Company’s salary adjustment budget.</w:t>
      </w:r>
    </w:p>
    <w:p>
      <w:pPr>
        <w:spacing w:after="0" w:line="39"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The Company’s annual total compensation review and target pay adjustment process for all employees, including the senior officers, typically occurs during the first quarter to coincide with the timing of any potential incentive award payouts. The timing alignment of compensation elements is intended to reinforce the Company’s pay-for-performance philosophy and provide each employee with their “total compensation” overview. In November 2022, the Committee conducted its annual market review of base salaries of the senior officers, including named executive officers.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performed a targeted compensation review which resulted with one named executive officer receiving a base salary increase for 2023.</w:t>
      </w:r>
    </w:p>
    <w:p>
      <w:pPr>
        <w:spacing w:after="0" w:line="78"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54 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bookmarkStart w:id="56" w:name="page57"/>
    <w:bookmarkEnd w:id="56"/>
    <w:p>
      <w:pPr>
        <w:ind w:left="81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In consideration of the factors noted above, the following base salaries for the named executive officers were approved by the Committee in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720" w:type="dxa"/>
            <w:vAlign w:val="bottom"/>
          </w:tcPr>
          <w:p>
            <w:pPr>
              <w:jc w:val="center"/>
              <w:ind w:left="2604"/>
              <w:spacing w:after="0"/>
              <w:rPr>
                <w:sz w:val="20"/>
                <w:szCs w:val="20"/>
                <w:color w:val="auto"/>
              </w:rPr>
            </w:pPr>
            <w:r>
              <w:rPr>
                <w:rFonts w:ascii="Arial" w:cs="Arial" w:eastAsia="Arial" w:hAnsi="Arial"/>
                <w:sz w:val="14"/>
                <w:szCs w:val="14"/>
                <w:b w:val="1"/>
                <w:bCs w:val="1"/>
                <w:color w:val="0A9E50"/>
                <w:w w:val="99"/>
              </w:rPr>
              <w:t>2022 Base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A9E50"/>
                <w:w w:val="99"/>
              </w:rPr>
              <w:t>2023 Base</w:t>
            </w:r>
          </w:p>
        </w:tc>
        <w:tc>
          <w:tcPr>
            <w:tcW w:w="1320" w:type="dxa"/>
            <w:vAlign w:val="bottom"/>
          </w:tcPr>
          <w:p>
            <w:pPr>
              <w:spacing w:after="0"/>
              <w:rPr>
                <w:sz w:val="14"/>
                <w:szCs w:val="14"/>
                <w:color w:val="auto"/>
              </w:rPr>
            </w:pPr>
          </w:p>
        </w:tc>
      </w:tr>
      <w:tr>
        <w:trPr>
          <w:trHeight w:val="192"/>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Named Executive Officer</w:t>
            </w:r>
          </w:p>
        </w:tc>
        <w:tc>
          <w:tcPr>
            <w:tcW w:w="3720" w:type="dxa"/>
            <w:vAlign w:val="bottom"/>
            <w:tcBorders>
              <w:bottom w:val="single" w:sz="8" w:color="auto"/>
            </w:tcBorders>
          </w:tcPr>
          <w:p>
            <w:pPr>
              <w:jc w:val="center"/>
              <w:ind w:left="2624"/>
              <w:spacing w:after="0"/>
              <w:rPr>
                <w:sz w:val="20"/>
                <w:szCs w:val="20"/>
                <w:color w:val="auto"/>
              </w:rPr>
            </w:pPr>
            <w:r>
              <w:rPr>
                <w:rFonts w:ascii="Arial" w:cs="Arial" w:eastAsia="Arial" w:hAnsi="Arial"/>
                <w:sz w:val="14"/>
                <w:szCs w:val="14"/>
                <w:b w:val="1"/>
                <w:bCs w:val="1"/>
                <w:color w:val="0A9E50"/>
                <w:w w:val="99"/>
              </w:rPr>
              <w:t>Salary</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w w:val="99"/>
              </w:rPr>
              <w:t>Salary</w:t>
            </w:r>
          </w:p>
        </w:tc>
        <w:tc>
          <w:tcPr>
            <w:tcW w:w="13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0A9E50"/>
              </w:rPr>
              <w:t>Adjustment %</w:t>
            </w:r>
          </w:p>
        </w:tc>
      </w:tr>
      <w:tr>
        <w:trPr>
          <w:trHeight w:val="220"/>
        </w:trPr>
        <w:tc>
          <w:tcPr>
            <w:tcW w:w="4540" w:type="dxa"/>
            <w:vAlign w:val="bottom"/>
          </w:tcPr>
          <w:p>
            <w:pPr>
              <w:spacing w:after="0"/>
              <w:rPr>
                <w:sz w:val="20"/>
                <w:szCs w:val="20"/>
                <w:color w:val="auto"/>
              </w:rPr>
            </w:pPr>
            <w:r>
              <w:rPr>
                <w:rFonts w:ascii="Arial" w:cs="Arial" w:eastAsia="Arial" w:hAnsi="Arial"/>
                <w:sz w:val="16"/>
                <w:szCs w:val="16"/>
                <w:b w:val="1"/>
                <w:bCs w:val="1"/>
                <w:color w:val="auto"/>
              </w:rPr>
              <w:t>  Peter W. Quigley</w:t>
            </w:r>
          </w:p>
        </w:tc>
        <w:tc>
          <w:tcPr>
            <w:tcW w:w="3720" w:type="dxa"/>
            <w:vAlign w:val="bottom"/>
          </w:tcPr>
          <w:p>
            <w:pPr>
              <w:jc w:val="center"/>
              <w:ind w:left="2604"/>
              <w:spacing w:after="0"/>
              <w:rPr>
                <w:sz w:val="20"/>
                <w:szCs w:val="20"/>
                <w:color w:val="auto"/>
              </w:rPr>
            </w:pPr>
            <w:r>
              <w:rPr>
                <w:rFonts w:ascii="Arial" w:cs="Arial" w:eastAsia="Arial" w:hAnsi="Arial"/>
                <w:sz w:val="16"/>
                <w:szCs w:val="16"/>
                <w:color w:val="auto"/>
                <w:w w:val="95"/>
              </w:rPr>
              <w:t>$ 900,000</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$ 900,000</w:t>
            </w:r>
          </w:p>
        </w:tc>
        <w:tc>
          <w:tcPr>
            <w:tcW w:w="132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0"/>
        </w:trPr>
        <w:tc>
          <w:tcPr>
            <w:tcW w:w="4540" w:type="dxa"/>
            <w:vAlign w:val="bottom"/>
            <w:tcBorders>
              <w:bottom w:val="single" w:sz="8" w:color="7F7F7F"/>
            </w:tcBorders>
          </w:tcPr>
          <w:p>
            <w:pPr>
              <w:spacing w:after="0" w:line="20" w:lineRule="exact"/>
              <w:rPr>
                <w:sz w:val="1"/>
                <w:szCs w:val="1"/>
                <w:color w:val="auto"/>
              </w:rPr>
            </w:pPr>
          </w:p>
        </w:tc>
        <w:tc>
          <w:tcPr>
            <w:tcW w:w="3720" w:type="dxa"/>
            <w:vAlign w:val="bottom"/>
            <w:tcBorders>
              <w:bottom w:val="single" w:sz="8" w:color="7F7F7F"/>
            </w:tcBorders>
          </w:tcPr>
          <w:p>
            <w:pPr>
              <w:spacing w:after="0" w:line="20" w:lineRule="exact"/>
              <w:rPr>
                <w:sz w:val="1"/>
                <w:szCs w:val="1"/>
                <w:color w:val="auto"/>
              </w:rPr>
            </w:pPr>
          </w:p>
        </w:tc>
        <w:tc>
          <w:tcPr>
            <w:tcW w:w="1040" w:type="dxa"/>
            <w:vAlign w:val="bottom"/>
            <w:tcBorders>
              <w:bottom w:val="single" w:sz="8" w:color="7F7F7F"/>
            </w:tcBorders>
          </w:tcPr>
          <w:p>
            <w:pPr>
              <w:spacing w:after="0" w:line="20" w:lineRule="exact"/>
              <w:rPr>
                <w:sz w:val="1"/>
                <w:szCs w:val="1"/>
                <w:color w:val="auto"/>
              </w:rPr>
            </w:pPr>
          </w:p>
        </w:tc>
        <w:tc>
          <w:tcPr>
            <w:tcW w:w="1320" w:type="dxa"/>
            <w:vAlign w:val="bottom"/>
            <w:tcBorders>
              <w:bottom w:val="single" w:sz="8" w:color="7F7F7F"/>
            </w:tcBorders>
          </w:tcPr>
          <w:p>
            <w:pPr>
              <w:spacing w:after="0" w:line="20" w:lineRule="exact"/>
              <w:rPr>
                <w:sz w:val="1"/>
                <w:szCs w:val="1"/>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6"/>
                <w:szCs w:val="16"/>
                <w:b w:val="1"/>
                <w:bCs w:val="1"/>
                <w:color w:val="auto"/>
              </w:rPr>
              <w:t>  Olivier G. Thirot</w:t>
            </w:r>
          </w:p>
        </w:tc>
        <w:tc>
          <w:tcPr>
            <w:tcW w:w="3720" w:type="dxa"/>
            <w:vAlign w:val="bottom"/>
          </w:tcPr>
          <w:p>
            <w:pPr>
              <w:jc w:val="center"/>
              <w:ind w:left="2604"/>
              <w:spacing w:after="0"/>
              <w:rPr>
                <w:sz w:val="20"/>
                <w:szCs w:val="20"/>
                <w:color w:val="auto"/>
              </w:rPr>
            </w:pPr>
            <w:r>
              <w:rPr>
                <w:rFonts w:ascii="Arial" w:cs="Arial" w:eastAsia="Arial" w:hAnsi="Arial"/>
                <w:sz w:val="16"/>
                <w:szCs w:val="16"/>
                <w:color w:val="auto"/>
                <w:w w:val="95"/>
              </w:rPr>
              <w:t>$ 667,200</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$ 667,200</w:t>
            </w:r>
          </w:p>
        </w:tc>
        <w:tc>
          <w:tcPr>
            <w:tcW w:w="132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0"/>
        </w:trPr>
        <w:tc>
          <w:tcPr>
            <w:tcW w:w="4540" w:type="dxa"/>
            <w:vAlign w:val="bottom"/>
            <w:tcBorders>
              <w:bottom w:val="single" w:sz="8" w:color="7F7F7F"/>
            </w:tcBorders>
          </w:tcPr>
          <w:p>
            <w:pPr>
              <w:spacing w:after="0" w:line="20" w:lineRule="exact"/>
              <w:rPr>
                <w:sz w:val="1"/>
                <w:szCs w:val="1"/>
                <w:color w:val="auto"/>
              </w:rPr>
            </w:pPr>
          </w:p>
        </w:tc>
        <w:tc>
          <w:tcPr>
            <w:tcW w:w="3720" w:type="dxa"/>
            <w:vAlign w:val="bottom"/>
            <w:tcBorders>
              <w:bottom w:val="single" w:sz="8" w:color="7F7F7F"/>
            </w:tcBorders>
          </w:tcPr>
          <w:p>
            <w:pPr>
              <w:spacing w:after="0" w:line="20" w:lineRule="exact"/>
              <w:rPr>
                <w:sz w:val="1"/>
                <w:szCs w:val="1"/>
                <w:color w:val="auto"/>
              </w:rPr>
            </w:pPr>
          </w:p>
        </w:tc>
        <w:tc>
          <w:tcPr>
            <w:tcW w:w="1040" w:type="dxa"/>
            <w:vAlign w:val="bottom"/>
            <w:tcBorders>
              <w:bottom w:val="single" w:sz="8" w:color="7F7F7F"/>
            </w:tcBorders>
          </w:tcPr>
          <w:p>
            <w:pPr>
              <w:spacing w:after="0" w:line="20" w:lineRule="exact"/>
              <w:rPr>
                <w:sz w:val="1"/>
                <w:szCs w:val="1"/>
                <w:color w:val="auto"/>
              </w:rPr>
            </w:pPr>
          </w:p>
        </w:tc>
        <w:tc>
          <w:tcPr>
            <w:tcW w:w="1320" w:type="dxa"/>
            <w:vAlign w:val="bottom"/>
            <w:tcBorders>
              <w:bottom w:val="single" w:sz="8" w:color="7F7F7F"/>
            </w:tcBorders>
          </w:tcPr>
          <w:p>
            <w:pPr>
              <w:spacing w:after="0" w:line="20" w:lineRule="exact"/>
              <w:rPr>
                <w:sz w:val="1"/>
                <w:szCs w:val="1"/>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6"/>
                <w:szCs w:val="16"/>
                <w:b w:val="1"/>
                <w:bCs w:val="1"/>
                <w:color w:val="auto"/>
              </w:rPr>
              <w:t>  Daniel H. Malan</w:t>
            </w:r>
          </w:p>
        </w:tc>
        <w:tc>
          <w:tcPr>
            <w:tcW w:w="3720" w:type="dxa"/>
            <w:vAlign w:val="bottom"/>
          </w:tcPr>
          <w:p>
            <w:pPr>
              <w:jc w:val="center"/>
              <w:ind w:left="2604"/>
              <w:spacing w:after="0"/>
              <w:rPr>
                <w:sz w:val="20"/>
                <w:szCs w:val="20"/>
                <w:color w:val="auto"/>
              </w:rPr>
            </w:pPr>
            <w:r>
              <w:rPr>
                <w:rFonts w:ascii="Arial" w:cs="Arial" w:eastAsia="Arial" w:hAnsi="Arial"/>
                <w:sz w:val="16"/>
                <w:szCs w:val="16"/>
                <w:color w:val="auto"/>
                <w:w w:val="95"/>
              </w:rPr>
              <w:t>$ 443,000</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$ 443,000</w:t>
            </w:r>
          </w:p>
        </w:tc>
        <w:tc>
          <w:tcPr>
            <w:tcW w:w="132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0"/>
        </w:trPr>
        <w:tc>
          <w:tcPr>
            <w:tcW w:w="4540" w:type="dxa"/>
            <w:vAlign w:val="bottom"/>
            <w:tcBorders>
              <w:bottom w:val="single" w:sz="8" w:color="7F7F7F"/>
            </w:tcBorders>
          </w:tcPr>
          <w:p>
            <w:pPr>
              <w:spacing w:after="0" w:line="20" w:lineRule="exact"/>
              <w:rPr>
                <w:sz w:val="1"/>
                <w:szCs w:val="1"/>
                <w:color w:val="auto"/>
              </w:rPr>
            </w:pPr>
          </w:p>
        </w:tc>
        <w:tc>
          <w:tcPr>
            <w:tcW w:w="3720" w:type="dxa"/>
            <w:vAlign w:val="bottom"/>
            <w:tcBorders>
              <w:bottom w:val="single" w:sz="8" w:color="7F7F7F"/>
            </w:tcBorders>
          </w:tcPr>
          <w:p>
            <w:pPr>
              <w:spacing w:after="0" w:line="20" w:lineRule="exact"/>
              <w:rPr>
                <w:sz w:val="1"/>
                <w:szCs w:val="1"/>
                <w:color w:val="auto"/>
              </w:rPr>
            </w:pPr>
          </w:p>
        </w:tc>
        <w:tc>
          <w:tcPr>
            <w:tcW w:w="1040" w:type="dxa"/>
            <w:vAlign w:val="bottom"/>
            <w:tcBorders>
              <w:bottom w:val="single" w:sz="8" w:color="7F7F7F"/>
            </w:tcBorders>
          </w:tcPr>
          <w:p>
            <w:pPr>
              <w:spacing w:after="0" w:line="20" w:lineRule="exact"/>
              <w:rPr>
                <w:sz w:val="1"/>
                <w:szCs w:val="1"/>
                <w:color w:val="auto"/>
              </w:rPr>
            </w:pPr>
          </w:p>
        </w:tc>
        <w:tc>
          <w:tcPr>
            <w:tcW w:w="1320" w:type="dxa"/>
            <w:vAlign w:val="bottom"/>
            <w:tcBorders>
              <w:bottom w:val="single" w:sz="8" w:color="7F7F7F"/>
            </w:tcBorders>
          </w:tcPr>
          <w:p>
            <w:pPr>
              <w:spacing w:after="0" w:line="20" w:lineRule="exact"/>
              <w:rPr>
                <w:sz w:val="1"/>
                <w:szCs w:val="1"/>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6"/>
                <w:szCs w:val="16"/>
                <w:b w:val="1"/>
                <w:bCs w:val="1"/>
                <w:color w:val="auto"/>
              </w:rPr>
              <w:t>  Vanessa P. Williams</w:t>
            </w:r>
          </w:p>
        </w:tc>
        <w:tc>
          <w:tcPr>
            <w:tcW w:w="3720" w:type="dxa"/>
            <w:vAlign w:val="bottom"/>
          </w:tcPr>
          <w:p>
            <w:pPr>
              <w:jc w:val="center"/>
              <w:ind w:left="2604"/>
              <w:spacing w:after="0"/>
              <w:rPr>
                <w:sz w:val="20"/>
                <w:szCs w:val="20"/>
                <w:color w:val="auto"/>
              </w:rPr>
            </w:pPr>
            <w:r>
              <w:rPr>
                <w:rFonts w:ascii="Arial" w:cs="Arial" w:eastAsia="Arial" w:hAnsi="Arial"/>
                <w:sz w:val="16"/>
                <w:szCs w:val="16"/>
                <w:color w:val="auto"/>
                <w:w w:val="95"/>
              </w:rPr>
              <w:t>$ 414,000</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$ 475,000</w:t>
            </w:r>
          </w:p>
        </w:tc>
        <w:tc>
          <w:tcPr>
            <w:tcW w:w="132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0"/>
        </w:trPr>
        <w:tc>
          <w:tcPr>
            <w:tcW w:w="4540" w:type="dxa"/>
            <w:vAlign w:val="bottom"/>
            <w:tcBorders>
              <w:bottom w:val="single" w:sz="8" w:color="7F7F7F"/>
            </w:tcBorders>
          </w:tcPr>
          <w:p>
            <w:pPr>
              <w:spacing w:after="0" w:line="20" w:lineRule="exact"/>
              <w:rPr>
                <w:sz w:val="1"/>
                <w:szCs w:val="1"/>
                <w:color w:val="auto"/>
              </w:rPr>
            </w:pPr>
          </w:p>
        </w:tc>
        <w:tc>
          <w:tcPr>
            <w:tcW w:w="3720" w:type="dxa"/>
            <w:vAlign w:val="bottom"/>
            <w:tcBorders>
              <w:bottom w:val="single" w:sz="8" w:color="7F7F7F"/>
            </w:tcBorders>
          </w:tcPr>
          <w:p>
            <w:pPr>
              <w:spacing w:after="0" w:line="20" w:lineRule="exact"/>
              <w:rPr>
                <w:sz w:val="1"/>
                <w:szCs w:val="1"/>
                <w:color w:val="auto"/>
              </w:rPr>
            </w:pPr>
          </w:p>
        </w:tc>
        <w:tc>
          <w:tcPr>
            <w:tcW w:w="1040" w:type="dxa"/>
            <w:vAlign w:val="bottom"/>
            <w:tcBorders>
              <w:bottom w:val="single" w:sz="8" w:color="7F7F7F"/>
            </w:tcBorders>
          </w:tcPr>
          <w:p>
            <w:pPr>
              <w:spacing w:after="0" w:line="20" w:lineRule="exact"/>
              <w:rPr>
                <w:sz w:val="1"/>
                <w:szCs w:val="1"/>
                <w:color w:val="auto"/>
              </w:rPr>
            </w:pPr>
          </w:p>
        </w:tc>
        <w:tc>
          <w:tcPr>
            <w:tcW w:w="1320" w:type="dxa"/>
            <w:vAlign w:val="bottom"/>
            <w:tcBorders>
              <w:bottom w:val="single" w:sz="8" w:color="7F7F7F"/>
            </w:tcBorders>
          </w:tcPr>
          <w:p>
            <w:pPr>
              <w:spacing w:after="0" w:line="20" w:lineRule="exact"/>
              <w:rPr>
                <w:sz w:val="1"/>
                <w:szCs w:val="1"/>
                <w:color w:val="auto"/>
              </w:rPr>
            </w:pPr>
          </w:p>
        </w:tc>
      </w:tr>
      <w:tr>
        <w:trPr>
          <w:trHeight w:val="220"/>
        </w:trPr>
        <w:tc>
          <w:tcPr>
            <w:tcW w:w="4540" w:type="dxa"/>
            <w:vAlign w:val="bottom"/>
          </w:tcPr>
          <w:p>
            <w:pPr>
              <w:spacing w:after="0"/>
              <w:rPr>
                <w:sz w:val="20"/>
                <w:szCs w:val="20"/>
                <w:color w:val="auto"/>
              </w:rPr>
            </w:pPr>
            <w:r>
              <w:rPr>
                <w:rFonts w:ascii="Arial" w:cs="Arial" w:eastAsia="Arial" w:hAnsi="Arial"/>
                <w:sz w:val="16"/>
                <w:szCs w:val="16"/>
                <w:b w:val="1"/>
                <w:bCs w:val="1"/>
                <w:color w:val="auto"/>
              </w:rPr>
              <w:t>  Dinette Koolhaas</w:t>
            </w:r>
          </w:p>
        </w:tc>
        <w:tc>
          <w:tcPr>
            <w:tcW w:w="3720" w:type="dxa"/>
            <w:vAlign w:val="bottom"/>
          </w:tcPr>
          <w:p>
            <w:pPr>
              <w:jc w:val="center"/>
              <w:ind w:left="2604"/>
              <w:spacing w:after="0"/>
              <w:rPr>
                <w:sz w:val="20"/>
                <w:szCs w:val="20"/>
                <w:color w:val="auto"/>
              </w:rPr>
            </w:pPr>
            <w:r>
              <w:rPr>
                <w:rFonts w:ascii="Arial" w:cs="Arial" w:eastAsia="Arial" w:hAnsi="Arial"/>
                <w:sz w:val="16"/>
                <w:szCs w:val="16"/>
                <w:color w:val="auto"/>
                <w:w w:val="95"/>
              </w:rPr>
              <w:t>$ 557,668</w:t>
            </w: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$ 557,668</w:t>
            </w:r>
          </w:p>
        </w:tc>
        <w:tc>
          <w:tcPr>
            <w:tcW w:w="132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0"/>
        </w:trPr>
        <w:tc>
          <w:tcPr>
            <w:tcW w:w="4540" w:type="dxa"/>
            <w:vAlign w:val="bottom"/>
            <w:tcBorders>
              <w:bottom w:val="single" w:sz="8" w:color="7F7F7F"/>
            </w:tcBorders>
          </w:tcPr>
          <w:p>
            <w:pPr>
              <w:spacing w:after="0" w:line="20" w:lineRule="exact"/>
              <w:rPr>
                <w:sz w:val="1"/>
                <w:szCs w:val="1"/>
                <w:color w:val="auto"/>
              </w:rPr>
            </w:pPr>
          </w:p>
        </w:tc>
        <w:tc>
          <w:tcPr>
            <w:tcW w:w="3720" w:type="dxa"/>
            <w:vAlign w:val="bottom"/>
            <w:tcBorders>
              <w:bottom w:val="single" w:sz="8" w:color="7F7F7F"/>
            </w:tcBorders>
          </w:tcPr>
          <w:p>
            <w:pPr>
              <w:spacing w:after="0" w:line="20" w:lineRule="exact"/>
              <w:rPr>
                <w:sz w:val="1"/>
                <w:szCs w:val="1"/>
                <w:color w:val="auto"/>
              </w:rPr>
            </w:pPr>
          </w:p>
        </w:tc>
        <w:tc>
          <w:tcPr>
            <w:tcW w:w="1040" w:type="dxa"/>
            <w:vAlign w:val="bottom"/>
            <w:tcBorders>
              <w:bottom w:val="single" w:sz="8" w:color="7F7F7F"/>
            </w:tcBorders>
          </w:tcPr>
          <w:p>
            <w:pPr>
              <w:spacing w:after="0" w:line="20" w:lineRule="exact"/>
              <w:rPr>
                <w:sz w:val="1"/>
                <w:szCs w:val="1"/>
                <w:color w:val="auto"/>
              </w:rPr>
            </w:pPr>
          </w:p>
        </w:tc>
        <w:tc>
          <w:tcPr>
            <w:tcW w:w="1320" w:type="dxa"/>
            <w:vAlign w:val="bottom"/>
            <w:tcBorders>
              <w:bottom w:val="single" w:sz="8" w:color="7F7F7F"/>
            </w:tcBorders>
          </w:tcPr>
          <w:p>
            <w:pPr>
              <w:spacing w:after="0" w:line="20" w:lineRule="exact"/>
              <w:rPr>
                <w:sz w:val="1"/>
                <w:szCs w:val="1"/>
                <w:color w:val="auto"/>
              </w:rPr>
            </w:pPr>
          </w:p>
        </w:tc>
      </w:tr>
      <w:tr>
        <w:trPr>
          <w:trHeight w:val="298"/>
        </w:trPr>
        <w:tc>
          <w:tcPr>
            <w:tcW w:w="4540" w:type="dxa"/>
            <w:vAlign w:val="bottom"/>
          </w:tcPr>
          <w:p>
            <w:pPr>
              <w:spacing w:after="0"/>
              <w:rPr>
                <w:sz w:val="20"/>
                <w:szCs w:val="20"/>
                <w:color w:val="auto"/>
              </w:rPr>
            </w:pPr>
            <w:r>
              <w:rPr>
                <w:rFonts w:ascii="Arial" w:cs="Arial" w:eastAsia="Arial" w:hAnsi="Arial"/>
                <w:sz w:val="16"/>
                <w:szCs w:val="16"/>
                <w:b w:val="1"/>
                <w:bCs w:val="1"/>
                <w:color w:val="auto"/>
              </w:rPr>
              <w:t>Notes:</w:t>
            </w:r>
          </w:p>
        </w:tc>
        <w:tc>
          <w:tcPr>
            <w:tcW w:w="3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86" w:lineRule="exact"/>
        <w:rPr>
          <w:sz w:val="20"/>
          <w:szCs w:val="20"/>
          <w:color w:val="auto"/>
        </w:rPr>
      </w:pPr>
    </w:p>
    <w:p>
      <w:pPr>
        <w:ind w:left="520" w:hanging="316"/>
        <w:spacing w:after="0"/>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Amounts represent base salaries in effect on December 31 of each applicable year;</w:t>
      </w:r>
    </w:p>
    <w:p>
      <w:pPr>
        <w:spacing w:after="0" w:line="76" w:lineRule="exact"/>
        <w:rPr>
          <w:rFonts w:ascii="Arial" w:cs="Arial" w:eastAsia="Arial" w:hAnsi="Arial"/>
          <w:sz w:val="16"/>
          <w:szCs w:val="16"/>
          <w:color w:val="auto"/>
        </w:rPr>
      </w:pPr>
    </w:p>
    <w:p>
      <w:pPr>
        <w:ind w:left="520" w:hanging="316"/>
        <w:spacing w:after="0"/>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increase for Ms. Williams was effective January 1, 2023; and</w:t>
      </w:r>
    </w:p>
    <w:p>
      <w:pPr>
        <w:spacing w:after="0" w:line="76" w:lineRule="exact"/>
        <w:rPr>
          <w:rFonts w:ascii="Arial" w:cs="Arial" w:eastAsia="Arial" w:hAnsi="Arial"/>
          <w:sz w:val="16"/>
          <w:szCs w:val="16"/>
          <w:color w:val="auto"/>
        </w:rPr>
      </w:pPr>
    </w:p>
    <w:p>
      <w:pPr>
        <w:ind w:left="520" w:right="220" w:hanging="316"/>
        <w:spacing w:after="0" w:line="337" w:lineRule="auto"/>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reported for Mr. Thirot and Ms. Koolhaas are converted from Swiss Francs to U.S. Dollars at an exchange rate of 1 CHF = 1.112 USD. This is calculated using the IRS Yearly Average Currency Exchange Rate for Switzerland for 2023 of 0.899 (1 CHF ÷ 0.899 = $1.112).</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Annual Cash Incentive</w:t>
      </w:r>
    </w:p>
    <w:p>
      <w:pPr>
        <w:spacing w:after="0" w:line="63"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The Committee believes that the named executive officers should have a meaningful percentage of their total compensation earned through annual “at risk” performance-based incentives. The percentage of target total compensation at risk under the terms of the STIP increases significantly as the individual executive’s responsibilities and influence on overall corporate performance results increase. The STIP design encourages executives to meet and exceed the Company’s short-term goals that align with overall corporate strategy and improve shareholder value.</w:t>
      </w:r>
    </w:p>
    <w:p>
      <w:pPr>
        <w:spacing w:after="0" w:line="52"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The STIP target opportunity is established as a percentage of each individual’s actual base salary earnings and is targeted near the median Market Data, but may vary based upon individual factors, internal equity, and other considerations. STIP payments can range from 0% to the maximum of 200% of target based on results relative to the goals set at the start of the year. In November 2022, the Committee reviewed the target incentive opportunity for each of the named executive officers and made one change to better align to the Market Data.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2022 and 2023 STIP target opportunities, as a percent of base salary, for our named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460" w:type="dxa"/>
            <w:vAlign w:val="bottom"/>
          </w:tcPr>
          <w:p>
            <w:pPr>
              <w:jc w:val="right"/>
              <w:ind w:right="284"/>
              <w:spacing w:after="0"/>
              <w:rPr>
                <w:sz w:val="20"/>
                <w:szCs w:val="20"/>
                <w:color w:val="auto"/>
              </w:rPr>
            </w:pPr>
            <w:r>
              <w:rPr>
                <w:rFonts w:ascii="Arial" w:cs="Arial" w:eastAsia="Arial" w:hAnsi="Arial"/>
                <w:sz w:val="14"/>
                <w:szCs w:val="14"/>
                <w:b w:val="1"/>
                <w:bCs w:val="1"/>
                <w:color w:val="0A9E50"/>
              </w:rPr>
              <w:t>2022 STIP</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0A9E50"/>
              </w:rPr>
              <w:t>2023 STIP</w:t>
            </w:r>
          </w:p>
        </w:tc>
      </w:tr>
      <w:tr>
        <w:trPr>
          <w:trHeight w:val="192"/>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Named Executive Officer</w:t>
            </w:r>
          </w:p>
        </w:tc>
        <w:tc>
          <w:tcPr>
            <w:tcW w:w="44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0A9E50"/>
              </w:rPr>
              <w:t>Target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A9E50"/>
              </w:rPr>
              <w:t>Target %</w:t>
            </w:r>
          </w:p>
        </w:tc>
      </w:tr>
      <w:tr>
        <w:trPr>
          <w:trHeight w:val="208"/>
        </w:trPr>
        <w:tc>
          <w:tcPr>
            <w:tcW w:w="5160" w:type="dxa"/>
            <w:vAlign w:val="bottom"/>
          </w:tcPr>
          <w:p>
            <w:pPr>
              <w:spacing w:after="0"/>
              <w:rPr>
                <w:sz w:val="20"/>
                <w:szCs w:val="20"/>
                <w:color w:val="auto"/>
              </w:rPr>
            </w:pPr>
            <w:r>
              <w:rPr>
                <w:rFonts w:ascii="Arial" w:cs="Arial" w:eastAsia="Arial" w:hAnsi="Arial"/>
                <w:sz w:val="16"/>
                <w:szCs w:val="16"/>
                <w:b w:val="1"/>
                <w:bCs w:val="1"/>
                <w:color w:val="auto"/>
              </w:rPr>
              <w:t>  Peter W. Quigley</w:t>
            </w:r>
          </w:p>
        </w:tc>
        <w:tc>
          <w:tcPr>
            <w:tcW w:w="4460" w:type="dxa"/>
            <w:vAlign w:val="bottom"/>
          </w:tcPr>
          <w:p>
            <w:pPr>
              <w:jc w:val="right"/>
              <w:ind w:right="284"/>
              <w:spacing w:after="0"/>
              <w:rPr>
                <w:sz w:val="20"/>
                <w:szCs w:val="20"/>
                <w:color w:val="auto"/>
              </w:rPr>
            </w:pPr>
            <w:r>
              <w:rPr>
                <w:rFonts w:ascii="Arial" w:cs="Arial" w:eastAsia="Arial" w:hAnsi="Arial"/>
                <w:sz w:val="16"/>
                <w:szCs w:val="16"/>
                <w:color w:val="auto"/>
              </w:rPr>
              <w:t>110%</w:t>
            </w:r>
          </w:p>
        </w:tc>
        <w:tc>
          <w:tcPr>
            <w:tcW w:w="100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45"/>
        </w:trPr>
        <w:tc>
          <w:tcPr>
            <w:tcW w:w="5160" w:type="dxa"/>
            <w:vAlign w:val="bottom"/>
            <w:tcBorders>
              <w:bottom w:val="single" w:sz="8" w:color="7F7F7F"/>
            </w:tcBorders>
          </w:tcPr>
          <w:p>
            <w:pPr>
              <w:spacing w:after="0"/>
              <w:rPr>
                <w:sz w:val="3"/>
                <w:szCs w:val="3"/>
                <w:color w:val="auto"/>
              </w:rPr>
            </w:pPr>
          </w:p>
        </w:tc>
        <w:tc>
          <w:tcPr>
            <w:tcW w:w="446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6"/>
                <w:szCs w:val="16"/>
                <w:b w:val="1"/>
                <w:bCs w:val="1"/>
                <w:color w:val="auto"/>
              </w:rPr>
              <w:t>  Olivier G. Thirot</w:t>
            </w:r>
          </w:p>
        </w:tc>
        <w:tc>
          <w:tcPr>
            <w:tcW w:w="4460" w:type="dxa"/>
            <w:vAlign w:val="bottom"/>
          </w:tcPr>
          <w:p>
            <w:pPr>
              <w:jc w:val="right"/>
              <w:ind w:right="284"/>
              <w:spacing w:after="0"/>
              <w:rPr>
                <w:sz w:val="20"/>
                <w:szCs w:val="20"/>
                <w:color w:val="auto"/>
              </w:rPr>
            </w:pPr>
            <w:r>
              <w:rPr>
                <w:rFonts w:ascii="Arial" w:cs="Arial" w:eastAsia="Arial" w:hAnsi="Arial"/>
                <w:sz w:val="16"/>
                <w:szCs w:val="16"/>
                <w:color w:val="auto"/>
              </w:rPr>
              <w:t>85%</w:t>
            </w:r>
          </w:p>
        </w:tc>
        <w:tc>
          <w:tcPr>
            <w:tcW w:w="100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45"/>
        </w:trPr>
        <w:tc>
          <w:tcPr>
            <w:tcW w:w="5160" w:type="dxa"/>
            <w:vAlign w:val="bottom"/>
            <w:tcBorders>
              <w:bottom w:val="single" w:sz="8" w:color="7F7F7F"/>
            </w:tcBorders>
          </w:tcPr>
          <w:p>
            <w:pPr>
              <w:spacing w:after="0"/>
              <w:rPr>
                <w:sz w:val="3"/>
                <w:szCs w:val="3"/>
                <w:color w:val="auto"/>
              </w:rPr>
            </w:pPr>
          </w:p>
        </w:tc>
        <w:tc>
          <w:tcPr>
            <w:tcW w:w="446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6"/>
                <w:szCs w:val="16"/>
                <w:b w:val="1"/>
                <w:bCs w:val="1"/>
                <w:color w:val="auto"/>
              </w:rPr>
              <w:t>  Daniel H. Malan</w:t>
            </w:r>
          </w:p>
        </w:tc>
        <w:tc>
          <w:tcPr>
            <w:tcW w:w="4460" w:type="dxa"/>
            <w:vAlign w:val="bottom"/>
          </w:tcPr>
          <w:p>
            <w:pPr>
              <w:jc w:val="right"/>
              <w:ind w:right="284"/>
              <w:spacing w:after="0"/>
              <w:rPr>
                <w:sz w:val="20"/>
                <w:szCs w:val="20"/>
                <w:color w:val="auto"/>
              </w:rPr>
            </w:pPr>
            <w:r>
              <w:rPr>
                <w:rFonts w:ascii="Arial" w:cs="Arial" w:eastAsia="Arial" w:hAnsi="Arial"/>
                <w:sz w:val="16"/>
                <w:szCs w:val="16"/>
                <w:color w:val="auto"/>
              </w:rPr>
              <w:t>55%</w:t>
            </w: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45"/>
        </w:trPr>
        <w:tc>
          <w:tcPr>
            <w:tcW w:w="5160" w:type="dxa"/>
            <w:vAlign w:val="bottom"/>
            <w:tcBorders>
              <w:bottom w:val="single" w:sz="8" w:color="7F7F7F"/>
            </w:tcBorders>
          </w:tcPr>
          <w:p>
            <w:pPr>
              <w:spacing w:after="0"/>
              <w:rPr>
                <w:sz w:val="3"/>
                <w:szCs w:val="3"/>
                <w:color w:val="auto"/>
              </w:rPr>
            </w:pPr>
          </w:p>
        </w:tc>
        <w:tc>
          <w:tcPr>
            <w:tcW w:w="446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6"/>
                <w:szCs w:val="16"/>
                <w:b w:val="1"/>
                <w:bCs w:val="1"/>
                <w:color w:val="auto"/>
              </w:rPr>
              <w:t>  Vanessa P. Williams</w:t>
            </w:r>
          </w:p>
        </w:tc>
        <w:tc>
          <w:tcPr>
            <w:tcW w:w="4460" w:type="dxa"/>
            <w:vAlign w:val="bottom"/>
          </w:tcPr>
          <w:p>
            <w:pPr>
              <w:jc w:val="right"/>
              <w:ind w:right="284"/>
              <w:spacing w:after="0"/>
              <w:rPr>
                <w:sz w:val="20"/>
                <w:szCs w:val="20"/>
                <w:color w:val="auto"/>
              </w:rPr>
            </w:pPr>
            <w:r>
              <w:rPr>
                <w:rFonts w:ascii="Arial" w:cs="Arial" w:eastAsia="Arial" w:hAnsi="Arial"/>
                <w:sz w:val="16"/>
                <w:szCs w:val="16"/>
                <w:color w:val="auto"/>
              </w:rPr>
              <w:t>65%</w:t>
            </w:r>
          </w:p>
        </w:tc>
        <w:tc>
          <w:tcPr>
            <w:tcW w:w="10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45"/>
        </w:trPr>
        <w:tc>
          <w:tcPr>
            <w:tcW w:w="5160" w:type="dxa"/>
            <w:vAlign w:val="bottom"/>
            <w:tcBorders>
              <w:bottom w:val="single" w:sz="8" w:color="7F7F7F"/>
            </w:tcBorders>
          </w:tcPr>
          <w:p>
            <w:pPr>
              <w:spacing w:after="0"/>
              <w:rPr>
                <w:sz w:val="3"/>
                <w:szCs w:val="3"/>
                <w:color w:val="auto"/>
              </w:rPr>
            </w:pPr>
          </w:p>
        </w:tc>
        <w:tc>
          <w:tcPr>
            <w:tcW w:w="4460" w:type="dxa"/>
            <w:vAlign w:val="bottom"/>
            <w:tcBorders>
              <w:bottom w:val="single" w:sz="8" w:color="7F7F7F"/>
            </w:tcBorders>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6"/>
                <w:szCs w:val="16"/>
                <w:b w:val="1"/>
                <w:bCs w:val="1"/>
                <w:color w:val="auto"/>
              </w:rPr>
              <w:t>  Dinette Koolhaas</w:t>
            </w:r>
          </w:p>
        </w:tc>
        <w:tc>
          <w:tcPr>
            <w:tcW w:w="4460" w:type="dxa"/>
            <w:vAlign w:val="bottom"/>
          </w:tcPr>
          <w:p>
            <w:pPr>
              <w:jc w:val="right"/>
              <w:ind w:right="284"/>
              <w:spacing w:after="0"/>
              <w:rPr>
                <w:sz w:val="20"/>
                <w:szCs w:val="20"/>
                <w:color w:val="auto"/>
              </w:rPr>
            </w:pPr>
            <w:r>
              <w:rPr>
                <w:rFonts w:ascii="Arial" w:cs="Arial" w:eastAsia="Arial" w:hAnsi="Arial"/>
                <w:sz w:val="16"/>
                <w:szCs w:val="16"/>
                <w:color w:val="auto"/>
              </w:rPr>
              <w:t>55%</w:t>
            </w: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7405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91" w:lineRule="exact"/>
        <w:rPr>
          <w:sz w:val="20"/>
          <w:szCs w:val="20"/>
          <w:color w:val="auto"/>
        </w:rPr>
      </w:pPr>
    </w:p>
    <w:p>
      <w:pPr>
        <w:ind w:right="200"/>
        <w:spacing w:after="0" w:line="293" w:lineRule="auto"/>
        <w:rPr>
          <w:sz w:val="20"/>
          <w:szCs w:val="20"/>
          <w:color w:val="auto"/>
        </w:rPr>
      </w:pPr>
      <w:r>
        <w:rPr>
          <w:rFonts w:ascii="Arial" w:cs="Arial" w:eastAsia="Arial" w:hAnsi="Arial"/>
          <w:sz w:val="14"/>
          <w:szCs w:val="14"/>
          <w:color w:val="auto"/>
        </w:rPr>
        <w:t>In the months leading up to year-end, the Committee reviews and determines the objectives, performance measures, and other terms and conditions of the STIP for the following plan year. For 2023, the Committee approved the use of Earnings from Operations (“EFO”) as the measure for the corporate component of the STIP. The Committee selected this financial measure for the STIP because it aligned with business objectives and value creation, provided balance, ensured a strong pay-performance linkage, and line of sight for senior officers, including the named executive officers.</w:t>
      </w:r>
    </w:p>
    <w:p>
      <w:pPr>
        <w:spacing w:after="0" w:line="20"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Payout for threshold performance under the corporate component of STIP is set at 50% of a named executive officer’s target payout opportunity, with zero payout earned for performance below threshold. Achievement of target performance results in target payouts for the named executive officers. Performance above target earns incentive payouts above target and up to the maximum of 200% of target.</w:t>
      </w:r>
    </w:p>
    <w:p>
      <w:pPr>
        <w:spacing w:after="0" w:line="34" w:lineRule="exact"/>
        <w:rPr>
          <w:sz w:val="20"/>
          <w:szCs w:val="20"/>
          <w:color w:val="auto"/>
        </w:rPr>
      </w:pPr>
    </w:p>
    <w:p>
      <w:pPr>
        <w:ind w:right="440"/>
        <w:spacing w:after="0" w:line="247" w:lineRule="auto"/>
        <w:rPr>
          <w:sz w:val="20"/>
          <w:szCs w:val="20"/>
          <w:color w:val="auto"/>
        </w:rPr>
      </w:pPr>
      <w:r>
        <w:rPr>
          <w:rFonts w:ascii="Arial" w:cs="Arial" w:eastAsia="Arial" w:hAnsi="Arial"/>
          <w:sz w:val="16"/>
          <w:szCs w:val="16"/>
          <w:color w:val="auto"/>
        </w:rPr>
        <w:t>Performance measures used for purposes of funding STIP are the same as defined in the Company’s GAAP financial statements, excluding at the discretion of the Committee consideration of special items such as: changes in accounting principles, gains or losses on acquisitions or divestitures, changes in budget due to acquisitions or divestitures, restructuring</w:t>
      </w:r>
    </w:p>
    <w:p>
      <w:pPr>
        <w:spacing w:after="0" w:line="1" w:lineRule="exact"/>
        <w:rPr>
          <w:sz w:val="20"/>
          <w:szCs w:val="20"/>
          <w:color w:val="auto"/>
        </w:rPr>
      </w:pPr>
    </w:p>
    <w:p>
      <w:pPr>
        <w:ind w:left="8780"/>
        <w:spacing w:after="0"/>
        <w:tabs>
          <w:tab w:leader="none" w:pos="1002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6308725</wp:posOffset>
            </wp:positionH>
            <wp:positionV relativeFrom="paragraph">
              <wp:posOffset>-222250</wp:posOffset>
            </wp:positionV>
            <wp:extent cx="8255" cy="2228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137" w:lineRule="exact"/>
        <w:rPr>
          <w:sz w:val="20"/>
          <w:szCs w:val="20"/>
          <w:color w:val="auto"/>
        </w:rPr>
      </w:pPr>
    </w:p>
    <w:p>
      <w:pPr>
        <w:ind w:right="480"/>
        <w:spacing w:after="0" w:line="265" w:lineRule="auto"/>
        <w:rPr>
          <w:sz w:val="20"/>
          <w:szCs w:val="20"/>
          <w:color w:val="auto"/>
        </w:rPr>
      </w:pPr>
      <w:r>
        <w:rPr>
          <w:rFonts w:ascii="Arial" w:cs="Arial" w:eastAsia="Arial" w:hAnsi="Arial"/>
          <w:sz w:val="16"/>
          <w:szCs w:val="16"/>
          <w:color w:val="auto"/>
        </w:rPr>
        <w:t>expenses, and other unusual items, which are defined as such and quantified in the financial statements and/or footnotes to the Company’s Annual Report on Form 10-K. Adjustments would apply only to unbudgeted items.</w:t>
      </w:r>
    </w:p>
    <w:p>
      <w:pPr>
        <w:spacing w:after="0" w:line="23"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For 2023, additional consideration was made to certain special items related to the Company’s transformation initiatives and also with the sale of the EMEA staffing operations that resulted in an unfavorable impact to the Company’s financial performance.</w:t>
      </w:r>
    </w:p>
    <w:p>
      <w:pPr>
        <w:spacing w:after="0" w:line="36" w:lineRule="exact"/>
        <w:rPr>
          <w:sz w:val="20"/>
          <w:szCs w:val="20"/>
          <w:color w:val="auto"/>
        </w:rPr>
      </w:pPr>
    </w:p>
    <w:p>
      <w:pPr>
        <w:jc w:val="both"/>
        <w:ind w:right="280"/>
        <w:spacing w:after="0" w:line="251" w:lineRule="auto"/>
        <w:rPr>
          <w:sz w:val="20"/>
          <w:szCs w:val="20"/>
          <w:color w:val="auto"/>
        </w:rPr>
      </w:pPr>
      <w:r>
        <w:rPr>
          <w:rFonts w:ascii="Arial" w:cs="Arial" w:eastAsia="Arial" w:hAnsi="Arial"/>
          <w:sz w:val="16"/>
          <w:szCs w:val="16"/>
          <w:color w:val="auto"/>
        </w:rPr>
        <w:t>In February 2023, the Committee determined and approved threshold, target, and maximum performance goal levels for the 2023 STIP. The threshold goal was set at a level for which the Committee believed it was appropriate to start earning incentives. At expected performance levels the target goal was set at the budgeted EFO. Target award opportunities remained unchanged.</w:t>
      </w:r>
    </w:p>
    <w:p>
      <w:pPr>
        <w:spacing w:after="0" w:line="34"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Maximum goals were set at significant stretch levels, which the Committee believed warranted the earning of 200% of target payouts. For the 2023 STIP, funding for all named executive officers were based 100% on Corporate measures. Straight line interpolation occurs for achievement of performance between the specified EFO goals shown below. Participants also had an individual performance component which is funded (30%) from the Corporate EFO result. The individual performance payout can be adjusted upward or downward based on each leader’s performance against established Objectives, Goals, Strategies, Measures (“OGSMs”) and other financial and non-financial considerations. The goals at threshold, intermediate, target, and maximum for the 2023 STIP, as well as resulting performance for the measure of the corporate component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80" w:type="dxa"/>
            <w:vAlign w:val="bottom"/>
            <w:tcBorders>
              <w:bottom w:val="single" w:sz="8" w:color="auto"/>
            </w:tcBorders>
            <w:gridSpan w:val="3"/>
          </w:tcPr>
          <w:p>
            <w:pPr>
              <w:jc w:val="center"/>
              <w:ind w:left="28"/>
              <w:spacing w:after="0"/>
              <w:rPr>
                <w:sz w:val="20"/>
                <w:szCs w:val="20"/>
                <w:color w:val="auto"/>
              </w:rPr>
            </w:pPr>
            <w:r>
              <w:rPr>
                <w:rFonts w:ascii="Arial" w:cs="Arial" w:eastAsia="Arial" w:hAnsi="Arial"/>
                <w:sz w:val="14"/>
                <w:szCs w:val="14"/>
                <w:b w:val="1"/>
                <w:bCs w:val="1"/>
                <w:color w:val="0A9E50"/>
                <w:w w:val="99"/>
              </w:rPr>
              <w:t>2023 Performance Goals</w:t>
            </w: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0"/>
        </w:trPr>
        <w:tc>
          <w:tcPr>
            <w:tcW w:w="3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80" w:type="dxa"/>
            <w:vAlign w:val="bottom"/>
          </w:tcPr>
          <w:p>
            <w:pPr>
              <w:ind w:left="200"/>
              <w:spacing w:after="0" w:line="140" w:lineRule="exact"/>
              <w:rPr>
                <w:sz w:val="20"/>
                <w:szCs w:val="20"/>
                <w:color w:val="auto"/>
              </w:rPr>
            </w:pPr>
            <w:r>
              <w:rPr>
                <w:rFonts w:ascii="Arial" w:cs="Arial" w:eastAsia="Arial" w:hAnsi="Arial"/>
                <w:sz w:val="14"/>
                <w:szCs w:val="14"/>
                <w:b w:val="1"/>
                <w:bCs w:val="1"/>
                <w:color w:val="0A9E50"/>
              </w:rPr>
              <w:t>Threshold</w:t>
            </w:r>
          </w:p>
        </w:tc>
        <w:tc>
          <w:tcPr>
            <w:tcW w:w="860" w:type="dxa"/>
            <w:vAlign w:val="bottom"/>
          </w:tcPr>
          <w:p>
            <w:pPr>
              <w:jc w:val="center"/>
              <w:spacing w:after="0" w:line="140" w:lineRule="exact"/>
              <w:rPr>
                <w:sz w:val="20"/>
                <w:szCs w:val="20"/>
                <w:color w:val="auto"/>
              </w:rPr>
            </w:pPr>
            <w:r>
              <w:rPr>
                <w:rFonts w:ascii="Arial" w:cs="Arial" w:eastAsia="Arial" w:hAnsi="Arial"/>
                <w:sz w:val="14"/>
                <w:szCs w:val="14"/>
                <w:b w:val="1"/>
                <w:bCs w:val="1"/>
                <w:color w:val="0A9E50"/>
                <w:w w:val="98"/>
              </w:rPr>
              <w:t>Target</w:t>
            </w:r>
          </w:p>
        </w:tc>
        <w:tc>
          <w:tcPr>
            <w:tcW w:w="940" w:type="dxa"/>
            <w:vAlign w:val="bottom"/>
          </w:tcPr>
          <w:p>
            <w:pPr>
              <w:ind w:left="200"/>
              <w:spacing w:after="0" w:line="140" w:lineRule="exact"/>
              <w:rPr>
                <w:sz w:val="20"/>
                <w:szCs w:val="20"/>
                <w:color w:val="auto"/>
              </w:rPr>
            </w:pPr>
            <w:r>
              <w:rPr>
                <w:rFonts w:ascii="Arial" w:cs="Arial" w:eastAsia="Arial" w:hAnsi="Arial"/>
                <w:sz w:val="14"/>
                <w:szCs w:val="14"/>
                <w:b w:val="1"/>
                <w:bCs w:val="1"/>
                <w:color w:val="0A9E50"/>
              </w:rPr>
              <w:t>Maximum</w:t>
            </w:r>
          </w:p>
        </w:tc>
        <w:tc>
          <w:tcPr>
            <w:tcW w:w="1420" w:type="dxa"/>
            <w:vAlign w:val="bottom"/>
          </w:tcPr>
          <w:p>
            <w:pPr>
              <w:jc w:val="right"/>
              <w:ind w:right="408"/>
              <w:spacing w:after="0" w:line="140" w:lineRule="exact"/>
              <w:rPr>
                <w:sz w:val="20"/>
                <w:szCs w:val="20"/>
                <w:color w:val="auto"/>
              </w:rPr>
            </w:pPr>
            <w:r>
              <w:rPr>
                <w:rFonts w:ascii="Arial" w:cs="Arial" w:eastAsia="Arial" w:hAnsi="Arial"/>
                <w:sz w:val="14"/>
                <w:szCs w:val="14"/>
                <w:b w:val="1"/>
                <w:bCs w:val="1"/>
                <w:color w:val="0A9E50"/>
              </w:rPr>
              <w:t>2023</w:t>
            </w:r>
          </w:p>
        </w:tc>
        <w:tc>
          <w:tcPr>
            <w:tcW w:w="780" w:type="dxa"/>
            <w:vAlign w:val="bottom"/>
          </w:tcPr>
          <w:p>
            <w:pPr>
              <w:jc w:val="center"/>
              <w:ind w:left="66"/>
              <w:spacing w:after="0" w:line="140" w:lineRule="exact"/>
              <w:rPr>
                <w:sz w:val="20"/>
                <w:szCs w:val="20"/>
                <w:color w:val="auto"/>
              </w:rPr>
            </w:pPr>
            <w:r>
              <w:rPr>
                <w:rFonts w:ascii="Arial" w:cs="Arial" w:eastAsia="Arial" w:hAnsi="Arial"/>
                <w:sz w:val="14"/>
                <w:szCs w:val="14"/>
                <w:b w:val="1"/>
                <w:bCs w:val="1"/>
                <w:color w:val="0A9E50"/>
              </w:rPr>
              <w:t>2023</w:t>
            </w:r>
          </w:p>
        </w:tc>
      </w:tr>
      <w:tr>
        <w:trPr>
          <w:trHeight w:val="192"/>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Corporate Component</w:t>
            </w:r>
          </w:p>
        </w:tc>
        <w:tc>
          <w:tcPr>
            <w:tcW w:w="2400" w:type="dxa"/>
            <w:vAlign w:val="bottom"/>
            <w:tcBorders>
              <w:bottom w:val="single" w:sz="8" w:color="auto"/>
            </w:tcBorders>
          </w:tcPr>
          <w:p>
            <w:pPr>
              <w:jc w:val="center"/>
              <w:ind w:left="1426"/>
              <w:spacing w:after="0"/>
              <w:rPr>
                <w:sz w:val="20"/>
                <w:szCs w:val="20"/>
                <w:color w:val="auto"/>
              </w:rPr>
            </w:pPr>
            <w:r>
              <w:rPr>
                <w:rFonts w:ascii="Arial" w:cs="Arial" w:eastAsia="Arial" w:hAnsi="Arial"/>
                <w:sz w:val="14"/>
                <w:szCs w:val="14"/>
                <w:b w:val="1"/>
                <w:bCs w:val="1"/>
                <w:color w:val="0A9E50"/>
                <w:w w:val="97"/>
              </w:rPr>
              <w:t>Weighting</w:t>
            </w: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0A9E50"/>
              </w:rPr>
              <w:t>50%</w:t>
            </w: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0A9E50"/>
              </w:rPr>
              <w:t>100%</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0A9E50"/>
              </w:rPr>
              <w:t>200%</w:t>
            </w:r>
          </w:p>
        </w:tc>
        <w:tc>
          <w:tcPr>
            <w:tcW w:w="14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0A9E50"/>
              </w:rPr>
              <w:t>Performance</w:t>
            </w: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0A9E50"/>
              </w:rPr>
              <w:t>Payout</w:t>
            </w:r>
          </w:p>
        </w:tc>
      </w:tr>
      <w:tr>
        <w:trPr>
          <w:trHeight w:val="207"/>
        </w:trPr>
        <w:tc>
          <w:tcPr>
            <w:tcW w:w="314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EFO</w:t>
            </w:r>
          </w:p>
        </w:tc>
        <w:tc>
          <w:tcPr>
            <w:tcW w:w="2400" w:type="dxa"/>
            <w:vAlign w:val="bottom"/>
            <w:tcBorders>
              <w:bottom w:val="single" w:sz="8" w:color="7F7F7F"/>
            </w:tcBorders>
          </w:tcPr>
          <w:p>
            <w:pPr>
              <w:jc w:val="right"/>
              <w:ind w:right="166"/>
              <w:spacing w:after="0"/>
              <w:rPr>
                <w:sz w:val="20"/>
                <w:szCs w:val="20"/>
                <w:color w:val="auto"/>
              </w:rPr>
            </w:pPr>
            <w:r>
              <w:rPr>
                <w:rFonts w:ascii="Arial" w:cs="Arial" w:eastAsia="Arial" w:hAnsi="Arial"/>
                <w:sz w:val="16"/>
                <w:szCs w:val="16"/>
                <w:color w:val="auto"/>
              </w:rPr>
              <w:t>100%</w:t>
            </w:r>
          </w:p>
        </w:tc>
        <w:tc>
          <w:tcPr>
            <w:tcW w:w="1080" w:type="dxa"/>
            <w:vAlign w:val="bottom"/>
            <w:tcBorders>
              <w:bottom w:val="single" w:sz="8" w:color="7F7F7F"/>
            </w:tcBorders>
          </w:tcPr>
          <w:p>
            <w:pPr>
              <w:jc w:val="right"/>
              <w:ind w:right="228"/>
              <w:spacing w:after="0"/>
              <w:rPr>
                <w:sz w:val="20"/>
                <w:szCs w:val="20"/>
                <w:color w:val="auto"/>
              </w:rPr>
            </w:pPr>
            <w:r>
              <w:rPr>
                <w:rFonts w:ascii="Arial" w:cs="Arial" w:eastAsia="Arial" w:hAnsi="Arial"/>
                <w:sz w:val="16"/>
                <w:szCs w:val="16"/>
                <w:color w:val="auto"/>
              </w:rPr>
              <w:t>$52.50</w:t>
            </w:r>
          </w:p>
        </w:tc>
        <w:tc>
          <w:tcPr>
            <w:tcW w:w="860" w:type="dxa"/>
            <w:vAlign w:val="bottom"/>
            <w:tcBorders>
              <w:bottom w:val="single" w:sz="8" w:color="7F7F7F"/>
            </w:tcBorders>
          </w:tcPr>
          <w:p>
            <w:pPr>
              <w:jc w:val="right"/>
              <w:ind w:right="128"/>
              <w:spacing w:after="0"/>
              <w:rPr>
                <w:sz w:val="20"/>
                <w:szCs w:val="20"/>
                <w:color w:val="auto"/>
              </w:rPr>
            </w:pPr>
            <w:r>
              <w:rPr>
                <w:rFonts w:ascii="Arial" w:cs="Arial" w:eastAsia="Arial" w:hAnsi="Arial"/>
                <w:sz w:val="16"/>
                <w:szCs w:val="16"/>
                <w:color w:val="auto"/>
              </w:rPr>
              <w:t>$75.00</w:t>
            </w:r>
          </w:p>
        </w:tc>
        <w:tc>
          <w:tcPr>
            <w:tcW w:w="940" w:type="dxa"/>
            <w:vAlign w:val="bottom"/>
            <w:tcBorders>
              <w:bottom w:val="single" w:sz="8" w:color="7F7F7F"/>
            </w:tcBorders>
          </w:tcPr>
          <w:p>
            <w:pPr>
              <w:jc w:val="right"/>
              <w:ind w:right="108"/>
              <w:spacing w:after="0"/>
              <w:rPr>
                <w:sz w:val="20"/>
                <w:szCs w:val="20"/>
                <w:color w:val="auto"/>
              </w:rPr>
            </w:pPr>
            <w:r>
              <w:rPr>
                <w:rFonts w:ascii="Arial" w:cs="Arial" w:eastAsia="Arial" w:hAnsi="Arial"/>
                <w:sz w:val="16"/>
                <w:szCs w:val="16"/>
                <w:color w:val="auto"/>
              </w:rPr>
              <w:t>$97.50</w:t>
            </w:r>
          </w:p>
        </w:tc>
        <w:tc>
          <w:tcPr>
            <w:tcW w:w="1420" w:type="dxa"/>
            <w:vAlign w:val="bottom"/>
            <w:tcBorders>
              <w:bottom w:val="single" w:sz="8" w:color="7F7F7F"/>
            </w:tcBorders>
          </w:tcPr>
          <w:p>
            <w:pPr>
              <w:jc w:val="right"/>
              <w:ind w:right="328"/>
              <w:spacing w:after="0"/>
              <w:rPr>
                <w:sz w:val="20"/>
                <w:szCs w:val="20"/>
                <w:color w:val="auto"/>
              </w:rPr>
            </w:pPr>
            <w:r>
              <w:rPr>
                <w:rFonts w:ascii="Arial" w:cs="Arial" w:eastAsia="Arial" w:hAnsi="Arial"/>
                <w:sz w:val="16"/>
                <w:szCs w:val="16"/>
                <w:color w:val="auto"/>
              </w:rPr>
              <w:t>$72.30</w:t>
            </w:r>
          </w:p>
        </w:tc>
        <w:tc>
          <w:tcPr>
            <w:tcW w:w="780" w:type="dxa"/>
            <w:vAlign w:val="bottom"/>
            <w:tcBorders>
              <w:bottom w:val="single" w:sz="8" w:color="7F7F7F"/>
            </w:tcBorders>
          </w:tcPr>
          <w:p>
            <w:pPr>
              <w:jc w:val="center"/>
              <w:ind w:left="66"/>
              <w:spacing w:after="0"/>
              <w:rPr>
                <w:sz w:val="20"/>
                <w:szCs w:val="20"/>
                <w:color w:val="auto"/>
              </w:rPr>
            </w:pPr>
            <w:r>
              <w:rPr>
                <w:rFonts w:ascii="Arial" w:cs="Arial" w:eastAsia="Arial" w:hAnsi="Arial"/>
                <w:sz w:val="16"/>
                <w:szCs w:val="16"/>
                <w:color w:val="auto"/>
                <w:w w:val="96"/>
              </w:rPr>
              <w:t>94.0%</w:t>
            </w:r>
          </w:p>
        </w:tc>
      </w:tr>
      <w:tr>
        <w:trPr>
          <w:trHeight w:val="218"/>
        </w:trPr>
        <w:tc>
          <w:tcPr>
            <w:tcW w:w="3140" w:type="dxa"/>
            <w:vAlign w:val="bottom"/>
            <w:tcBorders>
              <w:bottom w:val="single" w:sz="8" w:color="7F7F7F"/>
            </w:tcBorders>
          </w:tcPr>
          <w:p>
            <w:pPr>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in millions</w:t>
            </w:r>
          </w:p>
        </w:tc>
        <w:tc>
          <w:tcPr>
            <w:tcW w:w="2400" w:type="dxa"/>
            <w:vAlign w:val="bottom"/>
            <w:tcBorders>
              <w:bottom w:val="single" w:sz="8" w:color="7F7F7F"/>
            </w:tcBorders>
          </w:tcPr>
          <w:p>
            <w:pPr>
              <w:spacing w:after="0"/>
              <w:rPr>
                <w:sz w:val="18"/>
                <w:szCs w:val="18"/>
                <w:color w:val="auto"/>
              </w:rPr>
            </w:pPr>
          </w:p>
        </w:tc>
        <w:tc>
          <w:tcPr>
            <w:tcW w:w="1080" w:type="dxa"/>
            <w:vAlign w:val="bottom"/>
            <w:tcBorders>
              <w:bottom w:val="single" w:sz="8" w:color="7F7F7F"/>
            </w:tcBorders>
          </w:tcPr>
          <w:p>
            <w:pPr>
              <w:spacing w:after="0"/>
              <w:rPr>
                <w:sz w:val="18"/>
                <w:szCs w:val="18"/>
                <w:color w:val="auto"/>
              </w:rPr>
            </w:pPr>
          </w:p>
        </w:tc>
        <w:tc>
          <w:tcPr>
            <w:tcW w:w="860" w:type="dxa"/>
            <w:vAlign w:val="bottom"/>
            <w:tcBorders>
              <w:bottom w:val="single" w:sz="8" w:color="7F7F7F"/>
            </w:tcBorders>
          </w:tcPr>
          <w:p>
            <w:pPr>
              <w:spacing w:after="0"/>
              <w:rPr>
                <w:sz w:val="18"/>
                <w:szCs w:val="18"/>
                <w:color w:val="auto"/>
              </w:rPr>
            </w:pPr>
          </w:p>
        </w:tc>
        <w:tc>
          <w:tcPr>
            <w:tcW w:w="940" w:type="dxa"/>
            <w:vAlign w:val="bottom"/>
            <w:tcBorders>
              <w:bottom w:val="single" w:sz="8" w:color="7F7F7F"/>
            </w:tcBorders>
          </w:tcPr>
          <w:p>
            <w:pPr>
              <w:spacing w:after="0"/>
              <w:rPr>
                <w:sz w:val="18"/>
                <w:szCs w:val="18"/>
                <w:color w:val="auto"/>
              </w:rPr>
            </w:pPr>
          </w:p>
        </w:tc>
        <w:tc>
          <w:tcPr>
            <w:tcW w:w="1420" w:type="dxa"/>
            <w:vAlign w:val="bottom"/>
            <w:tcBorders>
              <w:bottom w:val="single" w:sz="8" w:color="7F7F7F"/>
            </w:tcBorders>
          </w:tcPr>
          <w:p>
            <w:pPr>
              <w:spacing w:after="0"/>
              <w:rPr>
                <w:sz w:val="18"/>
                <w:szCs w:val="18"/>
                <w:color w:val="auto"/>
              </w:rPr>
            </w:pPr>
          </w:p>
        </w:tc>
        <w:tc>
          <w:tcPr>
            <w:tcW w:w="780" w:type="dxa"/>
            <w:vAlign w:val="bottom"/>
            <w:tcBorders>
              <w:bottom w:val="single" w:sz="8" w:color="7F7F7F"/>
            </w:tcBorders>
          </w:tcPr>
          <w:p>
            <w:pPr>
              <w:jc w:val="center"/>
              <w:ind w:left="66"/>
              <w:spacing w:after="0"/>
              <w:rPr>
                <w:sz w:val="20"/>
                <w:szCs w:val="20"/>
                <w:color w:val="auto"/>
              </w:rPr>
            </w:pPr>
            <w:r>
              <w:rPr>
                <w:rFonts w:ascii="Arial" w:cs="Arial" w:eastAsia="Arial" w:hAnsi="Arial"/>
                <w:sz w:val="16"/>
                <w:szCs w:val="16"/>
                <w:b w:val="1"/>
                <w:bCs w:val="1"/>
                <w:color w:val="auto"/>
                <w:w w:val="96"/>
              </w:rPr>
              <w:t>94.0%</w:t>
            </w:r>
          </w:p>
        </w:tc>
      </w:tr>
    </w:tbl>
    <w:p>
      <w:pPr>
        <w:spacing w:after="0" w:line="53"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Under the terms of the STIP, the Committee retains the right in its discretion to adjust a STIP award based on Company, business unit, or individual performance. The Committee has no discretion to increase a STIP award for named executive officers, outside of the aforementioned parameters. STIP awards made in 2023 to named executive officers are subject to the Company’s Clawback Policy.</w:t>
      </w:r>
    </w:p>
    <w:p>
      <w:pPr>
        <w:spacing w:after="0" w:line="4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Based on these performance results, at its February 13, 2024 meeting, the Committee reviewed and approved payments to the named executive officers in accordance with the STIP provisions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A9E50"/>
                <w:w w:val="96"/>
              </w:rPr>
              <w:t>2023 STIP</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A9E50"/>
                <w:w w:val="97"/>
              </w:rPr>
              <w:t>2023 Payout</w:t>
            </w: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56"/>
        </w:trPr>
        <w:tc>
          <w:tcPr>
            <w:tcW w:w="3300" w:type="dxa"/>
            <w:vAlign w:val="bottom"/>
          </w:tcPr>
          <w:p>
            <w:pPr>
              <w:spacing w:after="0"/>
              <w:rPr>
                <w:sz w:val="13"/>
                <w:szCs w:val="13"/>
                <w:color w:val="auto"/>
              </w:rPr>
            </w:pPr>
          </w:p>
        </w:tc>
        <w:tc>
          <w:tcPr>
            <w:tcW w:w="2580" w:type="dxa"/>
            <w:vAlign w:val="bottom"/>
          </w:tcPr>
          <w:p>
            <w:pPr>
              <w:ind w:left="1600"/>
              <w:spacing w:after="0" w:line="156" w:lineRule="exact"/>
              <w:rPr>
                <w:sz w:val="20"/>
                <w:szCs w:val="20"/>
                <w:color w:val="auto"/>
              </w:rPr>
            </w:pPr>
            <w:r>
              <w:rPr>
                <w:rFonts w:ascii="Arial" w:cs="Arial" w:eastAsia="Arial" w:hAnsi="Arial"/>
                <w:sz w:val="14"/>
                <w:szCs w:val="14"/>
                <w:b w:val="1"/>
                <w:bCs w:val="1"/>
                <w:color w:val="0A9E50"/>
              </w:rPr>
              <w:t>2023 Base</w:t>
            </w: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6"/>
              </w:rPr>
              <w:t>Target as</w:t>
            </w:r>
          </w:p>
        </w:tc>
        <w:tc>
          <w:tcPr>
            <w:tcW w:w="1280" w:type="dxa"/>
            <w:vAlign w:val="bottom"/>
            <w:gridSpan w:val="2"/>
          </w:tcPr>
          <w:p>
            <w:pPr>
              <w:jc w:val="center"/>
              <w:ind w:right="43"/>
              <w:spacing w:after="0" w:line="156" w:lineRule="exact"/>
              <w:rPr>
                <w:sz w:val="20"/>
                <w:szCs w:val="20"/>
                <w:color w:val="auto"/>
              </w:rPr>
            </w:pPr>
            <w:r>
              <w:rPr>
                <w:rFonts w:ascii="Arial" w:cs="Arial" w:eastAsia="Arial" w:hAnsi="Arial"/>
                <w:sz w:val="14"/>
                <w:szCs w:val="14"/>
                <w:b w:val="1"/>
                <w:bCs w:val="1"/>
                <w:color w:val="0A9E50"/>
                <w:w w:val="96"/>
              </w:rPr>
              <w:t>2023 STIP</w:t>
            </w:r>
          </w:p>
        </w:tc>
        <w:tc>
          <w:tcPr>
            <w:tcW w:w="130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rPr>
              <w:t>as a</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6"/>
        </w:trPr>
        <w:tc>
          <w:tcPr>
            <w:tcW w:w="3300" w:type="dxa"/>
            <w:vAlign w:val="bottom"/>
          </w:tcPr>
          <w:p>
            <w:pPr>
              <w:spacing w:after="0"/>
              <w:rPr>
                <w:sz w:val="13"/>
                <w:szCs w:val="13"/>
                <w:color w:val="auto"/>
              </w:rPr>
            </w:pPr>
          </w:p>
        </w:tc>
        <w:tc>
          <w:tcPr>
            <w:tcW w:w="2580" w:type="dxa"/>
            <w:vAlign w:val="bottom"/>
          </w:tcPr>
          <w:p>
            <w:pPr>
              <w:ind w:left="1740"/>
              <w:spacing w:after="0" w:line="156" w:lineRule="exact"/>
              <w:rPr>
                <w:sz w:val="20"/>
                <w:szCs w:val="20"/>
                <w:color w:val="auto"/>
              </w:rPr>
            </w:pPr>
            <w:r>
              <w:rPr>
                <w:rFonts w:ascii="Arial" w:cs="Arial" w:eastAsia="Arial" w:hAnsi="Arial"/>
                <w:sz w:val="14"/>
                <w:szCs w:val="14"/>
                <w:b w:val="1"/>
                <w:bCs w:val="1"/>
                <w:color w:val="0A9E50"/>
              </w:rPr>
              <w:t>Salary</w:t>
            </w:r>
          </w:p>
        </w:tc>
        <w:tc>
          <w:tcPr>
            <w:tcW w:w="114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4"/>
              </w:rPr>
              <w:t>% of</w:t>
            </w:r>
          </w:p>
        </w:tc>
        <w:tc>
          <w:tcPr>
            <w:tcW w:w="1280" w:type="dxa"/>
            <w:vAlign w:val="bottom"/>
            <w:gridSpan w:val="2"/>
          </w:tcPr>
          <w:p>
            <w:pPr>
              <w:jc w:val="center"/>
              <w:ind w:right="43"/>
              <w:spacing w:after="0" w:line="156" w:lineRule="exact"/>
              <w:rPr>
                <w:sz w:val="20"/>
                <w:szCs w:val="20"/>
                <w:color w:val="auto"/>
              </w:rPr>
            </w:pPr>
            <w:r>
              <w:rPr>
                <w:rFonts w:ascii="Arial" w:cs="Arial" w:eastAsia="Arial" w:hAnsi="Arial"/>
                <w:sz w:val="14"/>
                <w:szCs w:val="14"/>
                <w:b w:val="1"/>
                <w:bCs w:val="1"/>
                <w:color w:val="0A9E50"/>
              </w:rPr>
              <w:t>Payout at</w:t>
            </w:r>
          </w:p>
        </w:tc>
        <w:tc>
          <w:tcPr>
            <w:tcW w:w="130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rPr>
              <w:t>Percentage</w:t>
            </w:r>
          </w:p>
        </w:tc>
        <w:tc>
          <w:tcPr>
            <w:tcW w:w="1020" w:type="dxa"/>
            <w:vAlign w:val="bottom"/>
            <w:gridSpan w:val="2"/>
          </w:tcPr>
          <w:p>
            <w:pPr>
              <w:jc w:val="right"/>
              <w:ind w:right="23"/>
              <w:spacing w:after="0" w:line="156" w:lineRule="exact"/>
              <w:rPr>
                <w:sz w:val="20"/>
                <w:szCs w:val="20"/>
                <w:color w:val="auto"/>
              </w:rPr>
            </w:pPr>
            <w:r>
              <w:rPr>
                <w:rFonts w:ascii="Arial" w:cs="Arial" w:eastAsia="Arial" w:hAnsi="Arial"/>
                <w:sz w:val="14"/>
                <w:szCs w:val="14"/>
                <w:b w:val="1"/>
                <w:bCs w:val="1"/>
                <w:color w:val="0A9E50"/>
              </w:rPr>
              <w:t>2023 STIP</w:t>
            </w:r>
          </w:p>
        </w:tc>
      </w:tr>
      <w:tr>
        <w:trPr>
          <w:trHeight w:val="192"/>
        </w:trPr>
        <w:tc>
          <w:tcPr>
            <w:tcW w:w="3300" w:type="dxa"/>
            <w:vAlign w:val="bottom"/>
          </w:tcPr>
          <w:p>
            <w:pPr>
              <w:ind w:left="60"/>
              <w:spacing w:after="0"/>
              <w:rPr>
                <w:sz w:val="20"/>
                <w:szCs w:val="20"/>
                <w:color w:val="auto"/>
              </w:rPr>
            </w:pPr>
            <w:r>
              <w:rPr>
                <w:rFonts w:ascii="Arial" w:cs="Arial" w:eastAsia="Arial" w:hAnsi="Arial"/>
                <w:sz w:val="14"/>
                <w:szCs w:val="14"/>
                <w:b w:val="1"/>
                <w:bCs w:val="1"/>
                <w:color w:val="0A9E50"/>
              </w:rPr>
              <w:t>Named Executive Officer</w:t>
            </w:r>
          </w:p>
        </w:tc>
        <w:tc>
          <w:tcPr>
            <w:tcW w:w="2580" w:type="dxa"/>
            <w:vAlign w:val="bottom"/>
          </w:tcPr>
          <w:p>
            <w:pPr>
              <w:ind w:left="1640"/>
              <w:spacing w:after="0"/>
              <w:rPr>
                <w:sz w:val="20"/>
                <w:szCs w:val="20"/>
                <w:color w:val="auto"/>
              </w:rPr>
            </w:pPr>
            <w:r>
              <w:rPr>
                <w:rFonts w:ascii="Arial" w:cs="Arial" w:eastAsia="Arial" w:hAnsi="Arial"/>
                <w:sz w:val="14"/>
                <w:szCs w:val="14"/>
                <w:b w:val="1"/>
                <w:bCs w:val="1"/>
                <w:color w:val="0A9E50"/>
              </w:rPr>
              <w:t>Earnings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A9E50"/>
                <w:w w:val="95"/>
              </w:rPr>
              <w:t>Salary</w:t>
            </w:r>
          </w:p>
        </w:tc>
        <w:tc>
          <w:tcPr>
            <w:tcW w:w="300" w:type="dxa"/>
            <w:vAlign w:val="bottom"/>
          </w:tcPr>
          <w:p>
            <w:pPr>
              <w:spacing w:after="0"/>
              <w:rPr>
                <w:sz w:val="16"/>
                <w:szCs w:val="16"/>
                <w:color w:val="auto"/>
              </w:rPr>
            </w:pPr>
          </w:p>
        </w:tc>
        <w:tc>
          <w:tcPr>
            <w:tcW w:w="980" w:type="dxa"/>
            <w:vAlign w:val="bottom"/>
          </w:tcPr>
          <w:p>
            <w:pPr>
              <w:jc w:val="center"/>
              <w:ind w:right="343"/>
              <w:spacing w:after="0"/>
              <w:rPr>
                <w:sz w:val="20"/>
                <w:szCs w:val="20"/>
                <w:color w:val="auto"/>
              </w:rPr>
            </w:pPr>
            <w:r>
              <w:rPr>
                <w:rFonts w:ascii="Arial" w:cs="Arial" w:eastAsia="Arial" w:hAnsi="Arial"/>
                <w:sz w:val="14"/>
                <w:szCs w:val="14"/>
                <w:b w:val="1"/>
                <w:bCs w:val="1"/>
                <w:color w:val="0A9E50"/>
                <w:w w:val="93"/>
              </w:rPr>
              <w:t>Target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A9E50"/>
              </w:rPr>
              <w:t>of Target</w:t>
            </w:r>
          </w:p>
        </w:tc>
        <w:tc>
          <w:tcPr>
            <w:tcW w:w="320" w:type="dxa"/>
            <w:vAlign w:val="bottom"/>
          </w:tcPr>
          <w:p>
            <w:pPr>
              <w:spacing w:after="0"/>
              <w:rPr>
                <w:sz w:val="16"/>
                <w:szCs w:val="16"/>
                <w:color w:val="auto"/>
              </w:rPr>
            </w:pPr>
          </w:p>
        </w:tc>
        <w:tc>
          <w:tcPr>
            <w:tcW w:w="700" w:type="dxa"/>
            <w:vAlign w:val="bottom"/>
          </w:tcPr>
          <w:p>
            <w:pPr>
              <w:jc w:val="right"/>
              <w:ind w:right="123"/>
              <w:spacing w:after="0"/>
              <w:rPr>
                <w:sz w:val="20"/>
                <w:szCs w:val="20"/>
                <w:color w:val="auto"/>
              </w:rPr>
            </w:pPr>
            <w:r>
              <w:rPr>
                <w:rFonts w:ascii="Arial" w:cs="Arial" w:eastAsia="Arial" w:hAnsi="Arial"/>
                <w:sz w:val="14"/>
                <w:szCs w:val="14"/>
                <w:b w:val="1"/>
                <w:bCs w:val="1"/>
                <w:color w:val="0A9E50"/>
              </w:rPr>
              <w:t>Payout</w:t>
            </w:r>
          </w:p>
        </w:tc>
      </w:tr>
      <w:tr>
        <w:trPr>
          <w:trHeight w:val="26"/>
        </w:trPr>
        <w:tc>
          <w:tcPr>
            <w:tcW w:w="3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6"/>
        </w:trPr>
        <w:tc>
          <w:tcPr>
            <w:tcW w:w="3300" w:type="dxa"/>
            <w:vAlign w:val="bottom"/>
          </w:tcPr>
          <w:p>
            <w:pPr>
              <w:ind w:left="60"/>
              <w:spacing w:after="0"/>
              <w:rPr>
                <w:sz w:val="20"/>
                <w:szCs w:val="20"/>
                <w:color w:val="auto"/>
              </w:rPr>
            </w:pPr>
            <w:r>
              <w:rPr>
                <w:rFonts w:ascii="Arial" w:cs="Arial" w:eastAsia="Arial" w:hAnsi="Arial"/>
                <w:sz w:val="16"/>
                <w:szCs w:val="16"/>
                <w:b w:val="1"/>
                <w:bCs w:val="1"/>
                <w:color w:val="auto"/>
              </w:rPr>
              <w:t>Peter W. Quigley</w:t>
            </w:r>
          </w:p>
        </w:tc>
        <w:tc>
          <w:tcPr>
            <w:tcW w:w="2580" w:type="dxa"/>
            <w:vAlign w:val="bottom"/>
          </w:tcPr>
          <w:p>
            <w:pPr>
              <w:ind w:left="1640"/>
              <w:spacing w:after="0"/>
              <w:rPr>
                <w:sz w:val="20"/>
                <w:szCs w:val="20"/>
                <w:color w:val="auto"/>
              </w:rPr>
            </w:pPr>
            <w:r>
              <w:rPr>
                <w:rFonts w:ascii="Arial" w:cs="Arial" w:eastAsia="Arial" w:hAnsi="Arial"/>
                <w:sz w:val="16"/>
                <w:szCs w:val="16"/>
                <w:color w:val="auto"/>
              </w:rPr>
              <w:t>$900,000</w:t>
            </w:r>
          </w:p>
        </w:tc>
        <w:tc>
          <w:tcPr>
            <w:tcW w:w="1140" w:type="dxa"/>
            <w:vAlign w:val="bottom"/>
          </w:tcPr>
          <w:p>
            <w:pPr>
              <w:jc w:val="right"/>
              <w:ind w:right="146"/>
              <w:spacing w:after="0"/>
              <w:rPr>
                <w:sz w:val="20"/>
                <w:szCs w:val="20"/>
                <w:color w:val="auto"/>
              </w:rPr>
            </w:pPr>
            <w:r>
              <w:rPr>
                <w:rFonts w:ascii="Arial" w:cs="Arial" w:eastAsia="Arial" w:hAnsi="Arial"/>
                <w:sz w:val="16"/>
                <w:szCs w:val="16"/>
                <w:color w:val="auto"/>
              </w:rPr>
              <w:t>120%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3"/>
              <w:spacing w:after="0"/>
              <w:rPr>
                <w:sz w:val="20"/>
                <w:szCs w:val="20"/>
                <w:color w:val="auto"/>
              </w:rPr>
            </w:pPr>
            <w:r>
              <w:rPr>
                <w:rFonts w:ascii="Arial" w:cs="Arial" w:eastAsia="Arial" w:hAnsi="Arial"/>
                <w:sz w:val="16"/>
                <w:szCs w:val="16"/>
                <w:color w:val="auto"/>
                <w:w w:val="95"/>
              </w:rPr>
              <w:t>1,080,000</w:t>
            </w:r>
          </w:p>
        </w:tc>
        <w:tc>
          <w:tcPr>
            <w:tcW w:w="1300" w:type="dxa"/>
            <w:vAlign w:val="bottom"/>
          </w:tcPr>
          <w:p>
            <w:pPr>
              <w:jc w:val="right"/>
              <w:ind w:right="146"/>
              <w:spacing w:after="0"/>
              <w:rPr>
                <w:sz w:val="20"/>
                <w:szCs w:val="20"/>
                <w:color w:val="auto"/>
              </w:rPr>
            </w:pPr>
            <w:r>
              <w:rPr>
                <w:rFonts w:ascii="Arial" w:cs="Arial" w:eastAsia="Arial" w:hAnsi="Arial"/>
                <w:sz w:val="16"/>
                <w:szCs w:val="16"/>
                <w:color w:val="auto"/>
              </w:rPr>
              <w:t>94.0%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1,015,200</w:t>
            </w:r>
          </w:p>
        </w:tc>
      </w:tr>
      <w:tr>
        <w:trPr>
          <w:trHeight w:val="46"/>
        </w:trPr>
        <w:tc>
          <w:tcPr>
            <w:tcW w:w="3300" w:type="dxa"/>
            <w:vAlign w:val="bottom"/>
            <w:tcBorders>
              <w:bottom w:val="single" w:sz="8" w:color="7F7F7F"/>
            </w:tcBorders>
          </w:tcPr>
          <w:p>
            <w:pPr>
              <w:spacing w:after="0"/>
              <w:rPr>
                <w:sz w:val="4"/>
                <w:szCs w:val="4"/>
                <w:color w:val="auto"/>
              </w:rPr>
            </w:pPr>
          </w:p>
        </w:tc>
        <w:tc>
          <w:tcPr>
            <w:tcW w:w="258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130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r>
        <w:trPr>
          <w:trHeight w:val="246"/>
        </w:trPr>
        <w:tc>
          <w:tcPr>
            <w:tcW w:w="3300" w:type="dxa"/>
            <w:vAlign w:val="bottom"/>
          </w:tcPr>
          <w:p>
            <w:pPr>
              <w:ind w:left="60"/>
              <w:spacing w:after="0"/>
              <w:rPr>
                <w:sz w:val="20"/>
                <w:szCs w:val="20"/>
                <w:color w:val="auto"/>
              </w:rPr>
            </w:pPr>
            <w:r>
              <w:rPr>
                <w:rFonts w:ascii="Arial" w:cs="Arial" w:eastAsia="Arial" w:hAnsi="Arial"/>
                <w:sz w:val="16"/>
                <w:szCs w:val="16"/>
                <w:b w:val="1"/>
                <w:bCs w:val="1"/>
                <w:color w:val="auto"/>
              </w:rPr>
              <w:t>Olivier G. Thirot</w:t>
            </w:r>
          </w:p>
        </w:tc>
        <w:tc>
          <w:tcPr>
            <w:tcW w:w="2580" w:type="dxa"/>
            <w:vAlign w:val="bottom"/>
          </w:tcPr>
          <w:p>
            <w:pPr>
              <w:ind w:left="1640"/>
              <w:spacing w:after="0"/>
              <w:rPr>
                <w:sz w:val="20"/>
                <w:szCs w:val="20"/>
                <w:color w:val="auto"/>
              </w:rPr>
            </w:pPr>
            <w:r>
              <w:rPr>
                <w:rFonts w:ascii="Arial" w:cs="Arial" w:eastAsia="Arial" w:hAnsi="Arial"/>
                <w:sz w:val="16"/>
                <w:szCs w:val="16"/>
                <w:color w:val="auto"/>
              </w:rPr>
              <w:t>$667,200</w:t>
            </w:r>
          </w:p>
        </w:tc>
        <w:tc>
          <w:tcPr>
            <w:tcW w:w="1140" w:type="dxa"/>
            <w:vAlign w:val="bottom"/>
          </w:tcPr>
          <w:p>
            <w:pPr>
              <w:jc w:val="right"/>
              <w:ind w:right="146"/>
              <w:spacing w:after="0"/>
              <w:rPr>
                <w:sz w:val="20"/>
                <w:szCs w:val="20"/>
                <w:color w:val="auto"/>
              </w:rPr>
            </w:pPr>
            <w:r>
              <w:rPr>
                <w:rFonts w:ascii="Arial" w:cs="Arial" w:eastAsia="Arial" w:hAnsi="Arial"/>
                <w:sz w:val="16"/>
                <w:szCs w:val="16"/>
                <w:color w:val="auto"/>
              </w:rPr>
              <w:t>85%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3"/>
              <w:spacing w:after="0"/>
              <w:rPr>
                <w:sz w:val="20"/>
                <w:szCs w:val="20"/>
                <w:color w:val="auto"/>
              </w:rPr>
            </w:pPr>
            <w:r>
              <w:rPr>
                <w:rFonts w:ascii="Arial" w:cs="Arial" w:eastAsia="Arial" w:hAnsi="Arial"/>
                <w:sz w:val="16"/>
                <w:szCs w:val="16"/>
                <w:color w:val="auto"/>
              </w:rPr>
              <w:t>567,120</w:t>
            </w:r>
          </w:p>
        </w:tc>
        <w:tc>
          <w:tcPr>
            <w:tcW w:w="1300" w:type="dxa"/>
            <w:vAlign w:val="bottom"/>
          </w:tcPr>
          <w:p>
            <w:pPr>
              <w:jc w:val="right"/>
              <w:ind w:right="146"/>
              <w:spacing w:after="0"/>
              <w:rPr>
                <w:sz w:val="20"/>
                <w:szCs w:val="20"/>
                <w:color w:val="auto"/>
              </w:rPr>
            </w:pPr>
            <w:r>
              <w:rPr>
                <w:rFonts w:ascii="Arial" w:cs="Arial" w:eastAsia="Arial" w:hAnsi="Arial"/>
                <w:sz w:val="16"/>
                <w:szCs w:val="16"/>
                <w:color w:val="auto"/>
              </w:rPr>
              <w:t>94.0%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533,093</w:t>
            </w:r>
          </w:p>
        </w:tc>
      </w:tr>
      <w:tr>
        <w:trPr>
          <w:trHeight w:val="46"/>
        </w:trPr>
        <w:tc>
          <w:tcPr>
            <w:tcW w:w="3300" w:type="dxa"/>
            <w:vAlign w:val="bottom"/>
            <w:tcBorders>
              <w:bottom w:val="single" w:sz="8" w:color="7F7F7F"/>
            </w:tcBorders>
          </w:tcPr>
          <w:p>
            <w:pPr>
              <w:spacing w:after="0"/>
              <w:rPr>
                <w:sz w:val="4"/>
                <w:szCs w:val="4"/>
                <w:color w:val="auto"/>
              </w:rPr>
            </w:pPr>
          </w:p>
        </w:tc>
        <w:tc>
          <w:tcPr>
            <w:tcW w:w="258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130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r>
        <w:trPr>
          <w:trHeight w:val="246"/>
        </w:trPr>
        <w:tc>
          <w:tcPr>
            <w:tcW w:w="3300" w:type="dxa"/>
            <w:vAlign w:val="bottom"/>
          </w:tcPr>
          <w:p>
            <w:pPr>
              <w:ind w:left="60"/>
              <w:spacing w:after="0"/>
              <w:rPr>
                <w:sz w:val="20"/>
                <w:szCs w:val="20"/>
                <w:color w:val="auto"/>
              </w:rPr>
            </w:pPr>
            <w:r>
              <w:rPr>
                <w:rFonts w:ascii="Arial" w:cs="Arial" w:eastAsia="Arial" w:hAnsi="Arial"/>
                <w:sz w:val="16"/>
                <w:szCs w:val="16"/>
                <w:b w:val="1"/>
                <w:bCs w:val="1"/>
                <w:color w:val="auto"/>
              </w:rPr>
              <w:t>Daniel H. Malan</w:t>
            </w:r>
          </w:p>
        </w:tc>
        <w:tc>
          <w:tcPr>
            <w:tcW w:w="2580" w:type="dxa"/>
            <w:vAlign w:val="bottom"/>
          </w:tcPr>
          <w:p>
            <w:pPr>
              <w:ind w:left="1640"/>
              <w:spacing w:after="0"/>
              <w:rPr>
                <w:sz w:val="20"/>
                <w:szCs w:val="20"/>
                <w:color w:val="auto"/>
              </w:rPr>
            </w:pPr>
            <w:r>
              <w:rPr>
                <w:rFonts w:ascii="Arial" w:cs="Arial" w:eastAsia="Arial" w:hAnsi="Arial"/>
                <w:sz w:val="16"/>
                <w:szCs w:val="16"/>
                <w:color w:val="auto"/>
              </w:rPr>
              <w:t>$443,000</w:t>
            </w:r>
          </w:p>
        </w:tc>
        <w:tc>
          <w:tcPr>
            <w:tcW w:w="1140" w:type="dxa"/>
            <w:vAlign w:val="bottom"/>
          </w:tcPr>
          <w:p>
            <w:pPr>
              <w:jc w:val="right"/>
              <w:ind w:right="146"/>
              <w:spacing w:after="0"/>
              <w:rPr>
                <w:sz w:val="20"/>
                <w:szCs w:val="20"/>
                <w:color w:val="auto"/>
              </w:rPr>
            </w:pPr>
            <w:r>
              <w:rPr>
                <w:rFonts w:ascii="Arial" w:cs="Arial" w:eastAsia="Arial" w:hAnsi="Arial"/>
                <w:sz w:val="16"/>
                <w:szCs w:val="16"/>
                <w:color w:val="auto"/>
              </w:rPr>
              <w:t>55%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3"/>
              <w:spacing w:after="0"/>
              <w:rPr>
                <w:sz w:val="20"/>
                <w:szCs w:val="20"/>
                <w:color w:val="auto"/>
              </w:rPr>
            </w:pPr>
            <w:r>
              <w:rPr>
                <w:rFonts w:ascii="Arial" w:cs="Arial" w:eastAsia="Arial" w:hAnsi="Arial"/>
                <w:sz w:val="16"/>
                <w:szCs w:val="16"/>
                <w:color w:val="auto"/>
              </w:rPr>
              <w:t>243,650</w:t>
            </w:r>
          </w:p>
        </w:tc>
        <w:tc>
          <w:tcPr>
            <w:tcW w:w="1300" w:type="dxa"/>
            <w:vAlign w:val="bottom"/>
          </w:tcPr>
          <w:p>
            <w:pPr>
              <w:jc w:val="right"/>
              <w:ind w:right="146"/>
              <w:spacing w:after="0"/>
              <w:rPr>
                <w:sz w:val="20"/>
                <w:szCs w:val="20"/>
                <w:color w:val="auto"/>
              </w:rPr>
            </w:pPr>
            <w:r>
              <w:rPr>
                <w:rFonts w:ascii="Arial" w:cs="Arial" w:eastAsia="Arial" w:hAnsi="Arial"/>
                <w:sz w:val="16"/>
                <w:szCs w:val="16"/>
                <w:color w:val="auto"/>
              </w:rPr>
              <w:t>100.0%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244,000</w:t>
            </w:r>
          </w:p>
        </w:tc>
      </w:tr>
      <w:tr>
        <w:trPr>
          <w:trHeight w:val="46"/>
        </w:trPr>
        <w:tc>
          <w:tcPr>
            <w:tcW w:w="3300" w:type="dxa"/>
            <w:vAlign w:val="bottom"/>
            <w:tcBorders>
              <w:bottom w:val="single" w:sz="8" w:color="7F7F7F"/>
            </w:tcBorders>
          </w:tcPr>
          <w:p>
            <w:pPr>
              <w:spacing w:after="0"/>
              <w:rPr>
                <w:sz w:val="4"/>
                <w:szCs w:val="4"/>
                <w:color w:val="auto"/>
              </w:rPr>
            </w:pPr>
          </w:p>
        </w:tc>
        <w:tc>
          <w:tcPr>
            <w:tcW w:w="258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130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r>
        <w:trPr>
          <w:trHeight w:val="246"/>
        </w:trPr>
        <w:tc>
          <w:tcPr>
            <w:tcW w:w="3300" w:type="dxa"/>
            <w:vAlign w:val="bottom"/>
          </w:tcPr>
          <w:p>
            <w:pPr>
              <w:ind w:left="60"/>
              <w:spacing w:after="0"/>
              <w:rPr>
                <w:sz w:val="20"/>
                <w:szCs w:val="20"/>
                <w:color w:val="auto"/>
              </w:rPr>
            </w:pPr>
            <w:r>
              <w:rPr>
                <w:rFonts w:ascii="Arial" w:cs="Arial" w:eastAsia="Arial" w:hAnsi="Arial"/>
                <w:sz w:val="16"/>
                <w:szCs w:val="16"/>
                <w:b w:val="1"/>
                <w:bCs w:val="1"/>
                <w:color w:val="auto"/>
              </w:rPr>
              <w:t>Vanessa P. Williams</w:t>
            </w:r>
          </w:p>
        </w:tc>
        <w:tc>
          <w:tcPr>
            <w:tcW w:w="2580" w:type="dxa"/>
            <w:vAlign w:val="bottom"/>
          </w:tcPr>
          <w:p>
            <w:pPr>
              <w:ind w:left="1640"/>
              <w:spacing w:after="0"/>
              <w:rPr>
                <w:sz w:val="20"/>
                <w:szCs w:val="20"/>
                <w:color w:val="auto"/>
              </w:rPr>
            </w:pPr>
            <w:r>
              <w:rPr>
                <w:rFonts w:ascii="Arial" w:cs="Arial" w:eastAsia="Arial" w:hAnsi="Arial"/>
                <w:sz w:val="16"/>
                <w:szCs w:val="16"/>
                <w:color w:val="auto"/>
              </w:rPr>
              <w:t>$473,827</w:t>
            </w:r>
          </w:p>
        </w:tc>
        <w:tc>
          <w:tcPr>
            <w:tcW w:w="1140" w:type="dxa"/>
            <w:vAlign w:val="bottom"/>
          </w:tcPr>
          <w:p>
            <w:pPr>
              <w:jc w:val="right"/>
              <w:ind w:right="146"/>
              <w:spacing w:after="0"/>
              <w:rPr>
                <w:sz w:val="20"/>
                <w:szCs w:val="20"/>
                <w:color w:val="auto"/>
              </w:rPr>
            </w:pPr>
            <w:r>
              <w:rPr>
                <w:rFonts w:ascii="Arial" w:cs="Arial" w:eastAsia="Arial" w:hAnsi="Arial"/>
                <w:sz w:val="16"/>
                <w:szCs w:val="16"/>
                <w:color w:val="auto"/>
              </w:rPr>
              <w:t>65%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3"/>
              <w:spacing w:after="0"/>
              <w:rPr>
                <w:sz w:val="20"/>
                <w:szCs w:val="20"/>
                <w:color w:val="auto"/>
              </w:rPr>
            </w:pPr>
            <w:r>
              <w:rPr>
                <w:rFonts w:ascii="Arial" w:cs="Arial" w:eastAsia="Arial" w:hAnsi="Arial"/>
                <w:sz w:val="16"/>
                <w:szCs w:val="16"/>
                <w:color w:val="auto"/>
              </w:rPr>
              <w:t>307,987</w:t>
            </w:r>
          </w:p>
        </w:tc>
        <w:tc>
          <w:tcPr>
            <w:tcW w:w="1300" w:type="dxa"/>
            <w:vAlign w:val="bottom"/>
          </w:tcPr>
          <w:p>
            <w:pPr>
              <w:jc w:val="right"/>
              <w:ind w:right="146"/>
              <w:spacing w:after="0"/>
              <w:rPr>
                <w:sz w:val="20"/>
                <w:szCs w:val="20"/>
                <w:color w:val="auto"/>
              </w:rPr>
            </w:pPr>
            <w:r>
              <w:rPr>
                <w:rFonts w:ascii="Arial" w:cs="Arial" w:eastAsia="Arial" w:hAnsi="Arial"/>
                <w:sz w:val="16"/>
                <w:szCs w:val="16"/>
                <w:color w:val="auto"/>
              </w:rPr>
              <w:t>105.5%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325,000</w:t>
            </w:r>
          </w:p>
        </w:tc>
      </w:tr>
      <w:tr>
        <w:trPr>
          <w:trHeight w:val="46"/>
        </w:trPr>
        <w:tc>
          <w:tcPr>
            <w:tcW w:w="3300" w:type="dxa"/>
            <w:vAlign w:val="bottom"/>
            <w:tcBorders>
              <w:bottom w:val="single" w:sz="8" w:color="7F7F7F"/>
            </w:tcBorders>
          </w:tcPr>
          <w:p>
            <w:pPr>
              <w:spacing w:after="0"/>
              <w:rPr>
                <w:sz w:val="4"/>
                <w:szCs w:val="4"/>
                <w:color w:val="auto"/>
              </w:rPr>
            </w:pPr>
          </w:p>
        </w:tc>
        <w:tc>
          <w:tcPr>
            <w:tcW w:w="258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130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r>
        <w:trPr>
          <w:trHeight w:val="246"/>
        </w:trPr>
        <w:tc>
          <w:tcPr>
            <w:tcW w:w="3300" w:type="dxa"/>
            <w:vAlign w:val="bottom"/>
          </w:tcPr>
          <w:p>
            <w:pPr>
              <w:ind w:left="60"/>
              <w:spacing w:after="0"/>
              <w:rPr>
                <w:sz w:val="20"/>
                <w:szCs w:val="20"/>
                <w:color w:val="auto"/>
              </w:rPr>
            </w:pPr>
            <w:r>
              <w:rPr>
                <w:rFonts w:ascii="Arial" w:cs="Arial" w:eastAsia="Arial" w:hAnsi="Arial"/>
                <w:sz w:val="16"/>
                <w:szCs w:val="16"/>
                <w:b w:val="1"/>
                <w:bCs w:val="1"/>
                <w:color w:val="auto"/>
              </w:rPr>
              <w:t>Dinette Koolhaas</w:t>
            </w:r>
          </w:p>
        </w:tc>
        <w:tc>
          <w:tcPr>
            <w:tcW w:w="2580" w:type="dxa"/>
            <w:vAlign w:val="bottom"/>
          </w:tcPr>
          <w:p>
            <w:pPr>
              <w:ind w:left="1640"/>
              <w:spacing w:after="0"/>
              <w:rPr>
                <w:sz w:val="20"/>
                <w:szCs w:val="20"/>
                <w:color w:val="auto"/>
              </w:rPr>
            </w:pPr>
            <w:r>
              <w:rPr>
                <w:rFonts w:ascii="Arial" w:cs="Arial" w:eastAsia="Arial" w:hAnsi="Arial"/>
                <w:sz w:val="16"/>
                <w:szCs w:val="16"/>
                <w:color w:val="auto"/>
              </w:rPr>
              <w:t>$557,668</w:t>
            </w:r>
          </w:p>
        </w:tc>
        <w:tc>
          <w:tcPr>
            <w:tcW w:w="1140" w:type="dxa"/>
            <w:vAlign w:val="bottom"/>
          </w:tcPr>
          <w:p>
            <w:pPr>
              <w:jc w:val="right"/>
              <w:ind w:right="146"/>
              <w:spacing w:after="0"/>
              <w:rPr>
                <w:sz w:val="20"/>
                <w:szCs w:val="20"/>
                <w:color w:val="auto"/>
              </w:rPr>
            </w:pPr>
            <w:r>
              <w:rPr>
                <w:rFonts w:ascii="Arial" w:cs="Arial" w:eastAsia="Arial" w:hAnsi="Arial"/>
                <w:sz w:val="16"/>
                <w:szCs w:val="16"/>
                <w:color w:val="auto"/>
              </w:rPr>
              <w:t>55%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3"/>
              <w:spacing w:after="0"/>
              <w:rPr>
                <w:sz w:val="20"/>
                <w:szCs w:val="20"/>
                <w:color w:val="auto"/>
              </w:rPr>
            </w:pPr>
            <w:r>
              <w:rPr>
                <w:rFonts w:ascii="Arial" w:cs="Arial" w:eastAsia="Arial" w:hAnsi="Arial"/>
                <w:sz w:val="16"/>
                <w:szCs w:val="16"/>
                <w:color w:val="auto"/>
              </w:rPr>
              <w:t>306,717</w:t>
            </w:r>
          </w:p>
        </w:tc>
        <w:tc>
          <w:tcPr>
            <w:tcW w:w="1300" w:type="dxa"/>
            <w:vAlign w:val="bottom"/>
          </w:tcPr>
          <w:p>
            <w:pPr>
              <w:jc w:val="right"/>
              <w:ind w:right="146"/>
              <w:spacing w:after="0"/>
              <w:rPr>
                <w:sz w:val="20"/>
                <w:szCs w:val="20"/>
                <w:color w:val="auto"/>
              </w:rPr>
            </w:pPr>
            <w:r>
              <w:rPr>
                <w:rFonts w:ascii="Arial" w:cs="Arial" w:eastAsia="Arial" w:hAnsi="Arial"/>
                <w:sz w:val="16"/>
                <w:szCs w:val="16"/>
                <w:color w:val="auto"/>
              </w:rPr>
              <w:t>0.0%</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6"/>
        </w:trPr>
        <w:tc>
          <w:tcPr>
            <w:tcW w:w="3300" w:type="dxa"/>
            <w:vAlign w:val="bottom"/>
            <w:tcBorders>
              <w:bottom w:val="single" w:sz="8" w:color="7F7F7F"/>
            </w:tcBorders>
          </w:tcPr>
          <w:p>
            <w:pPr>
              <w:spacing w:after="0"/>
              <w:rPr>
                <w:sz w:val="4"/>
                <w:szCs w:val="4"/>
                <w:color w:val="auto"/>
              </w:rPr>
            </w:pPr>
          </w:p>
        </w:tc>
        <w:tc>
          <w:tcPr>
            <w:tcW w:w="258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130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w:t>
      </w:r>
    </w:p>
    <w:p>
      <w:pPr>
        <w:spacing w:after="0" w:line="78" w:lineRule="exact"/>
        <w:rPr>
          <w:sz w:val="20"/>
          <w:szCs w:val="20"/>
          <w:color w:val="auto"/>
        </w:rPr>
      </w:pPr>
    </w:p>
    <w:p>
      <w:pPr>
        <w:ind w:left="520" w:hanging="316"/>
        <w:spacing w:after="0"/>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2023 STIP Payout amounts for Mr. Malan and Ms. Williams rounded to the nearest thousand;</w:t>
      </w:r>
    </w:p>
    <w:p>
      <w:pPr>
        <w:spacing w:after="0" w:line="76" w:lineRule="exact"/>
        <w:rPr>
          <w:rFonts w:ascii="Arial" w:cs="Arial" w:eastAsia="Arial" w:hAnsi="Arial"/>
          <w:sz w:val="16"/>
          <w:szCs w:val="16"/>
          <w:color w:val="auto"/>
        </w:rPr>
      </w:pPr>
    </w:p>
    <w:p>
      <w:pPr>
        <w:ind w:left="520" w:hanging="316"/>
        <w:spacing w:after="0"/>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Quigley’s final payout percentage of 94% was determined by the Committee based on overall assessment of the Company’s 2023 results;</w:t>
      </w:r>
    </w:p>
    <w:p>
      <w:pPr>
        <w:spacing w:after="0" w:line="76" w:lineRule="exact"/>
        <w:rPr>
          <w:rFonts w:ascii="Arial" w:cs="Arial" w:eastAsia="Arial" w:hAnsi="Arial"/>
          <w:sz w:val="16"/>
          <w:szCs w:val="16"/>
          <w:color w:val="auto"/>
        </w:rPr>
      </w:pPr>
    </w:p>
    <w:p>
      <w:pPr>
        <w:ind w:left="520" w:right="100" w:hanging="316"/>
        <w:spacing w:after="0" w:line="265" w:lineRule="auto"/>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consistency, Mr. Thirot’s and Ms. Koolhaas’ amounts shown in USD using the IRS Yearly Average Currency Exchange Rate for Switzerland of 1.112. The actual exchange rate reflects the then-current rate; and</w:t>
      </w:r>
    </w:p>
    <w:p>
      <w:pPr>
        <w:spacing w:after="0" w:line="23"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As part of the sale of our EMEA staffing operations, Ms. Koolhaas’ employment with the Company terminated March 31, 2024. As a result, she was not entitled to a payment under the STIP, and instead received a termination payment as detailed in the “Potential Payments Upon Termination or Change in Control 2023” below.</w:t>
      </w:r>
    </w:p>
    <w:p>
      <w:pPr>
        <w:spacing w:after="0" w:line="49"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56 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bookmarkStart w:id="58" w:name="page59"/>
    <w:bookmarkEnd w:id="58"/>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Incentives</w:t>
      </w:r>
    </w:p>
    <w:p>
      <w:pPr>
        <w:spacing w:after="0" w:line="63" w:lineRule="exact"/>
        <w:rPr>
          <w:sz w:val="20"/>
          <w:szCs w:val="20"/>
          <w:color w:val="auto"/>
        </w:rPr>
      </w:pPr>
    </w:p>
    <w:p>
      <w:pPr>
        <w:ind w:right="380"/>
        <w:spacing w:after="0" w:line="246" w:lineRule="auto"/>
        <w:rPr>
          <w:sz w:val="20"/>
          <w:szCs w:val="20"/>
          <w:color w:val="auto"/>
        </w:rPr>
      </w:pPr>
      <w:r>
        <w:rPr>
          <w:rFonts w:ascii="Arial" w:cs="Arial" w:eastAsia="Arial" w:hAnsi="Arial"/>
          <w:sz w:val="16"/>
          <w:szCs w:val="16"/>
          <w:color w:val="auto"/>
        </w:rPr>
        <w:t>The EIP provides for long-term incentives that reward executives for achieving the Company’s long-term growth and profitability goals. Long-term incentive compensation is also intended to help the Company retain key employees, and provide those employees shared financial interests with the Company’s shareholders and positively influence their job performance and longer-term strategic focus. The EIP allows for grants of equity and non-equity awards to key employees.</w:t>
      </w:r>
    </w:p>
    <w:p>
      <w:pPr>
        <w:spacing w:after="0" w:line="52"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The Committee believes that compensation programs for the Company’s senior officers should include strong alignment between pay and performance, with a significant portion of “at risk” pay. As a result, the Committee has provided regular long-term incentives for senior officers, including the named executive officers that heavily emphasize performance. In 2023 our CEO continued to receive a heavily performance-based LTI grant with 75% weighting in performance shares (at target) and 25% in restricted stock. All other named executive officer’s LTI awards were 60% performance shares (at target) and 40% restricted stock. The typical incentive mix emphasizes performance-contingent awards delivered through performance shares and places a lower weighting on restricted shares.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On average, target LTI awards granted to senior officers have historically been and remained below market median for 2023. The target LTI award</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amounts for each senior officer, including the named executive officers, are based on an established value for each officer level. The number of shares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granted to each named executive officer is based on the grant value and closing stock price on the date of grant and can be found in the “Grants of Plan-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Based Awards” table,</w:t>
      </w:r>
    </w:p>
    <w:p>
      <w:pPr>
        <w:spacing w:after="0"/>
        <w:rPr>
          <w:sz w:val="20"/>
          <w:szCs w:val="20"/>
          <w:color w:val="auto"/>
        </w:rPr>
      </w:pPr>
      <w:r>
        <w:rPr>
          <w:rFonts w:ascii="Arial" w:cs="Arial" w:eastAsia="Arial" w:hAnsi="Arial"/>
          <w:sz w:val="16"/>
          <w:szCs w:val="16"/>
          <w:color w:val="auto"/>
        </w:rPr>
        <w:t>later in this document.</w:t>
      </w:r>
    </w:p>
    <w:p>
      <w:pPr>
        <w:spacing w:after="0" w:line="49" w:lineRule="exact"/>
        <w:rPr>
          <w:sz w:val="20"/>
          <w:szCs w:val="20"/>
          <w:color w:val="auto"/>
        </w:rPr>
      </w:pPr>
    </w:p>
    <w:p>
      <w:pPr>
        <w:ind w:right="240"/>
        <w:spacing w:after="0" w:line="288" w:lineRule="auto"/>
        <w:rPr>
          <w:sz w:val="20"/>
          <w:szCs w:val="20"/>
          <w:color w:val="auto"/>
        </w:rPr>
      </w:pPr>
      <w:r>
        <w:rPr>
          <w:rFonts w:ascii="Arial" w:cs="Arial" w:eastAsia="Arial" w:hAnsi="Arial"/>
          <w:sz w:val="14"/>
          <w:szCs w:val="14"/>
          <w:color w:val="auto"/>
        </w:rPr>
        <w:t>Performance measures used for purposes of funding LTI are the same as defined in the Company’s GAAP financial statements, excluding at the discretion of the Committee consideration of special items such as: changes in accounting, principles, gains or losses on acquisitions or divestitures, changes in budget due to acquisitions or divestitures, restructuring expenses, and other unusual items, which are defined as such and quantified in the financial statements, and/or footnotes to the Company’s Annual Report on Form 10-K. Adjustments would apply only to unbudgeted items. For 2023, additional consideration was made to certain special items related to the Company’s restructuring and EMEA divestiture.</w:t>
      </w:r>
    </w:p>
    <w:p>
      <w:pPr>
        <w:spacing w:after="0" w:line="23"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Under the terms of the EIP, the Committee retains the right in its discretion to reduce an LTI award based on individual performance. The Committee has no discretion to increase an LTI award for named executive officers. LTI grants and any performance-based awards made under the EIP are subject to the Company’s Clawback Policy.</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6"/>
          <w:szCs w:val="16"/>
          <w:i w:val="1"/>
          <w:iCs w:val="1"/>
          <w:u w:val="single" w:color="auto"/>
          <w:color w:val="auto"/>
        </w:rPr>
        <w:t>Performance Shares</w:t>
      </w:r>
    </w:p>
    <w:p>
      <w:pPr>
        <w:spacing w:after="0" w:line="63"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Performance shares provide senior officers with the opportunity to earn shares, from zero to 200% of their target opportunity, based on achievement of pre-established measures and goals. For achievement of threshold performance, 50% of target performance shares would be earned; for achievement of target performance, 100% of target performance shares would be earned; and for achievement of maximum performance or higher, 200% of target performance shares would be earned under the typical long-term incentive design. Threshold goals are typically set at levels the Committee believes appropriate to start earning incentives. Target goals are set at budgeted levels, which are considered “challenging but achievable”. Maximum goals are set at significant stretch levels which the Committee believes warrant the earning of two times target payout. Straight line interpolation occurs for achievement of performance between threshold and target, and between target and maximum. Performance awards are granted in the form of Performance Share Units, which are not eligible for dividends or dividend equivalents.</w:t>
      </w:r>
    </w:p>
    <w:p>
      <w:pPr>
        <w:spacing w:after="0" w:line="44"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For the 2023-2025 grant of performance shares, the two equally weighted financial measures, revenue growth and EBITDA margin, have one-year goals established for each of the three performance periods (2023, 2024, and 2025) that are set in the beginning of each performance period. This design provides the ability to set meaningful goals that deliver profitable growth in the continued unpredictable economic climate. In March 2023, the Committee approved goals at threshold, target, and maximum levels of performance for each of the measures for 2023. At the end of the 2023 performance period in early 2024, results for each of the two financial measures, determined the achievement and earning of shares. For the 2024 performance period, goals will be approved in early 2024 with results being reviewed in early 2025, and the 2025 performance period goals will be approved in early 2025. Any earned shares will vest 100% upon Committee approval on the third anniversary of the grant (February 2026).</w:t>
      </w:r>
    </w:p>
    <w:p>
      <w:pPr>
        <w:spacing w:after="0" w:line="5" w:lineRule="exact"/>
        <w:rPr>
          <w:sz w:val="20"/>
          <w:szCs w:val="20"/>
          <w:color w:val="auto"/>
        </w:rPr>
      </w:pPr>
    </w:p>
    <w:p>
      <w:pPr>
        <w:ind w:left="8780"/>
        <w:spacing w:after="0"/>
        <w:tabs>
          <w:tab w:leader="none" w:pos="1002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6308725</wp:posOffset>
            </wp:positionH>
            <wp:positionV relativeFrom="paragraph">
              <wp:posOffset>-222250</wp:posOffset>
            </wp:positionV>
            <wp:extent cx="8255" cy="2228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bookmarkStart w:id="59" w:name="page60"/>
    <w:bookmarkEnd w:id="59"/>
    <w:p>
      <w:pPr>
        <w:ind w:left="4"/>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target number of performance shares were awarded for each performance measure to the named executive officers in 2023:</w:t>
      </w:r>
    </w:p>
    <w:p>
      <w:pPr>
        <w:spacing w:after="0" w:line="235" w:lineRule="exact"/>
        <w:rPr>
          <w:sz w:val="20"/>
          <w:szCs w:val="20"/>
          <w:color w:val="auto"/>
        </w:rPr>
      </w:pPr>
    </w:p>
    <w:p>
      <w:pPr>
        <w:jc w:val="center"/>
        <w:ind w:right="216"/>
        <w:spacing w:after="0"/>
        <w:rPr>
          <w:sz w:val="20"/>
          <w:szCs w:val="20"/>
          <w:color w:val="auto"/>
        </w:rPr>
      </w:pPr>
      <w:r>
        <w:rPr>
          <w:rFonts w:ascii="Arial" w:cs="Arial" w:eastAsia="Arial" w:hAnsi="Arial"/>
          <w:sz w:val="14"/>
          <w:szCs w:val="14"/>
          <w:b w:val="1"/>
          <w:bCs w:val="1"/>
          <w:color w:val="0A9E50"/>
        </w:rPr>
        <w:t>Target Number of 2023-2025 Performance Shares Awarded</w:t>
      </w:r>
    </w:p>
    <w:p>
      <w:pPr>
        <w:spacing w:after="0" w:line="31"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742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2"/>
          </w:tcPr>
          <w:p>
            <w:pPr>
              <w:jc w:val="right"/>
              <w:ind w:right="64"/>
              <w:spacing w:after="0"/>
              <w:rPr>
                <w:sz w:val="20"/>
                <w:szCs w:val="20"/>
                <w:color w:val="auto"/>
              </w:rPr>
            </w:pPr>
            <w:r>
              <w:rPr>
                <w:rFonts w:ascii="Arial" w:cs="Arial" w:eastAsia="Arial" w:hAnsi="Arial"/>
                <w:sz w:val="14"/>
                <w:szCs w:val="14"/>
                <w:b w:val="1"/>
                <w:bCs w:val="1"/>
                <w:color w:val="0A9E50"/>
              </w:rPr>
              <w:t>Financial Measures</w:t>
            </w:r>
          </w:p>
        </w:tc>
        <w:tc>
          <w:tcPr>
            <w:tcW w:w="1380" w:type="dxa"/>
            <w:vAlign w:val="bottom"/>
            <w:tcBorders>
              <w:top w:val="single" w:sz="8" w:color="auto"/>
            </w:tcBorders>
          </w:tcPr>
          <w:p>
            <w:pPr>
              <w:jc w:val="center"/>
              <w:ind w:right="26"/>
              <w:spacing w:after="0"/>
              <w:rPr>
                <w:sz w:val="20"/>
                <w:szCs w:val="20"/>
                <w:color w:val="auto"/>
              </w:rPr>
            </w:pPr>
            <w:r>
              <w:rPr>
                <w:rFonts w:ascii="Arial" w:cs="Arial" w:eastAsia="Arial" w:hAnsi="Arial"/>
                <w:sz w:val="14"/>
                <w:szCs w:val="14"/>
                <w:b w:val="1"/>
                <w:bCs w:val="1"/>
                <w:color w:val="0A9E50"/>
                <w:w w:val="96"/>
              </w:rPr>
              <w:t>Total Number of</w:t>
            </w:r>
          </w:p>
        </w:tc>
        <w:tc>
          <w:tcPr>
            <w:tcW w:w="0" w:type="dxa"/>
            <w:vAlign w:val="bottom"/>
          </w:tcPr>
          <w:p>
            <w:pPr>
              <w:spacing w:after="0"/>
              <w:rPr>
                <w:sz w:val="1"/>
                <w:szCs w:val="1"/>
                <w:color w:val="auto"/>
              </w:rPr>
            </w:pPr>
          </w:p>
        </w:tc>
      </w:tr>
      <w:tr>
        <w:trPr>
          <w:trHeight w:val="52"/>
        </w:trPr>
        <w:tc>
          <w:tcPr>
            <w:tcW w:w="742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80" w:type="dxa"/>
            <w:vAlign w:val="bottom"/>
            <w:vMerge w:val="restart"/>
          </w:tcPr>
          <w:p>
            <w:pPr>
              <w:jc w:val="center"/>
              <w:ind w:right="26"/>
              <w:spacing w:after="0" w:line="134" w:lineRule="exact"/>
              <w:rPr>
                <w:sz w:val="20"/>
                <w:szCs w:val="20"/>
                <w:color w:val="auto"/>
              </w:rPr>
            </w:pPr>
            <w:r>
              <w:rPr>
                <w:rFonts w:ascii="Arial" w:cs="Arial" w:eastAsia="Arial" w:hAnsi="Arial"/>
                <w:sz w:val="14"/>
                <w:szCs w:val="14"/>
                <w:b w:val="1"/>
                <w:bCs w:val="1"/>
                <w:color w:val="0A9E50"/>
                <w:w w:val="98"/>
              </w:rPr>
              <w:t>Performance</w:t>
            </w:r>
          </w:p>
        </w:tc>
        <w:tc>
          <w:tcPr>
            <w:tcW w:w="0" w:type="dxa"/>
            <w:vAlign w:val="bottom"/>
          </w:tcPr>
          <w:p>
            <w:pPr>
              <w:spacing w:after="0"/>
              <w:rPr>
                <w:sz w:val="1"/>
                <w:szCs w:val="1"/>
                <w:color w:val="auto"/>
              </w:rPr>
            </w:pPr>
          </w:p>
        </w:tc>
      </w:tr>
      <w:tr>
        <w:trPr>
          <w:trHeight w:val="62"/>
        </w:trPr>
        <w:tc>
          <w:tcPr>
            <w:tcW w:w="74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7420" w:type="dxa"/>
            <w:vAlign w:val="bottom"/>
          </w:tcPr>
          <w:p>
            <w:pPr>
              <w:spacing w:after="0"/>
              <w:rPr>
                <w:sz w:val="13"/>
                <w:szCs w:val="13"/>
                <w:color w:val="auto"/>
              </w:rPr>
            </w:pPr>
          </w:p>
        </w:tc>
        <w:tc>
          <w:tcPr>
            <w:tcW w:w="1060" w:type="dxa"/>
            <w:vAlign w:val="bottom"/>
          </w:tcPr>
          <w:p>
            <w:pPr>
              <w:jc w:val="right"/>
              <w:ind w:right="105"/>
              <w:spacing w:after="0" w:line="156" w:lineRule="exact"/>
              <w:rPr>
                <w:sz w:val="20"/>
                <w:szCs w:val="20"/>
                <w:color w:val="auto"/>
              </w:rPr>
            </w:pPr>
            <w:r>
              <w:rPr>
                <w:rFonts w:ascii="Arial" w:cs="Arial" w:eastAsia="Arial" w:hAnsi="Arial"/>
                <w:sz w:val="14"/>
                <w:szCs w:val="14"/>
                <w:b w:val="1"/>
                <w:bCs w:val="1"/>
                <w:color w:val="0A9E50"/>
              </w:rPr>
              <w:t>Revenue</w:t>
            </w:r>
          </w:p>
        </w:tc>
        <w:tc>
          <w:tcPr>
            <w:tcW w:w="760" w:type="dxa"/>
            <w:vAlign w:val="bottom"/>
          </w:tcPr>
          <w:p>
            <w:pPr>
              <w:jc w:val="right"/>
              <w:spacing w:after="0" w:line="156" w:lineRule="exact"/>
              <w:rPr>
                <w:sz w:val="20"/>
                <w:szCs w:val="20"/>
                <w:color w:val="auto"/>
              </w:rPr>
            </w:pPr>
            <w:r>
              <w:rPr>
                <w:rFonts w:ascii="Arial" w:cs="Arial" w:eastAsia="Arial" w:hAnsi="Arial"/>
                <w:sz w:val="14"/>
                <w:szCs w:val="14"/>
                <w:b w:val="1"/>
                <w:bCs w:val="1"/>
                <w:color w:val="0A9E50"/>
              </w:rPr>
              <w:t>EBITDA</w:t>
            </w:r>
          </w:p>
        </w:tc>
        <w:tc>
          <w:tcPr>
            <w:tcW w:w="1380" w:type="dxa"/>
            <w:vAlign w:val="bottom"/>
          </w:tcPr>
          <w:p>
            <w:pPr>
              <w:jc w:val="center"/>
              <w:ind w:right="46"/>
              <w:spacing w:after="0" w:line="156" w:lineRule="exact"/>
              <w:rPr>
                <w:sz w:val="20"/>
                <w:szCs w:val="20"/>
                <w:color w:val="auto"/>
              </w:rPr>
            </w:pPr>
            <w:r>
              <w:rPr>
                <w:rFonts w:ascii="Arial" w:cs="Arial" w:eastAsia="Arial" w:hAnsi="Arial"/>
                <w:sz w:val="14"/>
                <w:szCs w:val="14"/>
                <w:b w:val="1"/>
                <w:bCs w:val="1"/>
                <w:color w:val="0A9E50"/>
                <w:w w:val="98"/>
              </w:rPr>
              <w:t>Shares</w:t>
            </w:r>
          </w:p>
        </w:tc>
        <w:tc>
          <w:tcPr>
            <w:tcW w:w="0" w:type="dxa"/>
            <w:vAlign w:val="bottom"/>
          </w:tcPr>
          <w:p>
            <w:pPr>
              <w:spacing w:after="0"/>
              <w:rPr>
                <w:sz w:val="1"/>
                <w:szCs w:val="1"/>
                <w:color w:val="auto"/>
              </w:rPr>
            </w:pPr>
          </w:p>
        </w:tc>
      </w:tr>
      <w:tr>
        <w:trPr>
          <w:trHeight w:val="192"/>
        </w:trPr>
        <w:tc>
          <w:tcPr>
            <w:tcW w:w="7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Name</w:t>
            </w:r>
          </w:p>
        </w:tc>
        <w:tc>
          <w:tcPr>
            <w:tcW w:w="106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0A9E50"/>
              </w:rPr>
              <w:t>Growth</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0A9E50"/>
              </w:rPr>
              <w:t>Margin</w:t>
            </w:r>
          </w:p>
        </w:tc>
        <w:tc>
          <w:tcPr>
            <w:tcW w:w="13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0A9E50"/>
                <w:w w:val="99"/>
              </w:rPr>
              <w:t>@ Target</w:t>
            </w:r>
          </w:p>
        </w:tc>
        <w:tc>
          <w:tcPr>
            <w:tcW w:w="0" w:type="dxa"/>
            <w:vAlign w:val="bottom"/>
          </w:tcPr>
          <w:p>
            <w:pPr>
              <w:spacing w:after="0"/>
              <w:rPr>
                <w:sz w:val="1"/>
                <w:szCs w:val="1"/>
                <w:color w:val="auto"/>
              </w:rPr>
            </w:pPr>
          </w:p>
        </w:tc>
      </w:tr>
      <w:tr>
        <w:trPr>
          <w:trHeight w:val="208"/>
        </w:trPr>
        <w:tc>
          <w:tcPr>
            <w:tcW w:w="7420" w:type="dxa"/>
            <w:vAlign w:val="bottom"/>
          </w:tcPr>
          <w:p>
            <w:pPr>
              <w:spacing w:after="0"/>
              <w:rPr>
                <w:sz w:val="20"/>
                <w:szCs w:val="20"/>
                <w:color w:val="auto"/>
              </w:rPr>
            </w:pPr>
            <w:r>
              <w:rPr>
                <w:rFonts w:ascii="Arial" w:cs="Arial" w:eastAsia="Arial" w:hAnsi="Arial"/>
                <w:sz w:val="16"/>
                <w:szCs w:val="16"/>
                <w:b w:val="1"/>
                <w:bCs w:val="1"/>
                <w:color w:val="auto"/>
              </w:rPr>
              <w:t>  Peter W. Quigley</w:t>
            </w:r>
          </w:p>
        </w:tc>
        <w:tc>
          <w:tcPr>
            <w:tcW w:w="1060" w:type="dxa"/>
            <w:vAlign w:val="bottom"/>
          </w:tcPr>
          <w:p>
            <w:pPr>
              <w:jc w:val="right"/>
              <w:ind w:right="105"/>
              <w:spacing w:after="0"/>
              <w:rPr>
                <w:sz w:val="20"/>
                <w:szCs w:val="20"/>
                <w:color w:val="auto"/>
              </w:rPr>
            </w:pPr>
            <w:r>
              <w:rPr>
                <w:rFonts w:ascii="Arial" w:cs="Arial" w:eastAsia="Arial" w:hAnsi="Arial"/>
                <w:sz w:val="16"/>
                <w:szCs w:val="16"/>
                <w:color w:val="auto"/>
              </w:rPr>
              <w:t>52,636</w:t>
            </w:r>
          </w:p>
        </w:tc>
        <w:tc>
          <w:tcPr>
            <w:tcW w:w="760" w:type="dxa"/>
            <w:vAlign w:val="bottom"/>
          </w:tcPr>
          <w:p>
            <w:pPr>
              <w:jc w:val="right"/>
              <w:spacing w:after="0"/>
              <w:rPr>
                <w:sz w:val="20"/>
                <w:szCs w:val="20"/>
                <w:color w:val="auto"/>
              </w:rPr>
            </w:pPr>
            <w:r>
              <w:rPr>
                <w:rFonts w:ascii="Arial" w:cs="Arial" w:eastAsia="Arial" w:hAnsi="Arial"/>
                <w:sz w:val="16"/>
                <w:szCs w:val="16"/>
                <w:color w:val="auto"/>
              </w:rPr>
              <w:t>52,636</w:t>
            </w:r>
          </w:p>
        </w:tc>
        <w:tc>
          <w:tcPr>
            <w:tcW w:w="1380" w:type="dxa"/>
            <w:vAlign w:val="bottom"/>
          </w:tcPr>
          <w:p>
            <w:pPr>
              <w:jc w:val="right"/>
              <w:ind w:right="146"/>
              <w:spacing w:after="0"/>
              <w:rPr>
                <w:sz w:val="20"/>
                <w:szCs w:val="20"/>
                <w:color w:val="auto"/>
              </w:rPr>
            </w:pPr>
            <w:r>
              <w:rPr>
                <w:rFonts w:ascii="Arial" w:cs="Arial" w:eastAsia="Arial" w:hAnsi="Arial"/>
                <w:sz w:val="16"/>
                <w:szCs w:val="16"/>
                <w:color w:val="auto"/>
              </w:rPr>
              <w:t>105,272</w:t>
            </w:r>
          </w:p>
        </w:tc>
        <w:tc>
          <w:tcPr>
            <w:tcW w:w="0" w:type="dxa"/>
            <w:vAlign w:val="bottom"/>
          </w:tcPr>
          <w:p>
            <w:pPr>
              <w:spacing w:after="0"/>
              <w:rPr>
                <w:sz w:val="1"/>
                <w:szCs w:val="1"/>
                <w:color w:val="auto"/>
              </w:rPr>
            </w:pPr>
          </w:p>
        </w:tc>
      </w:tr>
      <w:tr>
        <w:trPr>
          <w:trHeight w:val="45"/>
        </w:trPr>
        <w:tc>
          <w:tcPr>
            <w:tcW w:w="7420" w:type="dxa"/>
            <w:vAlign w:val="bottom"/>
            <w:tcBorders>
              <w:bottom w:val="single" w:sz="8" w:color="7F7F7F"/>
            </w:tcBorders>
          </w:tcPr>
          <w:p>
            <w:pPr>
              <w:spacing w:after="0"/>
              <w:rPr>
                <w:sz w:val="3"/>
                <w:szCs w:val="3"/>
                <w:color w:val="auto"/>
              </w:rPr>
            </w:pPr>
          </w:p>
        </w:tc>
        <w:tc>
          <w:tcPr>
            <w:tcW w:w="106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7420" w:type="dxa"/>
            <w:vAlign w:val="bottom"/>
          </w:tcPr>
          <w:p>
            <w:pPr>
              <w:spacing w:after="0"/>
              <w:rPr>
                <w:sz w:val="20"/>
                <w:szCs w:val="20"/>
                <w:color w:val="auto"/>
              </w:rPr>
            </w:pPr>
            <w:r>
              <w:rPr>
                <w:rFonts w:ascii="Arial" w:cs="Arial" w:eastAsia="Arial" w:hAnsi="Arial"/>
                <w:sz w:val="16"/>
                <w:szCs w:val="16"/>
                <w:b w:val="1"/>
                <w:bCs w:val="1"/>
                <w:color w:val="auto"/>
              </w:rPr>
              <w:t>  Olivier G. Thirot</w:t>
            </w:r>
          </w:p>
        </w:tc>
        <w:tc>
          <w:tcPr>
            <w:tcW w:w="1060" w:type="dxa"/>
            <w:vAlign w:val="bottom"/>
          </w:tcPr>
          <w:p>
            <w:pPr>
              <w:jc w:val="right"/>
              <w:ind w:right="105"/>
              <w:spacing w:after="0"/>
              <w:rPr>
                <w:sz w:val="20"/>
                <w:szCs w:val="20"/>
                <w:color w:val="auto"/>
              </w:rPr>
            </w:pPr>
            <w:r>
              <w:rPr>
                <w:rFonts w:ascii="Arial" w:cs="Arial" w:eastAsia="Arial" w:hAnsi="Arial"/>
                <w:sz w:val="16"/>
                <w:szCs w:val="16"/>
                <w:color w:val="auto"/>
              </w:rPr>
              <w:t>17,354</w:t>
            </w:r>
          </w:p>
        </w:tc>
        <w:tc>
          <w:tcPr>
            <w:tcW w:w="760" w:type="dxa"/>
            <w:vAlign w:val="bottom"/>
          </w:tcPr>
          <w:p>
            <w:pPr>
              <w:jc w:val="right"/>
              <w:spacing w:after="0"/>
              <w:rPr>
                <w:sz w:val="20"/>
                <w:szCs w:val="20"/>
                <w:color w:val="auto"/>
              </w:rPr>
            </w:pPr>
            <w:r>
              <w:rPr>
                <w:rFonts w:ascii="Arial" w:cs="Arial" w:eastAsia="Arial" w:hAnsi="Arial"/>
                <w:sz w:val="16"/>
                <w:szCs w:val="16"/>
                <w:color w:val="auto"/>
              </w:rPr>
              <w:t>17,354</w:t>
            </w:r>
          </w:p>
        </w:tc>
        <w:tc>
          <w:tcPr>
            <w:tcW w:w="1380" w:type="dxa"/>
            <w:vAlign w:val="bottom"/>
          </w:tcPr>
          <w:p>
            <w:pPr>
              <w:jc w:val="right"/>
              <w:ind w:right="146"/>
              <w:spacing w:after="0"/>
              <w:rPr>
                <w:sz w:val="20"/>
                <w:szCs w:val="20"/>
                <w:color w:val="auto"/>
              </w:rPr>
            </w:pPr>
            <w:r>
              <w:rPr>
                <w:rFonts w:ascii="Arial" w:cs="Arial" w:eastAsia="Arial" w:hAnsi="Arial"/>
                <w:sz w:val="16"/>
                <w:szCs w:val="16"/>
                <w:color w:val="auto"/>
              </w:rPr>
              <w:t>34,708</w:t>
            </w:r>
          </w:p>
        </w:tc>
        <w:tc>
          <w:tcPr>
            <w:tcW w:w="0" w:type="dxa"/>
            <w:vAlign w:val="bottom"/>
          </w:tcPr>
          <w:p>
            <w:pPr>
              <w:spacing w:after="0"/>
              <w:rPr>
                <w:sz w:val="1"/>
                <w:szCs w:val="1"/>
                <w:color w:val="auto"/>
              </w:rPr>
            </w:pPr>
          </w:p>
        </w:tc>
      </w:tr>
      <w:tr>
        <w:trPr>
          <w:trHeight w:val="45"/>
        </w:trPr>
        <w:tc>
          <w:tcPr>
            <w:tcW w:w="7420" w:type="dxa"/>
            <w:vAlign w:val="bottom"/>
            <w:tcBorders>
              <w:bottom w:val="single" w:sz="8" w:color="7F7F7F"/>
            </w:tcBorders>
          </w:tcPr>
          <w:p>
            <w:pPr>
              <w:spacing w:after="0"/>
              <w:rPr>
                <w:sz w:val="3"/>
                <w:szCs w:val="3"/>
                <w:color w:val="auto"/>
              </w:rPr>
            </w:pPr>
          </w:p>
        </w:tc>
        <w:tc>
          <w:tcPr>
            <w:tcW w:w="106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7420" w:type="dxa"/>
            <w:vAlign w:val="bottom"/>
          </w:tcPr>
          <w:p>
            <w:pPr>
              <w:spacing w:after="0"/>
              <w:rPr>
                <w:sz w:val="20"/>
                <w:szCs w:val="20"/>
                <w:color w:val="auto"/>
              </w:rPr>
            </w:pPr>
            <w:r>
              <w:rPr>
                <w:rFonts w:ascii="Arial" w:cs="Arial" w:eastAsia="Arial" w:hAnsi="Arial"/>
                <w:sz w:val="16"/>
                <w:szCs w:val="16"/>
                <w:b w:val="1"/>
                <w:bCs w:val="1"/>
                <w:color w:val="auto"/>
              </w:rPr>
              <w:t>  Daniel H. Malan</w:t>
            </w:r>
          </w:p>
        </w:tc>
        <w:tc>
          <w:tcPr>
            <w:tcW w:w="1060" w:type="dxa"/>
            <w:vAlign w:val="bottom"/>
          </w:tcPr>
          <w:p>
            <w:pPr>
              <w:jc w:val="right"/>
              <w:ind w:right="105"/>
              <w:spacing w:after="0"/>
              <w:rPr>
                <w:sz w:val="20"/>
                <w:szCs w:val="20"/>
                <w:color w:val="auto"/>
              </w:rPr>
            </w:pPr>
            <w:r>
              <w:rPr>
                <w:rFonts w:ascii="Arial" w:cs="Arial" w:eastAsia="Arial" w:hAnsi="Arial"/>
                <w:sz w:val="16"/>
                <w:szCs w:val="16"/>
                <w:color w:val="auto"/>
              </w:rPr>
              <w:t>6,218</w:t>
            </w:r>
          </w:p>
        </w:tc>
        <w:tc>
          <w:tcPr>
            <w:tcW w:w="760" w:type="dxa"/>
            <w:vAlign w:val="bottom"/>
          </w:tcPr>
          <w:p>
            <w:pPr>
              <w:jc w:val="right"/>
              <w:spacing w:after="0"/>
              <w:rPr>
                <w:sz w:val="20"/>
                <w:szCs w:val="20"/>
                <w:color w:val="auto"/>
              </w:rPr>
            </w:pPr>
            <w:r>
              <w:rPr>
                <w:rFonts w:ascii="Arial" w:cs="Arial" w:eastAsia="Arial" w:hAnsi="Arial"/>
                <w:sz w:val="16"/>
                <w:szCs w:val="16"/>
                <w:color w:val="auto"/>
              </w:rPr>
              <w:t>6,218</w:t>
            </w:r>
          </w:p>
        </w:tc>
        <w:tc>
          <w:tcPr>
            <w:tcW w:w="1380" w:type="dxa"/>
            <w:vAlign w:val="bottom"/>
          </w:tcPr>
          <w:p>
            <w:pPr>
              <w:jc w:val="right"/>
              <w:ind w:right="146"/>
              <w:spacing w:after="0"/>
              <w:rPr>
                <w:sz w:val="20"/>
                <w:szCs w:val="20"/>
                <w:color w:val="auto"/>
              </w:rPr>
            </w:pPr>
            <w:r>
              <w:rPr>
                <w:rFonts w:ascii="Arial" w:cs="Arial" w:eastAsia="Arial" w:hAnsi="Arial"/>
                <w:sz w:val="16"/>
                <w:szCs w:val="16"/>
                <w:color w:val="auto"/>
              </w:rPr>
              <w:t>12,436</w:t>
            </w:r>
          </w:p>
        </w:tc>
        <w:tc>
          <w:tcPr>
            <w:tcW w:w="0" w:type="dxa"/>
            <w:vAlign w:val="bottom"/>
          </w:tcPr>
          <w:p>
            <w:pPr>
              <w:spacing w:after="0"/>
              <w:rPr>
                <w:sz w:val="1"/>
                <w:szCs w:val="1"/>
                <w:color w:val="auto"/>
              </w:rPr>
            </w:pPr>
          </w:p>
        </w:tc>
      </w:tr>
      <w:tr>
        <w:trPr>
          <w:trHeight w:val="45"/>
        </w:trPr>
        <w:tc>
          <w:tcPr>
            <w:tcW w:w="7420" w:type="dxa"/>
            <w:vAlign w:val="bottom"/>
            <w:tcBorders>
              <w:bottom w:val="single" w:sz="8" w:color="7F7F7F"/>
            </w:tcBorders>
          </w:tcPr>
          <w:p>
            <w:pPr>
              <w:spacing w:after="0"/>
              <w:rPr>
                <w:sz w:val="3"/>
                <w:szCs w:val="3"/>
                <w:color w:val="auto"/>
              </w:rPr>
            </w:pPr>
          </w:p>
        </w:tc>
        <w:tc>
          <w:tcPr>
            <w:tcW w:w="106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7420" w:type="dxa"/>
            <w:vAlign w:val="bottom"/>
          </w:tcPr>
          <w:p>
            <w:pPr>
              <w:spacing w:after="0"/>
              <w:rPr>
                <w:sz w:val="20"/>
                <w:szCs w:val="20"/>
                <w:color w:val="auto"/>
              </w:rPr>
            </w:pPr>
            <w:r>
              <w:rPr>
                <w:rFonts w:ascii="Arial" w:cs="Arial" w:eastAsia="Arial" w:hAnsi="Arial"/>
                <w:sz w:val="16"/>
                <w:szCs w:val="16"/>
                <w:b w:val="1"/>
                <w:bCs w:val="1"/>
                <w:color w:val="auto"/>
              </w:rPr>
              <w:t>  Vanessa P. Williams</w:t>
            </w:r>
          </w:p>
        </w:tc>
        <w:tc>
          <w:tcPr>
            <w:tcW w:w="1060" w:type="dxa"/>
            <w:vAlign w:val="bottom"/>
          </w:tcPr>
          <w:p>
            <w:pPr>
              <w:jc w:val="right"/>
              <w:ind w:right="105"/>
              <w:spacing w:after="0"/>
              <w:rPr>
                <w:sz w:val="20"/>
                <w:szCs w:val="20"/>
                <w:color w:val="auto"/>
              </w:rPr>
            </w:pPr>
            <w:r>
              <w:rPr>
                <w:rFonts w:ascii="Arial" w:cs="Arial" w:eastAsia="Arial" w:hAnsi="Arial"/>
                <w:sz w:val="16"/>
                <w:szCs w:val="16"/>
                <w:color w:val="auto"/>
              </w:rPr>
              <w:t>7,748</w:t>
            </w:r>
          </w:p>
        </w:tc>
        <w:tc>
          <w:tcPr>
            <w:tcW w:w="760" w:type="dxa"/>
            <w:vAlign w:val="bottom"/>
          </w:tcPr>
          <w:p>
            <w:pPr>
              <w:jc w:val="right"/>
              <w:spacing w:after="0"/>
              <w:rPr>
                <w:sz w:val="20"/>
                <w:szCs w:val="20"/>
                <w:color w:val="auto"/>
              </w:rPr>
            </w:pPr>
            <w:r>
              <w:rPr>
                <w:rFonts w:ascii="Arial" w:cs="Arial" w:eastAsia="Arial" w:hAnsi="Arial"/>
                <w:sz w:val="16"/>
                <w:szCs w:val="16"/>
                <w:color w:val="auto"/>
              </w:rPr>
              <w:t>7,748</w:t>
            </w:r>
          </w:p>
        </w:tc>
        <w:tc>
          <w:tcPr>
            <w:tcW w:w="1380" w:type="dxa"/>
            <w:vAlign w:val="bottom"/>
          </w:tcPr>
          <w:p>
            <w:pPr>
              <w:jc w:val="right"/>
              <w:ind w:right="146"/>
              <w:spacing w:after="0"/>
              <w:rPr>
                <w:sz w:val="20"/>
                <w:szCs w:val="20"/>
                <w:color w:val="auto"/>
              </w:rPr>
            </w:pPr>
            <w:r>
              <w:rPr>
                <w:rFonts w:ascii="Arial" w:cs="Arial" w:eastAsia="Arial" w:hAnsi="Arial"/>
                <w:sz w:val="16"/>
                <w:szCs w:val="16"/>
                <w:color w:val="auto"/>
              </w:rPr>
              <w:t>15,496</w:t>
            </w:r>
          </w:p>
        </w:tc>
        <w:tc>
          <w:tcPr>
            <w:tcW w:w="0" w:type="dxa"/>
            <w:vAlign w:val="bottom"/>
          </w:tcPr>
          <w:p>
            <w:pPr>
              <w:spacing w:after="0"/>
              <w:rPr>
                <w:sz w:val="1"/>
                <w:szCs w:val="1"/>
                <w:color w:val="auto"/>
              </w:rPr>
            </w:pPr>
          </w:p>
        </w:tc>
      </w:tr>
      <w:tr>
        <w:trPr>
          <w:trHeight w:val="45"/>
        </w:trPr>
        <w:tc>
          <w:tcPr>
            <w:tcW w:w="7420" w:type="dxa"/>
            <w:vAlign w:val="bottom"/>
            <w:tcBorders>
              <w:bottom w:val="single" w:sz="8" w:color="7F7F7F"/>
            </w:tcBorders>
          </w:tcPr>
          <w:p>
            <w:pPr>
              <w:spacing w:after="0"/>
              <w:rPr>
                <w:sz w:val="3"/>
                <w:szCs w:val="3"/>
                <w:color w:val="auto"/>
              </w:rPr>
            </w:pPr>
          </w:p>
        </w:tc>
        <w:tc>
          <w:tcPr>
            <w:tcW w:w="1060" w:type="dxa"/>
            <w:vAlign w:val="bottom"/>
            <w:tcBorders>
              <w:bottom w:val="single" w:sz="8" w:color="7F7F7F"/>
            </w:tcBorders>
          </w:tcPr>
          <w:p>
            <w:pPr>
              <w:spacing w:after="0"/>
              <w:rPr>
                <w:sz w:val="3"/>
                <w:szCs w:val="3"/>
                <w:color w:val="auto"/>
              </w:rPr>
            </w:pPr>
          </w:p>
        </w:tc>
        <w:tc>
          <w:tcPr>
            <w:tcW w:w="760" w:type="dxa"/>
            <w:vAlign w:val="bottom"/>
            <w:tcBorders>
              <w:bottom w:val="single" w:sz="8" w:color="7F7F7F"/>
            </w:tcBorders>
          </w:tcPr>
          <w:p>
            <w:pPr>
              <w:spacing w:after="0"/>
              <w:rPr>
                <w:sz w:val="3"/>
                <w:szCs w:val="3"/>
                <w:color w:val="auto"/>
              </w:rPr>
            </w:pPr>
          </w:p>
        </w:tc>
        <w:tc>
          <w:tcPr>
            <w:tcW w:w="13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7420" w:type="dxa"/>
            <w:vAlign w:val="bottom"/>
          </w:tcPr>
          <w:p>
            <w:pPr>
              <w:spacing w:after="0"/>
              <w:rPr>
                <w:sz w:val="20"/>
                <w:szCs w:val="20"/>
                <w:color w:val="auto"/>
              </w:rPr>
            </w:pPr>
            <w:r>
              <w:rPr>
                <w:rFonts w:ascii="Arial" w:cs="Arial" w:eastAsia="Arial" w:hAnsi="Arial"/>
                <w:sz w:val="16"/>
                <w:szCs w:val="16"/>
                <w:b w:val="1"/>
                <w:bCs w:val="1"/>
                <w:color w:val="auto"/>
              </w:rPr>
              <w:t>  Dinette Koolhaas</w:t>
            </w:r>
          </w:p>
        </w:tc>
        <w:tc>
          <w:tcPr>
            <w:tcW w:w="1060" w:type="dxa"/>
            <w:vAlign w:val="bottom"/>
          </w:tcPr>
          <w:p>
            <w:pPr>
              <w:jc w:val="right"/>
              <w:ind w:right="105"/>
              <w:spacing w:after="0"/>
              <w:rPr>
                <w:sz w:val="20"/>
                <w:szCs w:val="20"/>
                <w:color w:val="auto"/>
              </w:rPr>
            </w:pPr>
            <w:r>
              <w:rPr>
                <w:rFonts w:ascii="Arial" w:cs="Arial" w:eastAsia="Arial" w:hAnsi="Arial"/>
                <w:sz w:val="16"/>
                <w:szCs w:val="16"/>
                <w:color w:val="auto"/>
              </w:rPr>
              <w:t>6,769</w:t>
            </w:r>
          </w:p>
        </w:tc>
        <w:tc>
          <w:tcPr>
            <w:tcW w:w="760" w:type="dxa"/>
            <w:vAlign w:val="bottom"/>
          </w:tcPr>
          <w:p>
            <w:pPr>
              <w:jc w:val="right"/>
              <w:spacing w:after="0"/>
              <w:rPr>
                <w:sz w:val="20"/>
                <w:szCs w:val="20"/>
                <w:color w:val="auto"/>
              </w:rPr>
            </w:pPr>
            <w:r>
              <w:rPr>
                <w:rFonts w:ascii="Arial" w:cs="Arial" w:eastAsia="Arial" w:hAnsi="Arial"/>
                <w:sz w:val="16"/>
                <w:szCs w:val="16"/>
                <w:color w:val="auto"/>
              </w:rPr>
              <w:t>6,769</w:t>
            </w:r>
          </w:p>
        </w:tc>
        <w:tc>
          <w:tcPr>
            <w:tcW w:w="1380" w:type="dxa"/>
            <w:vAlign w:val="bottom"/>
          </w:tcPr>
          <w:p>
            <w:pPr>
              <w:jc w:val="right"/>
              <w:ind w:right="146"/>
              <w:spacing w:after="0"/>
              <w:rPr>
                <w:sz w:val="20"/>
                <w:szCs w:val="20"/>
                <w:color w:val="auto"/>
              </w:rPr>
            </w:pPr>
            <w:r>
              <w:rPr>
                <w:rFonts w:ascii="Arial" w:cs="Arial" w:eastAsia="Arial" w:hAnsi="Arial"/>
                <w:sz w:val="16"/>
                <w:szCs w:val="16"/>
                <w:color w:val="auto"/>
              </w:rPr>
              <w:t>13,538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67405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91" w:lineRule="exact"/>
        <w:rPr>
          <w:sz w:val="20"/>
          <w:szCs w:val="20"/>
          <w:color w:val="auto"/>
        </w:rPr>
      </w:pPr>
    </w:p>
    <w:p>
      <w:pPr>
        <w:ind w:left="4" w:right="40"/>
        <w:spacing w:after="0" w:line="246" w:lineRule="auto"/>
        <w:rPr>
          <w:sz w:val="20"/>
          <w:szCs w:val="20"/>
          <w:color w:val="auto"/>
        </w:rPr>
      </w:pPr>
      <w:r>
        <w:rPr>
          <w:rFonts w:ascii="Arial" w:cs="Arial" w:eastAsia="Arial" w:hAnsi="Arial"/>
          <w:sz w:val="16"/>
          <w:szCs w:val="16"/>
          <w:color w:val="auto"/>
        </w:rPr>
        <w:t>The 2023 threshold goals were set at levels for which the Committee believed it was appropriate to start earning incentives; the target level was set at the expected/budgeted level, which the Committee considered were “challenging but achievable”; maximum goals were set at significant stretch levels for which the Committee believed the earning of two times target payout was warranted. Straight line interpolation occurs for achievement of performance between the stated goals.</w:t>
      </w:r>
    </w:p>
    <w:p>
      <w:pPr>
        <w:spacing w:after="0" w:line="52" w:lineRule="exact"/>
        <w:rPr>
          <w:sz w:val="20"/>
          <w:szCs w:val="20"/>
          <w:color w:val="auto"/>
        </w:rPr>
      </w:pPr>
    </w:p>
    <w:p>
      <w:pPr>
        <w:ind w:left="4" w:right="80"/>
        <w:spacing w:after="0" w:line="242" w:lineRule="auto"/>
        <w:rPr>
          <w:sz w:val="20"/>
          <w:szCs w:val="20"/>
          <w:color w:val="auto"/>
        </w:rPr>
      </w:pPr>
      <w:r>
        <w:rPr>
          <w:rFonts w:ascii="Arial" w:cs="Arial" w:eastAsia="Arial" w:hAnsi="Arial"/>
          <w:sz w:val="16"/>
          <w:szCs w:val="16"/>
          <w:color w:val="auto"/>
        </w:rPr>
        <w:t>In the event of a senior officer’s termination of employment due to death, disability, normal retirement, or termination not for cause, the officer will receive a prorated award of performance shares based on actual results achieved, if any. Normal retirement is defined as age 62 with at least five years of service, or a combination of age plus years of service equal to 70, with a minimum age of 60. In order to be eligible for a prorated award due to termination by the Company not for cause, a senior officer must have been employed for at least one year after the date the grants were approved by the Committee. The prorated amount is based on the number of whole months in the performance period that were worked by the senior officer prior to termination divided by 36. In the case of termination not for cause in connection with a change in control, performance shares vest immediately at target amounts.</w:t>
      </w:r>
    </w:p>
    <w:p>
      <w:pPr>
        <w:spacing w:after="0" w:line="184" w:lineRule="exact"/>
        <w:rPr>
          <w:sz w:val="20"/>
          <w:szCs w:val="20"/>
          <w:color w:val="auto"/>
        </w:rPr>
      </w:pPr>
    </w:p>
    <w:p>
      <w:pPr>
        <w:ind w:left="204"/>
        <w:spacing w:after="0"/>
        <w:rPr>
          <w:sz w:val="20"/>
          <w:szCs w:val="20"/>
          <w:color w:val="auto"/>
        </w:rPr>
      </w:pPr>
      <w:r>
        <w:rPr>
          <w:rFonts w:ascii="Arial" w:cs="Arial" w:eastAsia="Arial" w:hAnsi="Arial"/>
          <w:sz w:val="16"/>
          <w:szCs w:val="16"/>
          <w:i w:val="1"/>
          <w:iCs w:val="1"/>
          <w:u w:val="single" w:color="auto"/>
          <w:color w:val="auto"/>
        </w:rPr>
        <w:t>2021-2023 Long-Term Incentive Performance Results – Year 3</w:t>
      </w:r>
    </w:p>
    <w:p>
      <w:pPr>
        <w:spacing w:after="0" w:line="63" w:lineRule="exact"/>
        <w:rPr>
          <w:sz w:val="20"/>
          <w:szCs w:val="20"/>
          <w:color w:val="auto"/>
        </w:rPr>
      </w:pPr>
    </w:p>
    <w:p>
      <w:pPr>
        <w:ind w:left="4" w:right="40"/>
        <w:spacing w:after="0" w:line="244" w:lineRule="auto"/>
        <w:rPr>
          <w:sz w:val="20"/>
          <w:szCs w:val="20"/>
          <w:color w:val="auto"/>
        </w:rPr>
      </w:pPr>
      <w:r>
        <w:rPr>
          <w:rFonts w:ascii="Arial" w:cs="Arial" w:eastAsia="Arial" w:hAnsi="Arial"/>
          <w:sz w:val="16"/>
          <w:szCs w:val="16"/>
          <w:color w:val="auto"/>
        </w:rPr>
        <w:t>The 2021-2023 performance shares have two financial measures, revenue growth and EBITDA margin, which have three one-year goals set in the beginning of each performance year. In February 2023, the Committee approved goals at threshold, target, and maximum levels of performance for each of the measures for the 2023 portion of the award opportunity. During its February 13, 2024 meeting, the Committee approved the results for the 2023 performance year. Earned shares vested 100% upon Committee approval. Aggregate funding for all performance measures during the 2023 performance year was 50% of target. The final performance results for the 2023 performance year are provided in the following chart:</w:t>
      </w:r>
    </w:p>
    <w:p>
      <w:pPr>
        <w:spacing w:after="0" w:line="212"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0A9E50"/>
              </w:rPr>
              <w:t>2023 Performance Goals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A9E50"/>
                <w:w w:val="94"/>
              </w:rPr>
              <w:t>2021 Year</w:t>
            </w:r>
          </w:p>
        </w:tc>
        <w:tc>
          <w:tcPr>
            <w:tcW w:w="800" w:type="dxa"/>
            <w:vAlign w:val="bottom"/>
          </w:tcPr>
          <w:p>
            <w:pPr>
              <w:jc w:val="center"/>
              <w:ind w:right="26"/>
              <w:spacing w:after="0"/>
              <w:rPr>
                <w:sz w:val="20"/>
                <w:szCs w:val="20"/>
                <w:color w:val="auto"/>
              </w:rPr>
            </w:pPr>
            <w:r>
              <w:rPr>
                <w:rFonts w:ascii="Arial" w:cs="Arial" w:eastAsia="Arial" w:hAnsi="Arial"/>
                <w:sz w:val="14"/>
                <w:szCs w:val="14"/>
                <w:b w:val="1"/>
                <w:bCs w:val="1"/>
                <w:color w:val="0A9E50"/>
                <w:w w:val="98"/>
              </w:rPr>
              <w:t>Payout</w:t>
            </w:r>
          </w:p>
        </w:tc>
      </w:tr>
      <w:tr>
        <w:trPr>
          <w:trHeight w:val="136"/>
        </w:trPr>
        <w:tc>
          <w:tcPr>
            <w:tcW w:w="39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60" w:type="dxa"/>
            <w:vAlign w:val="bottom"/>
          </w:tcPr>
          <w:p>
            <w:pPr>
              <w:jc w:val="center"/>
              <w:spacing w:after="0" w:line="136" w:lineRule="exact"/>
              <w:rPr>
                <w:sz w:val="20"/>
                <w:szCs w:val="20"/>
                <w:color w:val="auto"/>
              </w:rPr>
            </w:pPr>
            <w:r>
              <w:rPr>
                <w:rFonts w:ascii="Arial" w:cs="Arial" w:eastAsia="Arial" w:hAnsi="Arial"/>
                <w:sz w:val="14"/>
                <w:szCs w:val="14"/>
                <w:b w:val="1"/>
                <w:bCs w:val="1"/>
                <w:color w:val="0A9E50"/>
                <w:w w:val="97"/>
              </w:rPr>
              <w:t>Threshold</w:t>
            </w:r>
          </w:p>
        </w:tc>
        <w:tc>
          <w:tcPr>
            <w:tcW w:w="900" w:type="dxa"/>
            <w:vAlign w:val="bottom"/>
          </w:tcPr>
          <w:p>
            <w:pPr>
              <w:jc w:val="center"/>
              <w:spacing w:after="0" w:line="136" w:lineRule="exact"/>
              <w:rPr>
                <w:sz w:val="20"/>
                <w:szCs w:val="20"/>
                <w:color w:val="auto"/>
              </w:rPr>
            </w:pPr>
            <w:r>
              <w:rPr>
                <w:rFonts w:ascii="Arial" w:cs="Arial" w:eastAsia="Arial" w:hAnsi="Arial"/>
                <w:sz w:val="14"/>
                <w:szCs w:val="14"/>
                <w:b w:val="1"/>
                <w:bCs w:val="1"/>
                <w:color w:val="0A9E50"/>
                <w:w w:val="93"/>
              </w:rPr>
              <w:t>Target</w:t>
            </w:r>
          </w:p>
        </w:tc>
        <w:tc>
          <w:tcPr>
            <w:tcW w:w="780" w:type="dxa"/>
            <w:vAlign w:val="bottom"/>
          </w:tcPr>
          <w:p>
            <w:pPr>
              <w:ind w:left="100"/>
              <w:spacing w:after="0" w:line="136" w:lineRule="exact"/>
              <w:rPr>
                <w:sz w:val="20"/>
                <w:szCs w:val="20"/>
                <w:color w:val="auto"/>
              </w:rPr>
            </w:pPr>
            <w:r>
              <w:rPr>
                <w:rFonts w:ascii="Arial" w:cs="Arial" w:eastAsia="Arial" w:hAnsi="Arial"/>
                <w:sz w:val="14"/>
                <w:szCs w:val="14"/>
                <w:b w:val="1"/>
                <w:bCs w:val="1"/>
                <w:color w:val="0A9E50"/>
              </w:rPr>
              <w:t>Maximum</w:t>
            </w:r>
          </w:p>
        </w:tc>
        <w:tc>
          <w:tcPr>
            <w:tcW w:w="880" w:type="dxa"/>
            <w:vAlign w:val="bottom"/>
          </w:tcPr>
          <w:p>
            <w:pPr>
              <w:jc w:val="center"/>
              <w:spacing w:after="0" w:line="136" w:lineRule="exact"/>
              <w:rPr>
                <w:sz w:val="20"/>
                <w:szCs w:val="20"/>
                <w:color w:val="auto"/>
              </w:rPr>
            </w:pPr>
            <w:r>
              <w:rPr>
                <w:rFonts w:ascii="Arial" w:cs="Arial" w:eastAsia="Arial" w:hAnsi="Arial"/>
                <w:sz w:val="14"/>
                <w:szCs w:val="14"/>
                <w:b w:val="1"/>
                <w:bCs w:val="1"/>
                <w:color w:val="0A9E50"/>
                <w:w w:val="99"/>
              </w:rPr>
              <w:t>3 Actual</w:t>
            </w:r>
          </w:p>
        </w:tc>
        <w:tc>
          <w:tcPr>
            <w:tcW w:w="800" w:type="dxa"/>
            <w:vAlign w:val="bottom"/>
          </w:tcPr>
          <w:p>
            <w:pPr>
              <w:jc w:val="center"/>
              <w:ind w:right="26"/>
              <w:spacing w:after="0" w:line="136" w:lineRule="exact"/>
              <w:rPr>
                <w:sz w:val="20"/>
                <w:szCs w:val="20"/>
                <w:color w:val="auto"/>
              </w:rPr>
            </w:pPr>
            <w:r>
              <w:rPr>
                <w:rFonts w:ascii="Arial" w:cs="Arial" w:eastAsia="Arial" w:hAnsi="Arial"/>
                <w:sz w:val="14"/>
                <w:szCs w:val="14"/>
                <w:b w:val="1"/>
                <w:bCs w:val="1"/>
                <w:color w:val="0A9E50"/>
              </w:rPr>
              <w:t>as % of</w:t>
            </w:r>
          </w:p>
        </w:tc>
      </w:tr>
      <w:tr>
        <w:trPr>
          <w:trHeight w:val="195"/>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Financial Performance Measures</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A9E50"/>
              </w:rPr>
              <w:t>Weighting</w:t>
            </w:r>
          </w:p>
        </w:tc>
        <w:tc>
          <w:tcPr>
            <w:tcW w:w="96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0A9E50"/>
              </w:rPr>
              <w:t>50%</w:t>
            </w:r>
          </w:p>
        </w:tc>
        <w:tc>
          <w:tcPr>
            <w:tcW w:w="90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0A9E50"/>
              </w:rPr>
              <w:t>100%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rPr>
              <w:t>200%</w:t>
            </w:r>
          </w:p>
        </w:tc>
        <w:tc>
          <w:tcPr>
            <w:tcW w:w="88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4"/>
                <w:szCs w:val="14"/>
                <w:b w:val="1"/>
                <w:bCs w:val="1"/>
                <w:color w:val="0A9E50"/>
                <w:w w:val="92"/>
              </w:rPr>
              <w:t>Results</w:t>
            </w:r>
            <w:r>
              <w:rPr>
                <w:rFonts w:ascii="Arial" w:cs="Arial" w:eastAsia="Arial" w:hAnsi="Arial"/>
                <w:sz w:val="20"/>
                <w:szCs w:val="20"/>
                <w:b w:val="1"/>
                <w:bCs w:val="1"/>
                <w:color w:val="0A9E50"/>
                <w:w w:val="92"/>
                <w:vertAlign w:val="superscript"/>
              </w:rPr>
              <w:t>(1)</w:t>
            </w: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0A9E50"/>
                <w:w w:val="98"/>
              </w:rPr>
              <w:t>Target</w:t>
            </w:r>
          </w:p>
        </w:tc>
      </w:tr>
      <w:tr>
        <w:trPr>
          <w:trHeight w:val="207"/>
        </w:trPr>
        <w:tc>
          <w:tcPr>
            <w:tcW w:w="39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Revenue Growth</w:t>
            </w:r>
          </w:p>
        </w:tc>
        <w:tc>
          <w:tcPr>
            <w:tcW w:w="2400" w:type="dxa"/>
            <w:vAlign w:val="bottom"/>
            <w:tcBorders>
              <w:bottom w:val="single" w:sz="8" w:color="7F7F7F"/>
            </w:tcBorders>
          </w:tcPr>
          <w:p>
            <w:pPr>
              <w:jc w:val="right"/>
              <w:ind w:right="65"/>
              <w:spacing w:after="0"/>
              <w:rPr>
                <w:sz w:val="20"/>
                <w:szCs w:val="20"/>
                <w:color w:val="auto"/>
              </w:rPr>
            </w:pPr>
            <w:r>
              <w:rPr>
                <w:rFonts w:ascii="Arial" w:cs="Arial" w:eastAsia="Arial" w:hAnsi="Arial"/>
                <w:sz w:val="16"/>
                <w:szCs w:val="16"/>
                <w:color w:val="auto"/>
              </w:rPr>
              <w:t>50.0%</w:t>
            </w:r>
          </w:p>
        </w:tc>
        <w:tc>
          <w:tcPr>
            <w:tcW w:w="960" w:type="dxa"/>
            <w:vAlign w:val="bottom"/>
            <w:tcBorders>
              <w:bottom w:val="single" w:sz="8" w:color="7F7F7F"/>
            </w:tcBorders>
          </w:tcPr>
          <w:p>
            <w:pPr>
              <w:jc w:val="right"/>
              <w:ind w:right="27"/>
              <w:spacing w:after="0"/>
              <w:rPr>
                <w:sz w:val="20"/>
                <w:szCs w:val="20"/>
                <w:color w:val="auto"/>
              </w:rPr>
            </w:pPr>
            <w:r>
              <w:rPr>
                <w:rFonts w:ascii="Arial" w:cs="Arial" w:eastAsia="Arial" w:hAnsi="Arial"/>
                <w:sz w:val="16"/>
                <w:szCs w:val="16"/>
                <w:color w:val="auto"/>
              </w:rPr>
              <w:t>$4,822.56</w:t>
            </w:r>
          </w:p>
        </w:tc>
        <w:tc>
          <w:tcPr>
            <w:tcW w:w="900" w:type="dxa"/>
            <w:vAlign w:val="bottom"/>
            <w:tcBorders>
              <w:bottom w:val="single" w:sz="8" w:color="7F7F7F"/>
            </w:tcBorders>
          </w:tcPr>
          <w:p>
            <w:pPr>
              <w:jc w:val="right"/>
              <w:ind w:right="6"/>
              <w:spacing w:after="0"/>
              <w:rPr>
                <w:sz w:val="20"/>
                <w:szCs w:val="20"/>
                <w:color w:val="auto"/>
              </w:rPr>
            </w:pPr>
            <w:r>
              <w:rPr>
                <w:rFonts w:ascii="Arial" w:cs="Arial" w:eastAsia="Arial" w:hAnsi="Arial"/>
                <w:sz w:val="16"/>
                <w:szCs w:val="16"/>
                <w:color w:val="auto"/>
              </w:rPr>
              <w:t>$5,076.38</w:t>
            </w:r>
          </w:p>
        </w:tc>
        <w:tc>
          <w:tcPr>
            <w:tcW w:w="7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5"/>
              </w:rPr>
              <w:t>$5,518.03</w:t>
            </w:r>
          </w:p>
        </w:tc>
        <w:tc>
          <w:tcPr>
            <w:tcW w:w="880" w:type="dxa"/>
            <w:vAlign w:val="bottom"/>
            <w:tcBorders>
              <w:bottom w:val="single" w:sz="8" w:color="7F7F7F"/>
            </w:tcBorders>
          </w:tcPr>
          <w:p>
            <w:pPr>
              <w:jc w:val="right"/>
              <w:ind w:right="7"/>
              <w:spacing w:after="0"/>
              <w:rPr>
                <w:sz w:val="20"/>
                <w:szCs w:val="20"/>
                <w:color w:val="auto"/>
              </w:rPr>
            </w:pPr>
            <w:r>
              <w:rPr>
                <w:rFonts w:ascii="Arial" w:cs="Arial" w:eastAsia="Arial" w:hAnsi="Arial"/>
                <w:sz w:val="16"/>
                <w:szCs w:val="16"/>
                <w:color w:val="auto"/>
              </w:rPr>
              <w:t>$4,771.91</w:t>
            </w:r>
          </w:p>
        </w:tc>
        <w:tc>
          <w:tcPr>
            <w:tcW w:w="800" w:type="dxa"/>
            <w:vAlign w:val="bottom"/>
            <w:tcBorders>
              <w:bottom w:val="single" w:sz="8" w:color="7F7F7F"/>
            </w:tcBorders>
          </w:tcPr>
          <w:p>
            <w:pPr>
              <w:jc w:val="right"/>
              <w:ind w:right="46"/>
              <w:spacing w:after="0"/>
              <w:rPr>
                <w:sz w:val="20"/>
                <w:szCs w:val="20"/>
                <w:color w:val="auto"/>
              </w:rPr>
            </w:pPr>
            <w:r>
              <w:rPr>
                <w:rFonts w:ascii="Arial" w:cs="Arial" w:eastAsia="Arial" w:hAnsi="Arial"/>
                <w:sz w:val="16"/>
                <w:szCs w:val="16"/>
                <w:color w:val="auto"/>
              </w:rPr>
              <w:t>0.00%</w:t>
            </w:r>
          </w:p>
        </w:tc>
      </w:tr>
      <w:tr>
        <w:trPr>
          <w:trHeight w:val="214"/>
        </w:trPr>
        <w:tc>
          <w:tcPr>
            <w:tcW w:w="39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EBITDA Margin</w:t>
            </w:r>
          </w:p>
        </w:tc>
        <w:tc>
          <w:tcPr>
            <w:tcW w:w="2400" w:type="dxa"/>
            <w:vAlign w:val="bottom"/>
            <w:tcBorders>
              <w:bottom w:val="single" w:sz="8" w:color="7F7F7F"/>
            </w:tcBorders>
          </w:tcPr>
          <w:p>
            <w:pPr>
              <w:jc w:val="right"/>
              <w:ind w:right="65"/>
              <w:spacing w:after="0"/>
              <w:rPr>
                <w:sz w:val="20"/>
                <w:szCs w:val="20"/>
                <w:color w:val="auto"/>
              </w:rPr>
            </w:pPr>
            <w:r>
              <w:rPr>
                <w:rFonts w:ascii="Arial" w:cs="Arial" w:eastAsia="Arial" w:hAnsi="Arial"/>
                <w:sz w:val="16"/>
                <w:szCs w:val="16"/>
                <w:color w:val="auto"/>
              </w:rPr>
              <w:t>50.0%</w:t>
            </w:r>
          </w:p>
        </w:tc>
        <w:tc>
          <w:tcPr>
            <w:tcW w:w="960" w:type="dxa"/>
            <w:vAlign w:val="bottom"/>
            <w:tcBorders>
              <w:bottom w:val="single" w:sz="8" w:color="7F7F7F"/>
            </w:tcBorders>
          </w:tcPr>
          <w:p>
            <w:pPr>
              <w:jc w:val="right"/>
              <w:ind w:right="147"/>
              <w:spacing w:after="0"/>
              <w:rPr>
                <w:sz w:val="20"/>
                <w:szCs w:val="20"/>
                <w:color w:val="auto"/>
              </w:rPr>
            </w:pPr>
            <w:r>
              <w:rPr>
                <w:rFonts w:ascii="Arial" w:cs="Arial" w:eastAsia="Arial" w:hAnsi="Arial"/>
                <w:sz w:val="16"/>
                <w:szCs w:val="16"/>
                <w:color w:val="auto"/>
              </w:rPr>
              <w:t>1.65%</w:t>
            </w:r>
          </w:p>
        </w:tc>
        <w:tc>
          <w:tcPr>
            <w:tcW w:w="900" w:type="dxa"/>
            <w:vAlign w:val="bottom"/>
            <w:tcBorders>
              <w:bottom w:val="single" w:sz="8" w:color="7F7F7F"/>
            </w:tcBorders>
          </w:tcPr>
          <w:p>
            <w:pPr>
              <w:jc w:val="right"/>
              <w:ind w:right="146"/>
              <w:spacing w:after="0"/>
              <w:rPr>
                <w:sz w:val="20"/>
                <w:szCs w:val="20"/>
                <w:color w:val="auto"/>
              </w:rPr>
            </w:pPr>
            <w:r>
              <w:rPr>
                <w:rFonts w:ascii="Arial" w:cs="Arial" w:eastAsia="Arial" w:hAnsi="Arial"/>
                <w:sz w:val="16"/>
                <w:szCs w:val="16"/>
                <w:color w:val="auto"/>
              </w:rPr>
              <w:t>2.25%</w:t>
            </w:r>
          </w:p>
        </w:tc>
        <w:tc>
          <w:tcPr>
            <w:tcW w:w="780" w:type="dxa"/>
            <w:vAlign w:val="bottom"/>
            <w:tcBorders>
              <w:bottom w:val="single" w:sz="8" w:color="7F7F7F"/>
            </w:tcBorders>
          </w:tcPr>
          <w:p>
            <w:pPr>
              <w:jc w:val="center"/>
              <w:spacing w:after="0"/>
              <w:rPr>
                <w:sz w:val="20"/>
                <w:szCs w:val="20"/>
                <w:color w:val="auto"/>
              </w:rPr>
            </w:pPr>
            <w:r>
              <w:rPr>
                <w:rFonts w:ascii="Arial" w:cs="Arial" w:eastAsia="Arial" w:hAnsi="Arial"/>
                <w:sz w:val="16"/>
                <w:szCs w:val="16"/>
                <w:color w:val="auto"/>
                <w:w w:val="96"/>
              </w:rPr>
              <w:t>2.77%</w:t>
            </w:r>
          </w:p>
        </w:tc>
        <w:tc>
          <w:tcPr>
            <w:tcW w:w="880" w:type="dxa"/>
            <w:vAlign w:val="bottom"/>
            <w:tcBorders>
              <w:bottom w:val="single" w:sz="8" w:color="7F7F7F"/>
            </w:tcBorders>
          </w:tcPr>
          <w:p>
            <w:pPr>
              <w:jc w:val="right"/>
              <w:ind w:right="127"/>
              <w:spacing w:after="0"/>
              <w:rPr>
                <w:sz w:val="20"/>
                <w:szCs w:val="20"/>
                <w:color w:val="auto"/>
              </w:rPr>
            </w:pPr>
            <w:r>
              <w:rPr>
                <w:rFonts w:ascii="Arial" w:cs="Arial" w:eastAsia="Arial" w:hAnsi="Arial"/>
                <w:sz w:val="16"/>
                <w:szCs w:val="16"/>
                <w:color w:val="auto"/>
              </w:rPr>
              <w:t>2.25%</w:t>
            </w:r>
          </w:p>
        </w:tc>
        <w:tc>
          <w:tcPr>
            <w:tcW w:w="800" w:type="dxa"/>
            <w:vAlign w:val="bottom"/>
            <w:tcBorders>
              <w:bottom w:val="single" w:sz="8" w:color="7F7F7F"/>
            </w:tcBorders>
          </w:tcPr>
          <w:p>
            <w:pPr>
              <w:jc w:val="right"/>
              <w:ind w:right="46"/>
              <w:spacing w:after="0"/>
              <w:rPr>
                <w:sz w:val="20"/>
                <w:szCs w:val="20"/>
                <w:color w:val="auto"/>
              </w:rPr>
            </w:pPr>
            <w:r>
              <w:rPr>
                <w:rFonts w:ascii="Arial" w:cs="Arial" w:eastAsia="Arial" w:hAnsi="Arial"/>
                <w:sz w:val="16"/>
                <w:szCs w:val="16"/>
                <w:color w:val="auto"/>
              </w:rPr>
              <w:t>100.00%</w:t>
            </w:r>
          </w:p>
        </w:tc>
      </w:tr>
      <w:tr>
        <w:trPr>
          <w:trHeight w:val="218"/>
        </w:trPr>
        <w:tc>
          <w:tcPr>
            <w:tcW w:w="39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 in millions</w:t>
            </w:r>
          </w:p>
        </w:tc>
        <w:tc>
          <w:tcPr>
            <w:tcW w:w="2400" w:type="dxa"/>
            <w:vAlign w:val="bottom"/>
            <w:tcBorders>
              <w:bottom w:val="single" w:sz="8" w:color="7F7F7F"/>
            </w:tcBorders>
          </w:tcPr>
          <w:p>
            <w:pPr>
              <w:spacing w:after="0"/>
              <w:rPr>
                <w:sz w:val="18"/>
                <w:szCs w:val="18"/>
                <w:color w:val="auto"/>
              </w:rPr>
            </w:pPr>
          </w:p>
        </w:tc>
        <w:tc>
          <w:tcPr>
            <w:tcW w:w="96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spacing w:after="0"/>
              <w:rPr>
                <w:sz w:val="18"/>
                <w:szCs w:val="18"/>
                <w:color w:val="auto"/>
              </w:rPr>
            </w:pPr>
          </w:p>
        </w:tc>
        <w:tc>
          <w:tcPr>
            <w:tcW w:w="1660" w:type="dxa"/>
            <w:vAlign w:val="bottom"/>
            <w:tcBorders>
              <w:bottom w:val="single" w:sz="8" w:color="7F7F7F"/>
            </w:tcBorders>
            <w:gridSpan w:val="2"/>
          </w:tcPr>
          <w:p>
            <w:pPr>
              <w:ind w:left="260"/>
              <w:spacing w:after="0"/>
              <w:rPr>
                <w:sz w:val="20"/>
                <w:szCs w:val="20"/>
                <w:color w:val="auto"/>
              </w:rPr>
            </w:pPr>
            <w:r>
              <w:rPr>
                <w:rFonts w:ascii="Arial" w:cs="Arial" w:eastAsia="Arial" w:hAnsi="Arial"/>
                <w:sz w:val="16"/>
                <w:szCs w:val="16"/>
                <w:b w:val="1"/>
                <w:bCs w:val="1"/>
                <w:color w:val="auto"/>
              </w:rPr>
              <w:t>Weighted Payout:</w:t>
            </w:r>
          </w:p>
        </w:tc>
        <w:tc>
          <w:tcPr>
            <w:tcW w:w="800" w:type="dxa"/>
            <w:vAlign w:val="bottom"/>
            <w:tcBorders>
              <w:bottom w:val="single" w:sz="8" w:color="7F7F7F"/>
            </w:tcBorders>
          </w:tcPr>
          <w:p>
            <w:pPr>
              <w:jc w:val="right"/>
              <w:ind w:right="46"/>
              <w:spacing w:after="0"/>
              <w:rPr>
                <w:sz w:val="20"/>
                <w:szCs w:val="20"/>
                <w:color w:val="auto"/>
              </w:rPr>
            </w:pPr>
            <w:r>
              <w:rPr>
                <w:rFonts w:ascii="Arial" w:cs="Arial" w:eastAsia="Arial" w:hAnsi="Arial"/>
                <w:sz w:val="16"/>
                <w:szCs w:val="16"/>
                <w:b w:val="1"/>
                <w:bCs w:val="1"/>
                <w:color w:val="auto"/>
              </w:rPr>
              <w:t>50.00%</w:t>
            </w:r>
          </w:p>
        </w:tc>
      </w:tr>
    </w:tbl>
    <w:p>
      <w:pPr>
        <w:spacing w:after="0" w:line="99" w:lineRule="exact"/>
        <w:rPr>
          <w:sz w:val="20"/>
          <w:szCs w:val="20"/>
          <w:color w:val="auto"/>
        </w:rPr>
      </w:pPr>
    </w:p>
    <w:p>
      <w:pPr>
        <w:ind w:left="304" w:hanging="304"/>
        <w:spacing w:after="0"/>
        <w:tabs>
          <w:tab w:leader="none" w:pos="304" w:val="left"/>
        </w:tabs>
        <w:numPr>
          <w:ilvl w:val="0"/>
          <w:numId w:val="34"/>
        </w:numPr>
        <w:rPr>
          <w:rFonts w:ascii="Arial" w:cs="Arial" w:eastAsia="Arial" w:hAnsi="Arial"/>
          <w:sz w:val="12"/>
          <w:szCs w:val="12"/>
          <w:color w:val="auto"/>
        </w:rPr>
      </w:pPr>
      <w:r>
        <w:rPr>
          <w:rFonts w:ascii="Arial" w:cs="Arial" w:eastAsia="Arial" w:hAnsi="Arial"/>
          <w:sz w:val="12"/>
          <w:szCs w:val="12"/>
          <w:color w:val="auto"/>
        </w:rPr>
        <w:t>2023 performance amount includes adjustments for restructuring and divestiture costs and other considerations approved by the Committee.</w:t>
      </w:r>
    </w:p>
    <w:p>
      <w:pPr>
        <w:spacing w:after="0" w:line="78" w:lineRule="exact"/>
        <w:rPr>
          <w:sz w:val="20"/>
          <w:szCs w:val="20"/>
          <w:color w:val="auto"/>
        </w:rPr>
      </w:pPr>
    </w:p>
    <w:p>
      <w:pPr>
        <w:ind w:left="64"/>
        <w:spacing w:after="0"/>
        <w:tabs>
          <w:tab w:leader="none" w:pos="563" w:val="left"/>
        </w:tabs>
        <w:rPr>
          <w:sz w:val="20"/>
          <w:szCs w:val="20"/>
          <w:color w:val="auto"/>
        </w:rPr>
      </w:pPr>
      <w:r>
        <w:rPr>
          <w:rFonts w:ascii="Arial" w:cs="Arial" w:eastAsia="Arial" w:hAnsi="Arial"/>
          <w:sz w:val="36"/>
          <w:szCs w:val="36"/>
          <w:color w:val="auto"/>
          <w:vertAlign w:val="superscript"/>
        </w:rPr>
        <w:t>58 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-214630</wp:posOffset>
            </wp:positionV>
            <wp:extent cx="8255" cy="2228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bookmarkStart w:id="60" w:name="page61"/>
    <w:bookmarkEnd w:id="60"/>
    <w:p>
      <w:pPr>
        <w:ind w:left="8144"/>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137" w:lineRule="exact"/>
        <w:rPr>
          <w:sz w:val="20"/>
          <w:szCs w:val="20"/>
          <w:color w:val="auto"/>
        </w:rPr>
      </w:pPr>
    </w:p>
    <w:p>
      <w:pPr>
        <w:ind w:left="4" w:right="120"/>
        <w:spacing w:after="0" w:line="265" w:lineRule="auto"/>
        <w:rPr>
          <w:sz w:val="20"/>
          <w:szCs w:val="20"/>
          <w:color w:val="auto"/>
        </w:rPr>
      </w:pPr>
      <w:r>
        <w:rPr>
          <w:rFonts w:ascii="Arial" w:cs="Arial" w:eastAsia="Arial" w:hAnsi="Arial"/>
          <w:sz w:val="16"/>
          <w:szCs w:val="16"/>
          <w:color w:val="auto"/>
        </w:rPr>
        <w:t>As a result of the above level of achievement for each of the performance measures for year 3 of the 2021-2023 LTI award, the Committee approved the following number of earned performance shares for each named executive officer.</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32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0A9E50"/>
                <w:w w:val="98"/>
              </w:rPr>
              <w:t>Financial Measure:</w:t>
            </w:r>
          </w:p>
        </w:tc>
        <w:tc>
          <w:tcPr>
            <w:tcW w:w="2620" w:type="dxa"/>
            <w:vAlign w:val="bottom"/>
            <w:gridSpan w:val="2"/>
          </w:tcPr>
          <w:p>
            <w:pPr>
              <w:jc w:val="center"/>
              <w:spacing w:after="0"/>
              <w:rPr>
                <w:sz w:val="20"/>
                <w:szCs w:val="20"/>
                <w:color w:val="auto"/>
              </w:rPr>
            </w:pPr>
            <w:r>
              <w:rPr>
                <w:rFonts w:ascii="Arial" w:cs="Arial" w:eastAsia="Arial" w:hAnsi="Arial"/>
                <w:sz w:val="14"/>
                <w:szCs w:val="14"/>
                <w:b w:val="1"/>
                <w:bCs w:val="1"/>
                <w:color w:val="0A9E50"/>
                <w:w w:val="98"/>
              </w:rPr>
              <w:t>Financial Measure:</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80" w:type="dxa"/>
            <w:vAlign w:val="bottom"/>
          </w:tcPr>
          <w:p>
            <w:pPr>
              <w:spacing w:after="0"/>
              <w:rPr>
                <w:sz w:val="14"/>
                <w:szCs w:val="14"/>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A9E50"/>
                <w:w w:val="98"/>
              </w:rPr>
              <w:t>Revenue Growth</w:t>
            </w:r>
          </w:p>
        </w:tc>
        <w:tc>
          <w:tcPr>
            <w:tcW w:w="620" w:type="dxa"/>
            <w:vAlign w:val="bottom"/>
          </w:tcPr>
          <w:p>
            <w:pPr>
              <w:spacing w:after="0"/>
              <w:rPr>
                <w:sz w:val="14"/>
                <w:szCs w:val="14"/>
                <w:color w:val="auto"/>
              </w:rPr>
            </w:pPr>
          </w:p>
        </w:tc>
        <w:tc>
          <w:tcPr>
            <w:tcW w:w="2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A9E50"/>
                <w:w w:val="98"/>
              </w:rPr>
              <w:t>EBITDA Margin</w:t>
            </w:r>
          </w:p>
        </w:tc>
        <w:tc>
          <w:tcPr>
            <w:tcW w:w="1600" w:type="dxa"/>
            <w:vAlign w:val="bottom"/>
            <w:vMerge w:val="restart"/>
          </w:tcPr>
          <w:p>
            <w:pPr>
              <w:jc w:val="center"/>
              <w:ind w:left="526"/>
              <w:spacing w:after="0"/>
              <w:rPr>
                <w:sz w:val="20"/>
                <w:szCs w:val="20"/>
                <w:color w:val="auto"/>
              </w:rPr>
            </w:pPr>
            <w:r>
              <w:rPr>
                <w:rFonts w:ascii="Arial" w:cs="Arial" w:eastAsia="Arial" w:hAnsi="Arial"/>
                <w:sz w:val="14"/>
                <w:szCs w:val="14"/>
                <w:b w:val="1"/>
                <w:bCs w:val="1"/>
                <w:color w:val="0A9E50"/>
                <w:w w:val="96"/>
              </w:rPr>
              <w:t>Total # of</w:t>
            </w:r>
          </w:p>
        </w:tc>
        <w:tc>
          <w:tcPr>
            <w:tcW w:w="0" w:type="dxa"/>
            <w:vAlign w:val="bottom"/>
          </w:tcPr>
          <w:p>
            <w:pPr>
              <w:spacing w:after="0"/>
              <w:rPr>
                <w:sz w:val="1"/>
                <w:szCs w:val="1"/>
                <w:color w:val="auto"/>
              </w:rPr>
            </w:pPr>
          </w:p>
        </w:tc>
      </w:tr>
      <w:tr>
        <w:trPr>
          <w:trHeight w:val="49"/>
        </w:trPr>
        <w:tc>
          <w:tcPr>
            <w:tcW w:w="3180" w:type="dxa"/>
            <w:vAlign w:val="bottom"/>
          </w:tcPr>
          <w:p>
            <w:pPr>
              <w:spacing w:after="0"/>
              <w:rPr>
                <w:sz w:val="4"/>
                <w:szCs w:val="4"/>
                <w:color w:val="auto"/>
              </w:rPr>
            </w:pPr>
          </w:p>
        </w:tc>
        <w:tc>
          <w:tcPr>
            <w:tcW w:w="26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0A9E50"/>
                <w:w w:val="98"/>
              </w:rPr>
              <w:t>Payout as % of Target: 0.00%</w:t>
            </w:r>
          </w:p>
        </w:tc>
        <w:tc>
          <w:tcPr>
            <w:tcW w:w="620" w:type="dxa"/>
            <w:vAlign w:val="bottom"/>
            <w:vMerge w:val="restart"/>
          </w:tcPr>
          <w:p>
            <w:pPr>
              <w:spacing w:after="0"/>
              <w:rPr>
                <w:sz w:val="4"/>
                <w:szCs w:val="4"/>
                <w:color w:val="auto"/>
              </w:rPr>
            </w:pPr>
          </w:p>
        </w:tc>
        <w:tc>
          <w:tcPr>
            <w:tcW w:w="26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0A9E50"/>
                <w:w w:val="98"/>
              </w:rPr>
              <w:t>Payout as % of Target: 100.00%</w:t>
            </w: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3180" w:type="dxa"/>
            <w:vAlign w:val="bottom"/>
          </w:tcPr>
          <w:p>
            <w:pPr>
              <w:spacing w:after="0"/>
              <w:rPr>
                <w:sz w:val="8"/>
                <w:szCs w:val="8"/>
                <w:color w:val="auto"/>
              </w:rPr>
            </w:pPr>
          </w:p>
        </w:tc>
        <w:tc>
          <w:tcPr>
            <w:tcW w:w="2600" w:type="dxa"/>
            <w:vAlign w:val="bottom"/>
            <w:tcBorders>
              <w:bottom w:val="single" w:sz="8" w:color="auto"/>
            </w:tcBorders>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620" w:type="dxa"/>
            <w:vAlign w:val="bottom"/>
            <w:tcBorders>
              <w:bottom w:val="single" w:sz="8" w:color="auto"/>
            </w:tcBorders>
            <w:gridSpan w:val="2"/>
            <w:vMerge w:val="continue"/>
          </w:tcPr>
          <w:p>
            <w:pPr>
              <w:spacing w:after="0"/>
              <w:rPr>
                <w:sz w:val="8"/>
                <w:szCs w:val="8"/>
                <w:color w:val="auto"/>
              </w:rPr>
            </w:pPr>
          </w:p>
        </w:tc>
        <w:tc>
          <w:tcPr>
            <w:tcW w:w="1600" w:type="dxa"/>
            <w:vAlign w:val="bottom"/>
            <w:vMerge w:val="restart"/>
          </w:tcPr>
          <w:p>
            <w:pPr>
              <w:jc w:val="center"/>
              <w:ind w:left="526"/>
              <w:spacing w:after="0" w:line="156" w:lineRule="exact"/>
              <w:rPr>
                <w:sz w:val="20"/>
                <w:szCs w:val="20"/>
                <w:color w:val="auto"/>
              </w:rPr>
            </w:pPr>
            <w:r>
              <w:rPr>
                <w:rFonts w:ascii="Arial" w:cs="Arial" w:eastAsia="Arial" w:hAnsi="Arial"/>
                <w:sz w:val="14"/>
                <w:szCs w:val="14"/>
                <w:b w:val="1"/>
                <w:bCs w:val="1"/>
                <w:color w:val="0A9E50"/>
                <w:w w:val="95"/>
              </w:rPr>
              <w:t>Year 3</w:t>
            </w:r>
          </w:p>
        </w:tc>
        <w:tc>
          <w:tcPr>
            <w:tcW w:w="0" w:type="dxa"/>
            <w:vAlign w:val="bottom"/>
          </w:tcPr>
          <w:p>
            <w:pPr>
              <w:spacing w:after="0"/>
              <w:rPr>
                <w:sz w:val="1"/>
                <w:szCs w:val="1"/>
                <w:color w:val="auto"/>
              </w:rPr>
            </w:pPr>
          </w:p>
        </w:tc>
      </w:tr>
      <w:tr>
        <w:trPr>
          <w:trHeight w:val="36"/>
        </w:trPr>
        <w:tc>
          <w:tcPr>
            <w:tcW w:w="3180" w:type="dxa"/>
            <w:vAlign w:val="bottom"/>
          </w:tcPr>
          <w:p>
            <w:pPr>
              <w:spacing w:after="0"/>
              <w:rPr>
                <w:sz w:val="3"/>
                <w:szCs w:val="3"/>
                <w:color w:val="auto"/>
              </w:rPr>
            </w:pPr>
          </w:p>
        </w:tc>
        <w:tc>
          <w:tcPr>
            <w:tcW w:w="1300" w:type="dxa"/>
            <w:vAlign w:val="bottom"/>
            <w:vMerge w:val="restart"/>
          </w:tcPr>
          <w:p>
            <w:pPr>
              <w:jc w:val="right"/>
              <w:ind w:right="246"/>
              <w:spacing w:after="0" w:line="140" w:lineRule="exact"/>
              <w:rPr>
                <w:sz w:val="20"/>
                <w:szCs w:val="20"/>
                <w:color w:val="auto"/>
              </w:rPr>
            </w:pPr>
            <w:r>
              <w:rPr>
                <w:rFonts w:ascii="Arial" w:cs="Arial" w:eastAsia="Arial" w:hAnsi="Arial"/>
                <w:sz w:val="14"/>
                <w:szCs w:val="14"/>
                <w:b w:val="1"/>
                <w:bCs w:val="1"/>
                <w:color w:val="0A9E50"/>
                <w:w w:val="95"/>
              </w:rPr>
              <w:t>Year 3 Target #</w:t>
            </w:r>
          </w:p>
        </w:tc>
        <w:tc>
          <w:tcPr>
            <w:tcW w:w="1920" w:type="dxa"/>
            <w:vAlign w:val="bottom"/>
            <w:gridSpan w:val="2"/>
            <w:vMerge w:val="restart"/>
          </w:tcPr>
          <w:p>
            <w:pPr>
              <w:jc w:val="center"/>
              <w:ind w:right="300"/>
              <w:spacing w:after="0" w:line="140" w:lineRule="exact"/>
              <w:rPr>
                <w:sz w:val="20"/>
                <w:szCs w:val="20"/>
                <w:color w:val="auto"/>
              </w:rPr>
            </w:pPr>
            <w:r>
              <w:rPr>
                <w:rFonts w:ascii="Arial" w:cs="Arial" w:eastAsia="Arial" w:hAnsi="Arial"/>
                <w:sz w:val="14"/>
                <w:szCs w:val="14"/>
                <w:b w:val="1"/>
                <w:bCs w:val="1"/>
                <w:color w:val="0A9E50"/>
                <w:w w:val="98"/>
              </w:rPr>
              <w:t>Year 3 # of</w:t>
            </w:r>
          </w:p>
        </w:tc>
        <w:tc>
          <w:tcPr>
            <w:tcW w:w="1320" w:type="dxa"/>
            <w:vAlign w:val="bottom"/>
            <w:vMerge w:val="restart"/>
          </w:tcPr>
          <w:p>
            <w:pPr>
              <w:jc w:val="right"/>
              <w:ind w:right="246"/>
              <w:spacing w:after="0" w:line="140" w:lineRule="exact"/>
              <w:rPr>
                <w:sz w:val="20"/>
                <w:szCs w:val="20"/>
                <w:color w:val="auto"/>
              </w:rPr>
            </w:pPr>
            <w:r>
              <w:rPr>
                <w:rFonts w:ascii="Arial" w:cs="Arial" w:eastAsia="Arial" w:hAnsi="Arial"/>
                <w:sz w:val="14"/>
                <w:szCs w:val="14"/>
                <w:b w:val="1"/>
                <w:bCs w:val="1"/>
                <w:color w:val="0A9E50"/>
                <w:w w:val="97"/>
              </w:rPr>
              <w:t>Year 3 Target #</w:t>
            </w:r>
          </w:p>
        </w:tc>
        <w:tc>
          <w:tcPr>
            <w:tcW w:w="1300" w:type="dxa"/>
            <w:vAlign w:val="bottom"/>
            <w:vMerge w:val="restart"/>
          </w:tcPr>
          <w:p>
            <w:pPr>
              <w:jc w:val="right"/>
              <w:ind w:right="64"/>
              <w:spacing w:after="0" w:line="140" w:lineRule="exact"/>
              <w:rPr>
                <w:sz w:val="20"/>
                <w:szCs w:val="20"/>
                <w:color w:val="auto"/>
              </w:rPr>
            </w:pPr>
            <w:r>
              <w:rPr>
                <w:rFonts w:ascii="Arial" w:cs="Arial" w:eastAsia="Arial" w:hAnsi="Arial"/>
                <w:sz w:val="14"/>
                <w:szCs w:val="14"/>
                <w:b w:val="1"/>
                <w:bCs w:val="1"/>
                <w:color w:val="0A9E50"/>
              </w:rPr>
              <w:t>Year 3 # of</w:t>
            </w: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4"/>
        </w:trPr>
        <w:tc>
          <w:tcPr>
            <w:tcW w:w="3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600" w:type="dxa"/>
            <w:vAlign w:val="bottom"/>
            <w:vMerge w:val="restart"/>
          </w:tcPr>
          <w:p>
            <w:pPr>
              <w:jc w:val="center"/>
              <w:ind w:left="526"/>
              <w:spacing w:after="0" w:line="156" w:lineRule="exact"/>
              <w:rPr>
                <w:sz w:val="20"/>
                <w:szCs w:val="20"/>
                <w:color w:val="auto"/>
              </w:rPr>
            </w:pPr>
            <w:r>
              <w:rPr>
                <w:rFonts w:ascii="Arial" w:cs="Arial" w:eastAsia="Arial" w:hAnsi="Arial"/>
                <w:sz w:val="14"/>
                <w:szCs w:val="14"/>
                <w:b w:val="1"/>
                <w:bCs w:val="1"/>
                <w:color w:val="0A9E50"/>
                <w:w w:val="98"/>
              </w:rPr>
              <w:t>Performance</w:t>
            </w:r>
          </w:p>
        </w:tc>
        <w:tc>
          <w:tcPr>
            <w:tcW w:w="0" w:type="dxa"/>
            <w:vAlign w:val="bottom"/>
          </w:tcPr>
          <w:p>
            <w:pPr>
              <w:spacing w:after="0"/>
              <w:rPr>
                <w:sz w:val="1"/>
                <w:szCs w:val="1"/>
                <w:color w:val="auto"/>
              </w:rPr>
            </w:pPr>
          </w:p>
        </w:tc>
      </w:tr>
      <w:tr>
        <w:trPr>
          <w:trHeight w:val="52"/>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0A9E50"/>
              </w:rPr>
              <w:t>  Name</w:t>
            </w:r>
          </w:p>
        </w:tc>
        <w:tc>
          <w:tcPr>
            <w:tcW w:w="1300" w:type="dxa"/>
            <w:vAlign w:val="bottom"/>
            <w:vMerge w:val="restart"/>
          </w:tcPr>
          <w:p>
            <w:pPr>
              <w:jc w:val="right"/>
              <w:ind w:right="406"/>
              <w:spacing w:after="0"/>
              <w:rPr>
                <w:sz w:val="20"/>
                <w:szCs w:val="20"/>
                <w:color w:val="auto"/>
              </w:rPr>
            </w:pPr>
            <w:r>
              <w:rPr>
                <w:rFonts w:ascii="Arial" w:cs="Arial" w:eastAsia="Arial" w:hAnsi="Arial"/>
                <w:sz w:val="14"/>
                <w:szCs w:val="14"/>
                <w:b w:val="1"/>
                <w:bCs w:val="1"/>
                <w:color w:val="0A9E50"/>
              </w:rPr>
              <w:t>of Shares</w:t>
            </w:r>
          </w:p>
        </w:tc>
        <w:tc>
          <w:tcPr>
            <w:tcW w:w="1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0A9E50"/>
                <w:w w:val="99"/>
              </w:rPr>
              <w:t>Shares Earned</w:t>
            </w:r>
          </w:p>
        </w:tc>
        <w:tc>
          <w:tcPr>
            <w:tcW w:w="1320" w:type="dxa"/>
            <w:vAlign w:val="bottom"/>
            <w:vMerge w:val="restart"/>
          </w:tcPr>
          <w:p>
            <w:pPr>
              <w:jc w:val="right"/>
              <w:ind w:right="426"/>
              <w:spacing w:after="0"/>
              <w:rPr>
                <w:sz w:val="20"/>
                <w:szCs w:val="20"/>
                <w:color w:val="auto"/>
              </w:rPr>
            </w:pPr>
            <w:r>
              <w:rPr>
                <w:rFonts w:ascii="Arial" w:cs="Arial" w:eastAsia="Arial" w:hAnsi="Arial"/>
                <w:sz w:val="14"/>
                <w:szCs w:val="14"/>
                <w:b w:val="1"/>
                <w:bCs w:val="1"/>
                <w:color w:val="0A9E50"/>
              </w:rPr>
              <w:t>of Shares</w:t>
            </w: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0A9E50"/>
              </w:rPr>
              <w:t>Shares Earned</w:t>
            </w: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18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920" w:type="dxa"/>
            <w:vAlign w:val="bottom"/>
            <w:tcBorders>
              <w:bottom w:val="single" w:sz="8" w:color="auto"/>
            </w:tcBorders>
            <w:gridSpan w:val="2"/>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tcPr>
          <w:p>
            <w:pPr>
              <w:jc w:val="center"/>
              <w:ind w:left="526"/>
              <w:spacing w:after="0"/>
              <w:rPr>
                <w:sz w:val="20"/>
                <w:szCs w:val="20"/>
                <w:color w:val="auto"/>
              </w:rPr>
            </w:pPr>
            <w:r>
              <w:rPr>
                <w:rFonts w:ascii="Arial" w:cs="Arial" w:eastAsia="Arial" w:hAnsi="Arial"/>
                <w:sz w:val="14"/>
                <w:szCs w:val="14"/>
                <w:b w:val="1"/>
                <w:bCs w:val="1"/>
                <w:color w:val="0A9E50"/>
                <w:w w:val="97"/>
              </w:rPr>
              <w:t>Shares Earned</w:t>
            </w: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Arial" w:cs="Arial" w:eastAsia="Arial" w:hAnsi="Arial"/>
                <w:sz w:val="16"/>
                <w:szCs w:val="16"/>
                <w:b w:val="1"/>
                <w:bCs w:val="1"/>
                <w:color w:val="auto"/>
              </w:rPr>
              <w:t>  Peter W. Quigley</w:t>
            </w:r>
          </w:p>
        </w:tc>
        <w:tc>
          <w:tcPr>
            <w:tcW w:w="1300" w:type="dxa"/>
            <w:vAlign w:val="bottom"/>
          </w:tcPr>
          <w:p>
            <w:pPr>
              <w:jc w:val="right"/>
              <w:ind w:right="386"/>
              <w:spacing w:after="0"/>
              <w:rPr>
                <w:sz w:val="20"/>
                <w:szCs w:val="20"/>
                <w:color w:val="auto"/>
              </w:rPr>
            </w:pPr>
            <w:r>
              <w:rPr>
                <w:rFonts w:ascii="Arial" w:cs="Arial" w:eastAsia="Arial" w:hAnsi="Arial"/>
                <w:sz w:val="16"/>
                <w:szCs w:val="16"/>
                <w:color w:val="auto"/>
              </w:rPr>
              <w:t>9,991</w:t>
            </w:r>
          </w:p>
        </w:tc>
        <w:tc>
          <w:tcPr>
            <w:tcW w:w="1300" w:type="dxa"/>
            <w:vAlign w:val="bottom"/>
          </w:tcPr>
          <w:p>
            <w:pPr>
              <w:jc w:val="right"/>
              <w:ind w:right="324"/>
              <w:spacing w:after="0"/>
              <w:rPr>
                <w:sz w:val="20"/>
                <w:szCs w:val="20"/>
                <w:color w:val="auto"/>
              </w:rPr>
            </w:pPr>
            <w:r>
              <w:rPr>
                <w:rFonts w:ascii="Arial" w:cs="Arial" w:eastAsia="Arial" w:hAnsi="Arial"/>
                <w:sz w:val="16"/>
                <w:szCs w:val="16"/>
                <w:color w:val="auto"/>
              </w:rPr>
              <w:t>0</w:t>
            </w:r>
          </w:p>
        </w:tc>
        <w:tc>
          <w:tcPr>
            <w:tcW w:w="620" w:type="dxa"/>
            <w:vAlign w:val="bottom"/>
          </w:tcPr>
          <w:p>
            <w:pPr>
              <w:spacing w:after="0"/>
              <w:rPr>
                <w:sz w:val="18"/>
                <w:szCs w:val="18"/>
                <w:color w:val="auto"/>
              </w:rPr>
            </w:pPr>
          </w:p>
        </w:tc>
        <w:tc>
          <w:tcPr>
            <w:tcW w:w="1320" w:type="dxa"/>
            <w:vAlign w:val="bottom"/>
          </w:tcPr>
          <w:p>
            <w:pPr>
              <w:jc w:val="right"/>
              <w:ind w:right="426"/>
              <w:spacing w:after="0"/>
              <w:rPr>
                <w:sz w:val="20"/>
                <w:szCs w:val="20"/>
                <w:color w:val="auto"/>
              </w:rPr>
            </w:pPr>
            <w:r>
              <w:rPr>
                <w:rFonts w:ascii="Arial" w:cs="Arial" w:eastAsia="Arial" w:hAnsi="Arial"/>
                <w:sz w:val="16"/>
                <w:szCs w:val="16"/>
                <w:color w:val="auto"/>
              </w:rPr>
              <w:t>9,991</w:t>
            </w: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9,991</w:t>
            </w:r>
          </w:p>
        </w:tc>
        <w:tc>
          <w:tcPr>
            <w:tcW w:w="1600" w:type="dxa"/>
            <w:vAlign w:val="bottom"/>
          </w:tcPr>
          <w:p>
            <w:pPr>
              <w:jc w:val="right"/>
              <w:ind w:right="26"/>
              <w:spacing w:after="0"/>
              <w:rPr>
                <w:sz w:val="20"/>
                <w:szCs w:val="20"/>
                <w:color w:val="auto"/>
              </w:rPr>
            </w:pPr>
            <w:r>
              <w:rPr>
                <w:rFonts w:ascii="Arial" w:cs="Arial" w:eastAsia="Arial" w:hAnsi="Arial"/>
                <w:sz w:val="16"/>
                <w:szCs w:val="16"/>
                <w:color w:val="auto"/>
              </w:rPr>
              <w:t>9,991</w:t>
            </w:r>
          </w:p>
        </w:tc>
        <w:tc>
          <w:tcPr>
            <w:tcW w:w="0" w:type="dxa"/>
            <w:vAlign w:val="bottom"/>
          </w:tcPr>
          <w:p>
            <w:pPr>
              <w:spacing w:after="0"/>
              <w:rPr>
                <w:sz w:val="1"/>
                <w:szCs w:val="1"/>
                <w:color w:val="auto"/>
              </w:rPr>
            </w:pPr>
          </w:p>
        </w:tc>
      </w:tr>
      <w:tr>
        <w:trPr>
          <w:trHeight w:val="45"/>
        </w:trPr>
        <w:tc>
          <w:tcPr>
            <w:tcW w:w="318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6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Arial" w:cs="Arial" w:eastAsia="Arial" w:hAnsi="Arial"/>
                <w:sz w:val="16"/>
                <w:szCs w:val="16"/>
                <w:b w:val="1"/>
                <w:bCs w:val="1"/>
                <w:color w:val="auto"/>
              </w:rPr>
              <w:t>  Olivier G. Thirot</w:t>
            </w:r>
          </w:p>
        </w:tc>
        <w:tc>
          <w:tcPr>
            <w:tcW w:w="1300" w:type="dxa"/>
            <w:vAlign w:val="bottom"/>
          </w:tcPr>
          <w:p>
            <w:pPr>
              <w:jc w:val="right"/>
              <w:ind w:right="386"/>
              <w:spacing w:after="0"/>
              <w:rPr>
                <w:sz w:val="20"/>
                <w:szCs w:val="20"/>
                <w:color w:val="auto"/>
              </w:rPr>
            </w:pPr>
            <w:r>
              <w:rPr>
                <w:rFonts w:ascii="Arial" w:cs="Arial" w:eastAsia="Arial" w:hAnsi="Arial"/>
                <w:sz w:val="16"/>
                <w:szCs w:val="16"/>
                <w:color w:val="auto"/>
              </w:rPr>
              <w:t>5,056</w:t>
            </w:r>
          </w:p>
        </w:tc>
        <w:tc>
          <w:tcPr>
            <w:tcW w:w="1300" w:type="dxa"/>
            <w:vAlign w:val="bottom"/>
          </w:tcPr>
          <w:p>
            <w:pPr>
              <w:jc w:val="right"/>
              <w:ind w:right="324"/>
              <w:spacing w:after="0"/>
              <w:rPr>
                <w:sz w:val="20"/>
                <w:szCs w:val="20"/>
                <w:color w:val="auto"/>
              </w:rPr>
            </w:pPr>
            <w:r>
              <w:rPr>
                <w:rFonts w:ascii="Arial" w:cs="Arial" w:eastAsia="Arial" w:hAnsi="Arial"/>
                <w:sz w:val="16"/>
                <w:szCs w:val="16"/>
                <w:color w:val="auto"/>
              </w:rPr>
              <w:t>0</w:t>
            </w:r>
          </w:p>
        </w:tc>
        <w:tc>
          <w:tcPr>
            <w:tcW w:w="620" w:type="dxa"/>
            <w:vAlign w:val="bottom"/>
          </w:tcPr>
          <w:p>
            <w:pPr>
              <w:spacing w:after="0"/>
              <w:rPr>
                <w:sz w:val="18"/>
                <w:szCs w:val="18"/>
                <w:color w:val="auto"/>
              </w:rPr>
            </w:pPr>
          </w:p>
        </w:tc>
        <w:tc>
          <w:tcPr>
            <w:tcW w:w="1320" w:type="dxa"/>
            <w:vAlign w:val="bottom"/>
          </w:tcPr>
          <w:p>
            <w:pPr>
              <w:jc w:val="right"/>
              <w:ind w:right="426"/>
              <w:spacing w:after="0"/>
              <w:rPr>
                <w:sz w:val="20"/>
                <w:szCs w:val="20"/>
                <w:color w:val="auto"/>
              </w:rPr>
            </w:pPr>
            <w:r>
              <w:rPr>
                <w:rFonts w:ascii="Arial" w:cs="Arial" w:eastAsia="Arial" w:hAnsi="Arial"/>
                <w:sz w:val="16"/>
                <w:szCs w:val="16"/>
                <w:color w:val="auto"/>
              </w:rPr>
              <w:t>5,056</w:t>
            </w: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5,056</w:t>
            </w:r>
          </w:p>
        </w:tc>
        <w:tc>
          <w:tcPr>
            <w:tcW w:w="1600" w:type="dxa"/>
            <w:vAlign w:val="bottom"/>
          </w:tcPr>
          <w:p>
            <w:pPr>
              <w:jc w:val="right"/>
              <w:ind w:right="26"/>
              <w:spacing w:after="0"/>
              <w:rPr>
                <w:sz w:val="20"/>
                <w:szCs w:val="20"/>
                <w:color w:val="auto"/>
              </w:rPr>
            </w:pPr>
            <w:r>
              <w:rPr>
                <w:rFonts w:ascii="Arial" w:cs="Arial" w:eastAsia="Arial" w:hAnsi="Arial"/>
                <w:sz w:val="16"/>
                <w:szCs w:val="16"/>
                <w:color w:val="auto"/>
              </w:rPr>
              <w:t>5,056</w:t>
            </w:r>
          </w:p>
        </w:tc>
        <w:tc>
          <w:tcPr>
            <w:tcW w:w="0" w:type="dxa"/>
            <w:vAlign w:val="bottom"/>
          </w:tcPr>
          <w:p>
            <w:pPr>
              <w:spacing w:after="0"/>
              <w:rPr>
                <w:sz w:val="1"/>
                <w:szCs w:val="1"/>
                <w:color w:val="auto"/>
              </w:rPr>
            </w:pPr>
          </w:p>
        </w:tc>
      </w:tr>
      <w:tr>
        <w:trPr>
          <w:trHeight w:val="45"/>
        </w:trPr>
        <w:tc>
          <w:tcPr>
            <w:tcW w:w="318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6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Arial" w:cs="Arial" w:eastAsia="Arial" w:hAnsi="Arial"/>
                <w:sz w:val="16"/>
                <w:szCs w:val="16"/>
                <w:b w:val="1"/>
                <w:bCs w:val="1"/>
                <w:color w:val="auto"/>
              </w:rPr>
              <w:t>  Daniel H. Malan</w:t>
            </w:r>
          </w:p>
        </w:tc>
        <w:tc>
          <w:tcPr>
            <w:tcW w:w="1300" w:type="dxa"/>
            <w:vAlign w:val="bottom"/>
          </w:tcPr>
          <w:p>
            <w:pPr>
              <w:jc w:val="right"/>
              <w:ind w:right="386"/>
              <w:spacing w:after="0"/>
              <w:rPr>
                <w:sz w:val="20"/>
                <w:szCs w:val="20"/>
                <w:color w:val="auto"/>
              </w:rPr>
            </w:pPr>
            <w:r>
              <w:rPr>
                <w:rFonts w:ascii="Arial" w:cs="Arial" w:eastAsia="Arial" w:hAnsi="Arial"/>
                <w:sz w:val="16"/>
                <w:szCs w:val="16"/>
                <w:color w:val="auto"/>
              </w:rPr>
              <w:t>1,662</w:t>
            </w:r>
          </w:p>
        </w:tc>
        <w:tc>
          <w:tcPr>
            <w:tcW w:w="1300" w:type="dxa"/>
            <w:vAlign w:val="bottom"/>
          </w:tcPr>
          <w:p>
            <w:pPr>
              <w:jc w:val="right"/>
              <w:ind w:right="324"/>
              <w:spacing w:after="0"/>
              <w:rPr>
                <w:sz w:val="20"/>
                <w:szCs w:val="20"/>
                <w:color w:val="auto"/>
              </w:rPr>
            </w:pPr>
            <w:r>
              <w:rPr>
                <w:rFonts w:ascii="Arial" w:cs="Arial" w:eastAsia="Arial" w:hAnsi="Arial"/>
                <w:sz w:val="16"/>
                <w:szCs w:val="16"/>
                <w:color w:val="auto"/>
              </w:rPr>
              <w:t>0</w:t>
            </w:r>
          </w:p>
        </w:tc>
        <w:tc>
          <w:tcPr>
            <w:tcW w:w="620" w:type="dxa"/>
            <w:vAlign w:val="bottom"/>
          </w:tcPr>
          <w:p>
            <w:pPr>
              <w:spacing w:after="0"/>
              <w:rPr>
                <w:sz w:val="18"/>
                <w:szCs w:val="18"/>
                <w:color w:val="auto"/>
              </w:rPr>
            </w:pPr>
          </w:p>
        </w:tc>
        <w:tc>
          <w:tcPr>
            <w:tcW w:w="1320" w:type="dxa"/>
            <w:vAlign w:val="bottom"/>
          </w:tcPr>
          <w:p>
            <w:pPr>
              <w:jc w:val="right"/>
              <w:ind w:right="426"/>
              <w:spacing w:after="0"/>
              <w:rPr>
                <w:sz w:val="20"/>
                <w:szCs w:val="20"/>
                <w:color w:val="auto"/>
              </w:rPr>
            </w:pPr>
            <w:r>
              <w:rPr>
                <w:rFonts w:ascii="Arial" w:cs="Arial" w:eastAsia="Arial" w:hAnsi="Arial"/>
                <w:sz w:val="16"/>
                <w:szCs w:val="16"/>
                <w:color w:val="auto"/>
              </w:rPr>
              <w:t>1,662</w:t>
            </w: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1,662</w:t>
            </w:r>
          </w:p>
        </w:tc>
        <w:tc>
          <w:tcPr>
            <w:tcW w:w="1600" w:type="dxa"/>
            <w:vAlign w:val="bottom"/>
          </w:tcPr>
          <w:p>
            <w:pPr>
              <w:jc w:val="right"/>
              <w:ind w:right="26"/>
              <w:spacing w:after="0"/>
              <w:rPr>
                <w:sz w:val="20"/>
                <w:szCs w:val="20"/>
                <w:color w:val="auto"/>
              </w:rPr>
            </w:pPr>
            <w:r>
              <w:rPr>
                <w:rFonts w:ascii="Arial" w:cs="Arial" w:eastAsia="Arial" w:hAnsi="Arial"/>
                <w:sz w:val="16"/>
                <w:szCs w:val="16"/>
                <w:color w:val="auto"/>
              </w:rPr>
              <w:t>1,662</w:t>
            </w:r>
          </w:p>
        </w:tc>
        <w:tc>
          <w:tcPr>
            <w:tcW w:w="0" w:type="dxa"/>
            <w:vAlign w:val="bottom"/>
          </w:tcPr>
          <w:p>
            <w:pPr>
              <w:spacing w:after="0"/>
              <w:rPr>
                <w:sz w:val="1"/>
                <w:szCs w:val="1"/>
                <w:color w:val="auto"/>
              </w:rPr>
            </w:pPr>
          </w:p>
        </w:tc>
      </w:tr>
      <w:tr>
        <w:trPr>
          <w:trHeight w:val="45"/>
        </w:trPr>
        <w:tc>
          <w:tcPr>
            <w:tcW w:w="318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6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Arial" w:cs="Arial" w:eastAsia="Arial" w:hAnsi="Arial"/>
                <w:sz w:val="16"/>
                <w:szCs w:val="16"/>
                <w:b w:val="1"/>
                <w:bCs w:val="1"/>
                <w:color w:val="auto"/>
              </w:rPr>
              <w:t>  Vanessa P. Williams</w:t>
            </w:r>
          </w:p>
        </w:tc>
        <w:tc>
          <w:tcPr>
            <w:tcW w:w="1300" w:type="dxa"/>
            <w:vAlign w:val="bottom"/>
          </w:tcPr>
          <w:p>
            <w:pPr>
              <w:jc w:val="right"/>
              <w:ind w:right="386"/>
              <w:spacing w:after="0"/>
              <w:rPr>
                <w:sz w:val="20"/>
                <w:szCs w:val="20"/>
                <w:color w:val="auto"/>
              </w:rPr>
            </w:pPr>
            <w:r>
              <w:rPr>
                <w:rFonts w:ascii="Arial" w:cs="Arial" w:eastAsia="Arial" w:hAnsi="Arial"/>
                <w:sz w:val="16"/>
                <w:szCs w:val="16"/>
                <w:color w:val="auto"/>
              </w:rPr>
              <w:t>2,080</w:t>
            </w:r>
          </w:p>
        </w:tc>
        <w:tc>
          <w:tcPr>
            <w:tcW w:w="1300" w:type="dxa"/>
            <w:vAlign w:val="bottom"/>
          </w:tcPr>
          <w:p>
            <w:pPr>
              <w:jc w:val="right"/>
              <w:ind w:right="324"/>
              <w:spacing w:after="0"/>
              <w:rPr>
                <w:sz w:val="20"/>
                <w:szCs w:val="20"/>
                <w:color w:val="auto"/>
              </w:rPr>
            </w:pPr>
            <w:r>
              <w:rPr>
                <w:rFonts w:ascii="Arial" w:cs="Arial" w:eastAsia="Arial" w:hAnsi="Arial"/>
                <w:sz w:val="16"/>
                <w:szCs w:val="16"/>
                <w:color w:val="auto"/>
              </w:rPr>
              <w:t>0</w:t>
            </w:r>
          </w:p>
        </w:tc>
        <w:tc>
          <w:tcPr>
            <w:tcW w:w="620" w:type="dxa"/>
            <w:vAlign w:val="bottom"/>
          </w:tcPr>
          <w:p>
            <w:pPr>
              <w:spacing w:after="0"/>
              <w:rPr>
                <w:sz w:val="18"/>
                <w:szCs w:val="18"/>
                <w:color w:val="auto"/>
              </w:rPr>
            </w:pPr>
          </w:p>
        </w:tc>
        <w:tc>
          <w:tcPr>
            <w:tcW w:w="1320" w:type="dxa"/>
            <w:vAlign w:val="bottom"/>
          </w:tcPr>
          <w:p>
            <w:pPr>
              <w:jc w:val="right"/>
              <w:ind w:right="426"/>
              <w:spacing w:after="0"/>
              <w:rPr>
                <w:sz w:val="20"/>
                <w:szCs w:val="20"/>
                <w:color w:val="auto"/>
              </w:rPr>
            </w:pPr>
            <w:r>
              <w:rPr>
                <w:rFonts w:ascii="Arial" w:cs="Arial" w:eastAsia="Arial" w:hAnsi="Arial"/>
                <w:sz w:val="16"/>
                <w:szCs w:val="16"/>
                <w:color w:val="auto"/>
              </w:rPr>
              <w:t>2,080</w:t>
            </w: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2,080</w:t>
            </w:r>
          </w:p>
        </w:tc>
        <w:tc>
          <w:tcPr>
            <w:tcW w:w="1600" w:type="dxa"/>
            <w:vAlign w:val="bottom"/>
          </w:tcPr>
          <w:p>
            <w:pPr>
              <w:jc w:val="right"/>
              <w:ind w:right="26"/>
              <w:spacing w:after="0"/>
              <w:rPr>
                <w:sz w:val="20"/>
                <w:szCs w:val="20"/>
                <w:color w:val="auto"/>
              </w:rPr>
            </w:pPr>
            <w:r>
              <w:rPr>
                <w:rFonts w:ascii="Arial" w:cs="Arial" w:eastAsia="Arial" w:hAnsi="Arial"/>
                <w:sz w:val="16"/>
                <w:szCs w:val="16"/>
                <w:color w:val="auto"/>
              </w:rPr>
              <w:t>2,080</w:t>
            </w:r>
          </w:p>
        </w:tc>
        <w:tc>
          <w:tcPr>
            <w:tcW w:w="0" w:type="dxa"/>
            <w:vAlign w:val="bottom"/>
          </w:tcPr>
          <w:p>
            <w:pPr>
              <w:spacing w:after="0"/>
              <w:rPr>
                <w:sz w:val="1"/>
                <w:szCs w:val="1"/>
                <w:color w:val="auto"/>
              </w:rPr>
            </w:pPr>
          </w:p>
        </w:tc>
      </w:tr>
      <w:tr>
        <w:trPr>
          <w:trHeight w:val="45"/>
        </w:trPr>
        <w:tc>
          <w:tcPr>
            <w:tcW w:w="318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6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20"/>
                <w:szCs w:val="20"/>
                <w:color w:val="auto"/>
              </w:rPr>
            </w:pPr>
            <w:r>
              <w:rPr>
                <w:rFonts w:ascii="Arial" w:cs="Arial" w:eastAsia="Arial" w:hAnsi="Arial"/>
                <w:sz w:val="16"/>
                <w:szCs w:val="16"/>
                <w:b w:val="1"/>
                <w:bCs w:val="1"/>
                <w:color w:val="auto"/>
              </w:rPr>
              <w:t>  Dinette Koolhaas</w:t>
            </w:r>
          </w:p>
        </w:tc>
        <w:tc>
          <w:tcPr>
            <w:tcW w:w="1300" w:type="dxa"/>
            <w:vAlign w:val="bottom"/>
          </w:tcPr>
          <w:p>
            <w:pPr>
              <w:jc w:val="right"/>
              <w:ind w:right="386"/>
              <w:spacing w:after="0"/>
              <w:rPr>
                <w:sz w:val="20"/>
                <w:szCs w:val="20"/>
                <w:color w:val="auto"/>
              </w:rPr>
            </w:pPr>
            <w:r>
              <w:rPr>
                <w:rFonts w:ascii="Arial" w:cs="Arial" w:eastAsia="Arial" w:hAnsi="Arial"/>
                <w:sz w:val="16"/>
                <w:szCs w:val="16"/>
                <w:color w:val="auto"/>
              </w:rPr>
              <w:t>1,598</w:t>
            </w:r>
          </w:p>
        </w:tc>
        <w:tc>
          <w:tcPr>
            <w:tcW w:w="1300" w:type="dxa"/>
            <w:vAlign w:val="bottom"/>
          </w:tcPr>
          <w:p>
            <w:pPr>
              <w:jc w:val="right"/>
              <w:ind w:right="324"/>
              <w:spacing w:after="0"/>
              <w:rPr>
                <w:sz w:val="20"/>
                <w:szCs w:val="20"/>
                <w:color w:val="auto"/>
              </w:rPr>
            </w:pPr>
            <w:r>
              <w:rPr>
                <w:rFonts w:ascii="Arial" w:cs="Arial" w:eastAsia="Arial" w:hAnsi="Arial"/>
                <w:sz w:val="16"/>
                <w:szCs w:val="16"/>
                <w:color w:val="auto"/>
              </w:rPr>
              <w:t>0</w:t>
            </w:r>
          </w:p>
        </w:tc>
        <w:tc>
          <w:tcPr>
            <w:tcW w:w="620" w:type="dxa"/>
            <w:vAlign w:val="bottom"/>
          </w:tcPr>
          <w:p>
            <w:pPr>
              <w:spacing w:after="0"/>
              <w:rPr>
                <w:sz w:val="18"/>
                <w:szCs w:val="18"/>
                <w:color w:val="auto"/>
              </w:rPr>
            </w:pPr>
          </w:p>
        </w:tc>
        <w:tc>
          <w:tcPr>
            <w:tcW w:w="1320" w:type="dxa"/>
            <w:vAlign w:val="bottom"/>
          </w:tcPr>
          <w:p>
            <w:pPr>
              <w:jc w:val="right"/>
              <w:ind w:right="426"/>
              <w:spacing w:after="0"/>
              <w:rPr>
                <w:sz w:val="20"/>
                <w:szCs w:val="20"/>
                <w:color w:val="auto"/>
              </w:rPr>
            </w:pPr>
            <w:r>
              <w:rPr>
                <w:rFonts w:ascii="Arial" w:cs="Arial" w:eastAsia="Arial" w:hAnsi="Arial"/>
                <w:sz w:val="16"/>
                <w:szCs w:val="16"/>
                <w:color w:val="auto"/>
              </w:rPr>
              <w:t>1,598</w:t>
            </w:r>
          </w:p>
        </w:tc>
        <w:tc>
          <w:tcPr>
            <w:tcW w:w="1300" w:type="dxa"/>
            <w:vAlign w:val="bottom"/>
          </w:tcPr>
          <w:p>
            <w:pPr>
              <w:jc w:val="right"/>
              <w:ind w:right="64"/>
              <w:spacing w:after="0"/>
              <w:rPr>
                <w:sz w:val="20"/>
                <w:szCs w:val="20"/>
                <w:color w:val="auto"/>
              </w:rPr>
            </w:pPr>
            <w:r>
              <w:rPr>
                <w:rFonts w:ascii="Arial" w:cs="Arial" w:eastAsia="Arial" w:hAnsi="Arial"/>
                <w:sz w:val="16"/>
                <w:szCs w:val="16"/>
                <w:color w:val="auto"/>
              </w:rPr>
              <w:t>1,598</w:t>
            </w:r>
          </w:p>
        </w:tc>
        <w:tc>
          <w:tcPr>
            <w:tcW w:w="1600" w:type="dxa"/>
            <w:vAlign w:val="bottom"/>
          </w:tcPr>
          <w:p>
            <w:pPr>
              <w:jc w:val="right"/>
              <w:ind w:right="26"/>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45"/>
        </w:trPr>
        <w:tc>
          <w:tcPr>
            <w:tcW w:w="318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320" w:type="dxa"/>
            <w:vAlign w:val="bottom"/>
            <w:tcBorders>
              <w:bottom w:val="single" w:sz="8" w:color="7F7F7F"/>
            </w:tcBorders>
          </w:tcPr>
          <w:p>
            <w:pPr>
              <w:spacing w:after="0"/>
              <w:rPr>
                <w:sz w:val="3"/>
                <w:szCs w:val="3"/>
                <w:color w:val="auto"/>
              </w:rPr>
            </w:pPr>
          </w:p>
        </w:tc>
        <w:tc>
          <w:tcPr>
            <w:tcW w:w="1300" w:type="dxa"/>
            <w:vAlign w:val="bottom"/>
            <w:tcBorders>
              <w:bottom w:val="single" w:sz="8" w:color="7F7F7F"/>
            </w:tcBorders>
          </w:tcPr>
          <w:p>
            <w:pPr>
              <w:spacing w:after="0"/>
              <w:rPr>
                <w:sz w:val="3"/>
                <w:szCs w:val="3"/>
                <w:color w:val="auto"/>
              </w:rPr>
            </w:pPr>
          </w:p>
        </w:tc>
        <w:tc>
          <w:tcPr>
            <w:tcW w:w="160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04"/>
        <w:spacing w:after="0"/>
        <w:rPr>
          <w:sz w:val="20"/>
          <w:szCs w:val="20"/>
          <w:color w:val="auto"/>
        </w:rPr>
      </w:pPr>
      <w:r>
        <w:rPr>
          <w:rFonts w:ascii="Arial" w:cs="Arial" w:eastAsia="Arial" w:hAnsi="Arial"/>
          <w:sz w:val="16"/>
          <w:szCs w:val="16"/>
          <w:i w:val="1"/>
          <w:iCs w:val="1"/>
          <w:u w:val="single" w:color="auto"/>
          <w:color w:val="auto"/>
        </w:rPr>
        <w:t>2022-2024 Long-Term Incentive Performance Results – Year 2</w:t>
      </w:r>
    </w:p>
    <w:p>
      <w:pPr>
        <w:spacing w:after="0" w:line="63" w:lineRule="exact"/>
        <w:rPr>
          <w:sz w:val="20"/>
          <w:szCs w:val="20"/>
          <w:color w:val="auto"/>
        </w:rPr>
      </w:pPr>
    </w:p>
    <w:p>
      <w:pPr>
        <w:ind w:left="4" w:right="20"/>
        <w:spacing w:after="0" w:line="243" w:lineRule="auto"/>
        <w:rPr>
          <w:sz w:val="20"/>
          <w:szCs w:val="20"/>
          <w:color w:val="auto"/>
        </w:rPr>
      </w:pPr>
      <w:r>
        <w:rPr>
          <w:rFonts w:ascii="Arial" w:cs="Arial" w:eastAsia="Arial" w:hAnsi="Arial"/>
          <w:sz w:val="16"/>
          <w:szCs w:val="16"/>
          <w:color w:val="auto"/>
        </w:rPr>
        <w:t>The 2022-2024 performance shares have two financial measures, revenue growth and EBITDA margin, which have three one-year goals set in the beginning of each performance year. In February 2023, the Committee approved goals at threshold, target, and maximum levels of performance for each of the measures for the 2023 portion of the award opportunity. During its February 13, 2024 meeting, the Committee approved the results for the 2023 performance year. Earned shares will vest 100% upon the third anniversary of the grant (February 2025). Aggregate funding for all performance measures during the 2023 performance year was 50% of target. The final performance results for the 2023 performance year are provided in the following chart:</w:t>
      </w:r>
    </w:p>
    <w:p>
      <w:pPr>
        <w:spacing w:after="0" w:line="212"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0A9E50"/>
              </w:rPr>
              <w:t>2023 Performance Goals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A9E50"/>
                <w:w w:val="94"/>
              </w:rPr>
              <w:t>2022 Year</w:t>
            </w:r>
          </w:p>
        </w:tc>
        <w:tc>
          <w:tcPr>
            <w:tcW w:w="800" w:type="dxa"/>
            <w:vAlign w:val="bottom"/>
          </w:tcPr>
          <w:p>
            <w:pPr>
              <w:jc w:val="center"/>
              <w:ind w:right="26"/>
              <w:spacing w:after="0"/>
              <w:rPr>
                <w:sz w:val="20"/>
                <w:szCs w:val="20"/>
                <w:color w:val="auto"/>
              </w:rPr>
            </w:pPr>
            <w:r>
              <w:rPr>
                <w:rFonts w:ascii="Arial" w:cs="Arial" w:eastAsia="Arial" w:hAnsi="Arial"/>
                <w:sz w:val="14"/>
                <w:szCs w:val="14"/>
                <w:b w:val="1"/>
                <w:bCs w:val="1"/>
                <w:color w:val="0A9E50"/>
                <w:w w:val="98"/>
              </w:rPr>
              <w:t>Payout</w:t>
            </w:r>
          </w:p>
        </w:tc>
      </w:tr>
      <w:tr>
        <w:trPr>
          <w:trHeight w:val="136"/>
        </w:trPr>
        <w:tc>
          <w:tcPr>
            <w:tcW w:w="39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960" w:type="dxa"/>
            <w:vAlign w:val="bottom"/>
          </w:tcPr>
          <w:p>
            <w:pPr>
              <w:jc w:val="center"/>
              <w:spacing w:after="0" w:line="136" w:lineRule="exact"/>
              <w:rPr>
                <w:sz w:val="20"/>
                <w:szCs w:val="20"/>
                <w:color w:val="auto"/>
              </w:rPr>
            </w:pPr>
            <w:r>
              <w:rPr>
                <w:rFonts w:ascii="Arial" w:cs="Arial" w:eastAsia="Arial" w:hAnsi="Arial"/>
                <w:sz w:val="14"/>
                <w:szCs w:val="14"/>
                <w:b w:val="1"/>
                <w:bCs w:val="1"/>
                <w:color w:val="0A9E50"/>
                <w:w w:val="97"/>
              </w:rPr>
              <w:t>Threshold</w:t>
            </w:r>
          </w:p>
        </w:tc>
        <w:tc>
          <w:tcPr>
            <w:tcW w:w="900" w:type="dxa"/>
            <w:vAlign w:val="bottom"/>
          </w:tcPr>
          <w:p>
            <w:pPr>
              <w:jc w:val="center"/>
              <w:spacing w:after="0" w:line="136" w:lineRule="exact"/>
              <w:rPr>
                <w:sz w:val="20"/>
                <w:szCs w:val="20"/>
                <w:color w:val="auto"/>
              </w:rPr>
            </w:pPr>
            <w:r>
              <w:rPr>
                <w:rFonts w:ascii="Arial" w:cs="Arial" w:eastAsia="Arial" w:hAnsi="Arial"/>
                <w:sz w:val="14"/>
                <w:szCs w:val="14"/>
                <w:b w:val="1"/>
                <w:bCs w:val="1"/>
                <w:color w:val="0A9E50"/>
                <w:w w:val="93"/>
              </w:rPr>
              <w:t>Target</w:t>
            </w:r>
          </w:p>
        </w:tc>
        <w:tc>
          <w:tcPr>
            <w:tcW w:w="780" w:type="dxa"/>
            <w:vAlign w:val="bottom"/>
          </w:tcPr>
          <w:p>
            <w:pPr>
              <w:ind w:left="100"/>
              <w:spacing w:after="0" w:line="136" w:lineRule="exact"/>
              <w:rPr>
                <w:sz w:val="20"/>
                <w:szCs w:val="20"/>
                <w:color w:val="auto"/>
              </w:rPr>
            </w:pPr>
            <w:r>
              <w:rPr>
                <w:rFonts w:ascii="Arial" w:cs="Arial" w:eastAsia="Arial" w:hAnsi="Arial"/>
                <w:sz w:val="14"/>
                <w:szCs w:val="14"/>
                <w:b w:val="1"/>
                <w:bCs w:val="1"/>
                <w:color w:val="0A9E50"/>
              </w:rPr>
              <w:t>Maximum</w:t>
            </w:r>
          </w:p>
        </w:tc>
        <w:tc>
          <w:tcPr>
            <w:tcW w:w="880" w:type="dxa"/>
            <w:vAlign w:val="bottom"/>
          </w:tcPr>
          <w:p>
            <w:pPr>
              <w:jc w:val="center"/>
              <w:spacing w:after="0" w:line="136" w:lineRule="exact"/>
              <w:rPr>
                <w:sz w:val="20"/>
                <w:szCs w:val="20"/>
                <w:color w:val="auto"/>
              </w:rPr>
            </w:pPr>
            <w:r>
              <w:rPr>
                <w:rFonts w:ascii="Arial" w:cs="Arial" w:eastAsia="Arial" w:hAnsi="Arial"/>
                <w:sz w:val="14"/>
                <w:szCs w:val="14"/>
                <w:b w:val="1"/>
                <w:bCs w:val="1"/>
                <w:color w:val="0A9E50"/>
                <w:w w:val="99"/>
              </w:rPr>
              <w:t>2 Actual</w:t>
            </w:r>
          </w:p>
        </w:tc>
        <w:tc>
          <w:tcPr>
            <w:tcW w:w="800" w:type="dxa"/>
            <w:vAlign w:val="bottom"/>
          </w:tcPr>
          <w:p>
            <w:pPr>
              <w:jc w:val="center"/>
              <w:ind w:right="26"/>
              <w:spacing w:after="0" w:line="136" w:lineRule="exact"/>
              <w:rPr>
                <w:sz w:val="20"/>
                <w:szCs w:val="20"/>
                <w:color w:val="auto"/>
              </w:rPr>
            </w:pPr>
            <w:r>
              <w:rPr>
                <w:rFonts w:ascii="Arial" w:cs="Arial" w:eastAsia="Arial" w:hAnsi="Arial"/>
                <w:sz w:val="14"/>
                <w:szCs w:val="14"/>
                <w:b w:val="1"/>
                <w:bCs w:val="1"/>
                <w:color w:val="0A9E50"/>
              </w:rPr>
              <w:t>as % of</w:t>
            </w:r>
          </w:p>
        </w:tc>
      </w:tr>
      <w:tr>
        <w:trPr>
          <w:trHeight w:val="195"/>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Financial Performance Measures</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A9E50"/>
              </w:rPr>
              <w:t>Weighting</w:t>
            </w:r>
          </w:p>
        </w:tc>
        <w:tc>
          <w:tcPr>
            <w:tcW w:w="96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0A9E50"/>
              </w:rPr>
              <w:t>50%</w:t>
            </w:r>
          </w:p>
        </w:tc>
        <w:tc>
          <w:tcPr>
            <w:tcW w:w="90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0A9E50"/>
              </w:rPr>
              <w:t>100%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rPr>
              <w:t>200%</w:t>
            </w:r>
          </w:p>
        </w:tc>
        <w:tc>
          <w:tcPr>
            <w:tcW w:w="880" w:type="dxa"/>
            <w:vAlign w:val="bottom"/>
            <w:tcBorders>
              <w:bottom w:val="single" w:sz="8" w:color="auto"/>
            </w:tcBorders>
          </w:tcPr>
          <w:p>
            <w:pPr>
              <w:jc w:val="center"/>
              <w:spacing w:after="0" w:line="195" w:lineRule="exact"/>
              <w:rPr>
                <w:sz w:val="20"/>
                <w:szCs w:val="20"/>
                <w:color w:val="auto"/>
              </w:rPr>
            </w:pPr>
            <w:r>
              <w:rPr>
                <w:rFonts w:ascii="Arial" w:cs="Arial" w:eastAsia="Arial" w:hAnsi="Arial"/>
                <w:sz w:val="14"/>
                <w:szCs w:val="14"/>
                <w:b w:val="1"/>
                <w:bCs w:val="1"/>
                <w:color w:val="0A9E50"/>
                <w:w w:val="92"/>
              </w:rPr>
              <w:t>Results</w:t>
            </w:r>
            <w:r>
              <w:rPr>
                <w:rFonts w:ascii="Arial" w:cs="Arial" w:eastAsia="Arial" w:hAnsi="Arial"/>
                <w:sz w:val="20"/>
                <w:szCs w:val="20"/>
                <w:b w:val="1"/>
                <w:bCs w:val="1"/>
                <w:color w:val="0A9E50"/>
                <w:w w:val="92"/>
                <w:vertAlign w:val="superscript"/>
              </w:rPr>
              <w:t>(1)</w:t>
            </w: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0A9E50"/>
                <w:w w:val="98"/>
              </w:rPr>
              <w:t>Target</w:t>
            </w:r>
          </w:p>
        </w:tc>
      </w:tr>
      <w:tr>
        <w:trPr>
          <w:trHeight w:val="199"/>
        </w:trPr>
        <w:tc>
          <w:tcPr>
            <w:tcW w:w="3900" w:type="dxa"/>
            <w:vAlign w:val="bottom"/>
          </w:tcPr>
          <w:p>
            <w:pPr>
              <w:spacing w:after="0"/>
              <w:rPr>
                <w:sz w:val="20"/>
                <w:szCs w:val="20"/>
                <w:color w:val="auto"/>
              </w:rPr>
            </w:pPr>
            <w:r>
              <w:rPr>
                <w:rFonts w:ascii="Arial" w:cs="Arial" w:eastAsia="Arial" w:hAnsi="Arial"/>
                <w:sz w:val="16"/>
                <w:szCs w:val="16"/>
                <w:color w:val="auto"/>
              </w:rPr>
              <w:t>  Revenue Growth</w:t>
            </w:r>
          </w:p>
        </w:tc>
        <w:tc>
          <w:tcPr>
            <w:tcW w:w="2400" w:type="dxa"/>
            <w:vAlign w:val="bottom"/>
          </w:tcPr>
          <w:p>
            <w:pPr>
              <w:jc w:val="right"/>
              <w:ind w:right="65"/>
              <w:spacing w:after="0"/>
              <w:rPr>
                <w:sz w:val="20"/>
                <w:szCs w:val="20"/>
                <w:color w:val="auto"/>
              </w:rPr>
            </w:pPr>
            <w:r>
              <w:rPr>
                <w:rFonts w:ascii="Arial" w:cs="Arial" w:eastAsia="Arial" w:hAnsi="Arial"/>
                <w:sz w:val="16"/>
                <w:szCs w:val="16"/>
                <w:color w:val="auto"/>
              </w:rPr>
              <w:t>50.0%</w:t>
            </w:r>
          </w:p>
        </w:tc>
        <w:tc>
          <w:tcPr>
            <w:tcW w:w="960" w:type="dxa"/>
            <w:vAlign w:val="bottom"/>
          </w:tcPr>
          <w:p>
            <w:pPr>
              <w:jc w:val="right"/>
              <w:ind w:right="27"/>
              <w:spacing w:after="0"/>
              <w:rPr>
                <w:sz w:val="20"/>
                <w:szCs w:val="20"/>
                <w:color w:val="auto"/>
              </w:rPr>
            </w:pPr>
            <w:r>
              <w:rPr>
                <w:rFonts w:ascii="Arial" w:cs="Arial" w:eastAsia="Arial" w:hAnsi="Arial"/>
                <w:sz w:val="16"/>
                <w:szCs w:val="16"/>
                <w:color w:val="auto"/>
              </w:rPr>
              <w:t>$4,822.56</w:t>
            </w:r>
          </w:p>
        </w:tc>
        <w:tc>
          <w:tcPr>
            <w:tcW w:w="900" w:type="dxa"/>
            <w:vAlign w:val="bottom"/>
          </w:tcPr>
          <w:p>
            <w:pPr>
              <w:jc w:val="right"/>
              <w:ind w:right="6"/>
              <w:spacing w:after="0"/>
              <w:rPr>
                <w:sz w:val="20"/>
                <w:szCs w:val="20"/>
                <w:color w:val="auto"/>
              </w:rPr>
            </w:pPr>
            <w:r>
              <w:rPr>
                <w:rFonts w:ascii="Arial" w:cs="Arial" w:eastAsia="Arial" w:hAnsi="Arial"/>
                <w:sz w:val="16"/>
                <w:szCs w:val="16"/>
                <w:color w:val="auto"/>
              </w:rPr>
              <w:t>$5,076.38</w:t>
            </w: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$5,518.03</w:t>
            </w:r>
          </w:p>
        </w:tc>
        <w:tc>
          <w:tcPr>
            <w:tcW w:w="880" w:type="dxa"/>
            <w:vAlign w:val="bottom"/>
          </w:tcPr>
          <w:p>
            <w:pPr>
              <w:jc w:val="right"/>
              <w:ind w:right="7"/>
              <w:spacing w:after="0"/>
              <w:rPr>
                <w:sz w:val="20"/>
                <w:szCs w:val="20"/>
                <w:color w:val="auto"/>
              </w:rPr>
            </w:pPr>
            <w:r>
              <w:rPr>
                <w:rFonts w:ascii="Arial" w:cs="Arial" w:eastAsia="Arial" w:hAnsi="Arial"/>
                <w:sz w:val="16"/>
                <w:szCs w:val="16"/>
                <w:color w:val="auto"/>
              </w:rPr>
              <w:t>$4,771.91</w:t>
            </w:r>
          </w:p>
        </w:tc>
        <w:tc>
          <w:tcPr>
            <w:tcW w:w="800" w:type="dxa"/>
            <w:vAlign w:val="bottom"/>
          </w:tcPr>
          <w:p>
            <w:pPr>
              <w:jc w:val="right"/>
              <w:ind w:right="46"/>
              <w:spacing w:after="0"/>
              <w:rPr>
                <w:sz w:val="20"/>
                <w:szCs w:val="20"/>
                <w:color w:val="auto"/>
              </w:rPr>
            </w:pPr>
            <w:r>
              <w:rPr>
                <w:rFonts w:ascii="Arial" w:cs="Arial" w:eastAsia="Arial" w:hAnsi="Arial"/>
                <w:sz w:val="16"/>
                <w:szCs w:val="16"/>
                <w:color w:val="auto"/>
              </w:rPr>
              <w:t>0.00%</w:t>
            </w:r>
          </w:p>
        </w:tc>
      </w:tr>
      <w:tr>
        <w:trPr>
          <w:trHeight w:val="54"/>
        </w:trPr>
        <w:tc>
          <w:tcPr>
            <w:tcW w:w="3900" w:type="dxa"/>
            <w:vAlign w:val="bottom"/>
            <w:tcBorders>
              <w:bottom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r>
        <w:trPr>
          <w:trHeight w:val="199"/>
        </w:trPr>
        <w:tc>
          <w:tcPr>
            <w:tcW w:w="3900" w:type="dxa"/>
            <w:vAlign w:val="bottom"/>
          </w:tcPr>
          <w:p>
            <w:pPr>
              <w:spacing w:after="0"/>
              <w:rPr>
                <w:sz w:val="20"/>
                <w:szCs w:val="20"/>
                <w:color w:val="auto"/>
              </w:rPr>
            </w:pPr>
            <w:r>
              <w:rPr>
                <w:rFonts w:ascii="Arial" w:cs="Arial" w:eastAsia="Arial" w:hAnsi="Arial"/>
                <w:sz w:val="16"/>
                <w:szCs w:val="16"/>
                <w:color w:val="auto"/>
              </w:rPr>
              <w:t>  EBITDA Margin</w:t>
            </w:r>
          </w:p>
        </w:tc>
        <w:tc>
          <w:tcPr>
            <w:tcW w:w="2400" w:type="dxa"/>
            <w:vAlign w:val="bottom"/>
          </w:tcPr>
          <w:p>
            <w:pPr>
              <w:jc w:val="right"/>
              <w:ind w:right="65"/>
              <w:spacing w:after="0"/>
              <w:rPr>
                <w:sz w:val="20"/>
                <w:szCs w:val="20"/>
                <w:color w:val="auto"/>
              </w:rPr>
            </w:pPr>
            <w:r>
              <w:rPr>
                <w:rFonts w:ascii="Arial" w:cs="Arial" w:eastAsia="Arial" w:hAnsi="Arial"/>
                <w:sz w:val="16"/>
                <w:szCs w:val="16"/>
                <w:color w:val="auto"/>
              </w:rPr>
              <w:t>50.0%</w:t>
            </w:r>
          </w:p>
        </w:tc>
        <w:tc>
          <w:tcPr>
            <w:tcW w:w="960" w:type="dxa"/>
            <w:vAlign w:val="bottom"/>
          </w:tcPr>
          <w:p>
            <w:pPr>
              <w:jc w:val="right"/>
              <w:ind w:right="147"/>
              <w:spacing w:after="0"/>
              <w:rPr>
                <w:sz w:val="20"/>
                <w:szCs w:val="20"/>
                <w:color w:val="auto"/>
              </w:rPr>
            </w:pPr>
            <w:r>
              <w:rPr>
                <w:rFonts w:ascii="Arial" w:cs="Arial" w:eastAsia="Arial" w:hAnsi="Arial"/>
                <w:sz w:val="16"/>
                <w:szCs w:val="16"/>
                <w:color w:val="auto"/>
              </w:rPr>
              <w:t>1.65%</w:t>
            </w:r>
          </w:p>
        </w:tc>
        <w:tc>
          <w:tcPr>
            <w:tcW w:w="900" w:type="dxa"/>
            <w:vAlign w:val="bottom"/>
          </w:tcPr>
          <w:p>
            <w:pPr>
              <w:jc w:val="right"/>
              <w:ind w:right="146"/>
              <w:spacing w:after="0"/>
              <w:rPr>
                <w:sz w:val="20"/>
                <w:szCs w:val="20"/>
                <w:color w:val="auto"/>
              </w:rPr>
            </w:pPr>
            <w:r>
              <w:rPr>
                <w:rFonts w:ascii="Arial" w:cs="Arial" w:eastAsia="Arial" w:hAnsi="Arial"/>
                <w:sz w:val="16"/>
                <w:szCs w:val="16"/>
                <w:color w:val="auto"/>
              </w:rPr>
              <w:t>2.25%</w:t>
            </w:r>
          </w:p>
        </w:tc>
        <w:tc>
          <w:tcPr>
            <w:tcW w:w="780" w:type="dxa"/>
            <w:vAlign w:val="bottom"/>
          </w:tcPr>
          <w:p>
            <w:pPr>
              <w:jc w:val="center"/>
              <w:spacing w:after="0"/>
              <w:rPr>
                <w:sz w:val="20"/>
                <w:szCs w:val="20"/>
                <w:color w:val="auto"/>
              </w:rPr>
            </w:pPr>
            <w:r>
              <w:rPr>
                <w:rFonts w:ascii="Arial" w:cs="Arial" w:eastAsia="Arial" w:hAnsi="Arial"/>
                <w:sz w:val="16"/>
                <w:szCs w:val="16"/>
                <w:color w:val="auto"/>
                <w:w w:val="96"/>
              </w:rPr>
              <w:t>2.77%</w:t>
            </w:r>
          </w:p>
        </w:tc>
        <w:tc>
          <w:tcPr>
            <w:tcW w:w="880" w:type="dxa"/>
            <w:vAlign w:val="bottom"/>
          </w:tcPr>
          <w:p>
            <w:pPr>
              <w:jc w:val="right"/>
              <w:ind w:right="127"/>
              <w:spacing w:after="0"/>
              <w:rPr>
                <w:sz w:val="20"/>
                <w:szCs w:val="20"/>
                <w:color w:val="auto"/>
              </w:rPr>
            </w:pPr>
            <w:r>
              <w:rPr>
                <w:rFonts w:ascii="Arial" w:cs="Arial" w:eastAsia="Arial" w:hAnsi="Arial"/>
                <w:sz w:val="16"/>
                <w:szCs w:val="16"/>
                <w:color w:val="auto"/>
              </w:rPr>
              <w:t>2.25%</w:t>
            </w:r>
          </w:p>
        </w:tc>
        <w:tc>
          <w:tcPr>
            <w:tcW w:w="800" w:type="dxa"/>
            <w:vAlign w:val="bottom"/>
          </w:tcPr>
          <w:p>
            <w:pPr>
              <w:jc w:val="right"/>
              <w:ind w:right="46"/>
              <w:spacing w:after="0"/>
              <w:rPr>
                <w:sz w:val="20"/>
                <w:szCs w:val="20"/>
                <w:color w:val="auto"/>
              </w:rPr>
            </w:pPr>
            <w:r>
              <w:rPr>
                <w:rFonts w:ascii="Arial" w:cs="Arial" w:eastAsia="Arial" w:hAnsi="Arial"/>
                <w:sz w:val="16"/>
                <w:szCs w:val="16"/>
                <w:color w:val="auto"/>
              </w:rPr>
              <w:t>100.00%</w:t>
            </w:r>
          </w:p>
        </w:tc>
      </w:tr>
      <w:tr>
        <w:trPr>
          <w:trHeight w:val="54"/>
        </w:trPr>
        <w:tc>
          <w:tcPr>
            <w:tcW w:w="3900" w:type="dxa"/>
            <w:vAlign w:val="bottom"/>
            <w:tcBorders>
              <w:bottom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1660" w:type="dxa"/>
            <w:vAlign w:val="bottom"/>
            <w:tcBorders>
              <w:bottom w:val="single" w:sz="8" w:color="7F7F7F"/>
            </w:tcBorders>
            <w:gridSpan w:val="2"/>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r>
        <w:trPr>
          <w:trHeight w:val="211"/>
        </w:trPr>
        <w:tc>
          <w:tcPr>
            <w:tcW w:w="39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 in millions</w:t>
            </w:r>
          </w:p>
        </w:tc>
        <w:tc>
          <w:tcPr>
            <w:tcW w:w="2400" w:type="dxa"/>
            <w:vAlign w:val="bottom"/>
            <w:tcBorders>
              <w:bottom w:val="single" w:sz="8" w:color="7F7F7F"/>
            </w:tcBorders>
          </w:tcPr>
          <w:p>
            <w:pPr>
              <w:spacing w:after="0"/>
              <w:rPr>
                <w:sz w:val="18"/>
                <w:szCs w:val="18"/>
                <w:color w:val="auto"/>
              </w:rPr>
            </w:pPr>
          </w:p>
        </w:tc>
        <w:tc>
          <w:tcPr>
            <w:tcW w:w="96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spacing w:after="0"/>
              <w:rPr>
                <w:sz w:val="18"/>
                <w:szCs w:val="18"/>
                <w:color w:val="auto"/>
              </w:rPr>
            </w:pPr>
          </w:p>
        </w:tc>
        <w:tc>
          <w:tcPr>
            <w:tcW w:w="1660" w:type="dxa"/>
            <w:vAlign w:val="bottom"/>
            <w:tcBorders>
              <w:bottom w:val="single" w:sz="8" w:color="7F7F7F"/>
            </w:tcBorders>
            <w:gridSpan w:val="2"/>
          </w:tcPr>
          <w:p>
            <w:pPr>
              <w:ind w:left="260"/>
              <w:spacing w:after="0"/>
              <w:rPr>
                <w:sz w:val="20"/>
                <w:szCs w:val="20"/>
                <w:color w:val="auto"/>
              </w:rPr>
            </w:pPr>
            <w:r>
              <w:rPr>
                <w:rFonts w:ascii="Arial" w:cs="Arial" w:eastAsia="Arial" w:hAnsi="Arial"/>
                <w:sz w:val="16"/>
                <w:szCs w:val="16"/>
                <w:b w:val="1"/>
                <w:bCs w:val="1"/>
                <w:color w:val="auto"/>
              </w:rPr>
              <w:t>Weighted Payout:</w:t>
            </w:r>
          </w:p>
        </w:tc>
        <w:tc>
          <w:tcPr>
            <w:tcW w:w="800" w:type="dxa"/>
            <w:vAlign w:val="bottom"/>
            <w:tcBorders>
              <w:bottom w:val="single" w:sz="8" w:color="7F7F7F"/>
            </w:tcBorders>
          </w:tcPr>
          <w:p>
            <w:pPr>
              <w:jc w:val="right"/>
              <w:ind w:right="46"/>
              <w:spacing w:after="0"/>
              <w:rPr>
                <w:sz w:val="20"/>
                <w:szCs w:val="20"/>
                <w:color w:val="auto"/>
              </w:rPr>
            </w:pPr>
            <w:r>
              <w:rPr>
                <w:rFonts w:ascii="Arial" w:cs="Arial" w:eastAsia="Arial" w:hAnsi="Arial"/>
                <w:sz w:val="16"/>
                <w:szCs w:val="16"/>
                <w:b w:val="1"/>
                <w:bCs w:val="1"/>
                <w:color w:val="auto"/>
              </w:rPr>
              <w:t>50.00%</w:t>
            </w:r>
          </w:p>
        </w:tc>
      </w:tr>
    </w:tbl>
    <w:p>
      <w:pPr>
        <w:spacing w:after="0" w:line="99" w:lineRule="exact"/>
        <w:rPr>
          <w:sz w:val="20"/>
          <w:szCs w:val="20"/>
          <w:color w:val="auto"/>
        </w:rPr>
      </w:pPr>
    </w:p>
    <w:p>
      <w:pPr>
        <w:ind w:left="304" w:hanging="304"/>
        <w:spacing w:after="0"/>
        <w:tabs>
          <w:tab w:leader="none" w:pos="304" w:val="left"/>
        </w:tabs>
        <w:numPr>
          <w:ilvl w:val="0"/>
          <w:numId w:val="35"/>
        </w:numPr>
        <w:rPr>
          <w:rFonts w:ascii="Arial" w:cs="Arial" w:eastAsia="Arial" w:hAnsi="Arial"/>
          <w:sz w:val="12"/>
          <w:szCs w:val="12"/>
          <w:color w:val="auto"/>
        </w:rPr>
      </w:pPr>
      <w:r>
        <w:rPr>
          <w:rFonts w:ascii="Arial" w:cs="Arial" w:eastAsia="Arial" w:hAnsi="Arial"/>
          <w:sz w:val="12"/>
          <w:szCs w:val="12"/>
          <w:color w:val="auto"/>
        </w:rPr>
        <w:t>2023 performance amount includes adjustments for restructuring and divestiture costs and other considerations approved by the Committee.</w:t>
      </w:r>
    </w:p>
    <w:p>
      <w:pPr>
        <w:spacing w:after="0" w:line="206" w:lineRule="exact"/>
        <w:rPr>
          <w:sz w:val="20"/>
          <w:szCs w:val="20"/>
          <w:color w:val="auto"/>
        </w:rPr>
      </w:pPr>
    </w:p>
    <w:p>
      <w:pPr>
        <w:ind w:left="4" w:right="120"/>
        <w:spacing w:after="0" w:line="265" w:lineRule="auto"/>
        <w:rPr>
          <w:sz w:val="20"/>
          <w:szCs w:val="20"/>
          <w:color w:val="auto"/>
        </w:rPr>
      </w:pPr>
      <w:r>
        <w:rPr>
          <w:rFonts w:ascii="Arial" w:cs="Arial" w:eastAsia="Arial" w:hAnsi="Arial"/>
          <w:sz w:val="16"/>
          <w:szCs w:val="16"/>
          <w:color w:val="auto"/>
        </w:rPr>
        <w:t>As a result of the above level of achievement for each of the performance measures for year 2 of the 2022-2024 LTI award, the Committee approved the following number of earned performance shares for each named executive officer.</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0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0A9E50"/>
                <w:w w:val="98"/>
              </w:rPr>
              <w:t>Financial Measure:</w:t>
            </w: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0A9E50"/>
                <w:w w:val="98"/>
              </w:rPr>
              <w:t>Financial Measure:</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40" w:type="dxa"/>
            <w:vAlign w:val="bottom"/>
          </w:tcPr>
          <w:p>
            <w:pPr>
              <w:spacing w:after="0"/>
              <w:rPr>
                <w:sz w:val="14"/>
                <w:szCs w:val="14"/>
                <w:color w:val="auto"/>
              </w:rPr>
            </w:pP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A9E50"/>
                <w:w w:val="98"/>
              </w:rPr>
              <w:t>Revenue Growth</w:t>
            </w:r>
          </w:p>
        </w:tc>
        <w:tc>
          <w:tcPr>
            <w:tcW w:w="540" w:type="dxa"/>
            <w:vAlign w:val="bottom"/>
          </w:tcPr>
          <w:p>
            <w:pPr>
              <w:spacing w:after="0"/>
              <w:rPr>
                <w:sz w:val="14"/>
                <w:szCs w:val="14"/>
                <w:color w:val="auto"/>
              </w:rPr>
            </w:pPr>
          </w:p>
        </w:tc>
        <w:tc>
          <w:tcPr>
            <w:tcW w:w="2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A9E50"/>
                <w:w w:val="98"/>
              </w:rPr>
              <w:t>EBITDA Margin</w:t>
            </w:r>
          </w:p>
        </w:tc>
        <w:tc>
          <w:tcPr>
            <w:tcW w:w="1520" w:type="dxa"/>
            <w:vAlign w:val="bottom"/>
            <w:vMerge w:val="restart"/>
          </w:tcPr>
          <w:p>
            <w:pPr>
              <w:jc w:val="center"/>
              <w:ind w:left="446"/>
              <w:spacing w:after="0"/>
              <w:rPr>
                <w:sz w:val="20"/>
                <w:szCs w:val="20"/>
                <w:color w:val="auto"/>
              </w:rPr>
            </w:pPr>
            <w:r>
              <w:rPr>
                <w:rFonts w:ascii="Arial" w:cs="Arial" w:eastAsia="Arial" w:hAnsi="Arial"/>
                <w:sz w:val="14"/>
                <w:szCs w:val="14"/>
                <w:b w:val="1"/>
                <w:bCs w:val="1"/>
                <w:color w:val="0A9E50"/>
                <w:w w:val="96"/>
              </w:rPr>
              <w:t>Total # of</w:t>
            </w:r>
          </w:p>
        </w:tc>
        <w:tc>
          <w:tcPr>
            <w:tcW w:w="0" w:type="dxa"/>
            <w:vAlign w:val="bottom"/>
          </w:tcPr>
          <w:p>
            <w:pPr>
              <w:spacing w:after="0"/>
              <w:rPr>
                <w:sz w:val="1"/>
                <w:szCs w:val="1"/>
                <w:color w:val="auto"/>
              </w:rPr>
            </w:pPr>
          </w:p>
        </w:tc>
      </w:tr>
      <w:tr>
        <w:trPr>
          <w:trHeight w:val="49"/>
        </w:trPr>
        <w:tc>
          <w:tcPr>
            <w:tcW w:w="3540" w:type="dxa"/>
            <w:vAlign w:val="bottom"/>
          </w:tcPr>
          <w:p>
            <w:pPr>
              <w:spacing w:after="0"/>
              <w:rPr>
                <w:sz w:val="4"/>
                <w:szCs w:val="4"/>
                <w:color w:val="auto"/>
              </w:rPr>
            </w:pPr>
          </w:p>
        </w:tc>
        <w:tc>
          <w:tcPr>
            <w:tcW w:w="25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0A9E50"/>
                <w:w w:val="98"/>
              </w:rPr>
              <w:t>Payout as % of Target: 0.00%</w:t>
            </w:r>
          </w:p>
        </w:tc>
        <w:tc>
          <w:tcPr>
            <w:tcW w:w="540" w:type="dxa"/>
            <w:vAlign w:val="bottom"/>
            <w:vMerge w:val="restart"/>
          </w:tcPr>
          <w:p>
            <w:pPr>
              <w:spacing w:after="0"/>
              <w:rPr>
                <w:sz w:val="4"/>
                <w:szCs w:val="4"/>
                <w:color w:val="auto"/>
              </w:rPr>
            </w:pPr>
          </w:p>
        </w:tc>
        <w:tc>
          <w:tcPr>
            <w:tcW w:w="25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0A9E50"/>
                <w:w w:val="98"/>
              </w:rPr>
              <w:t>Payout as % of Target: 100.00%</w:t>
            </w: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3540" w:type="dxa"/>
            <w:vAlign w:val="bottom"/>
          </w:tcPr>
          <w:p>
            <w:pPr>
              <w:spacing w:after="0"/>
              <w:rPr>
                <w:sz w:val="8"/>
                <w:szCs w:val="8"/>
                <w:color w:val="auto"/>
              </w:rPr>
            </w:pPr>
          </w:p>
        </w:tc>
        <w:tc>
          <w:tcPr>
            <w:tcW w:w="2500" w:type="dxa"/>
            <w:vAlign w:val="bottom"/>
            <w:tcBorders>
              <w:bottom w:val="single" w:sz="8" w:color="auto"/>
            </w:tcBorders>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2520" w:type="dxa"/>
            <w:vAlign w:val="bottom"/>
            <w:tcBorders>
              <w:bottom w:val="single" w:sz="8" w:color="auto"/>
            </w:tcBorders>
            <w:gridSpan w:val="2"/>
            <w:vMerge w:val="continue"/>
          </w:tcPr>
          <w:p>
            <w:pPr>
              <w:spacing w:after="0"/>
              <w:rPr>
                <w:sz w:val="8"/>
                <w:szCs w:val="8"/>
                <w:color w:val="auto"/>
              </w:rPr>
            </w:pPr>
          </w:p>
        </w:tc>
        <w:tc>
          <w:tcPr>
            <w:tcW w:w="1520" w:type="dxa"/>
            <w:vAlign w:val="bottom"/>
            <w:vMerge w:val="restart"/>
          </w:tcPr>
          <w:p>
            <w:pPr>
              <w:jc w:val="center"/>
              <w:ind w:left="446"/>
              <w:spacing w:after="0" w:line="156" w:lineRule="exact"/>
              <w:rPr>
                <w:sz w:val="20"/>
                <w:szCs w:val="20"/>
                <w:color w:val="auto"/>
              </w:rPr>
            </w:pPr>
            <w:r>
              <w:rPr>
                <w:rFonts w:ascii="Arial" w:cs="Arial" w:eastAsia="Arial" w:hAnsi="Arial"/>
                <w:sz w:val="14"/>
                <w:szCs w:val="14"/>
                <w:b w:val="1"/>
                <w:bCs w:val="1"/>
                <w:color w:val="0A9E50"/>
                <w:w w:val="95"/>
              </w:rPr>
              <w:t>Year 2</w:t>
            </w:r>
          </w:p>
        </w:tc>
        <w:tc>
          <w:tcPr>
            <w:tcW w:w="0" w:type="dxa"/>
            <w:vAlign w:val="bottom"/>
          </w:tcPr>
          <w:p>
            <w:pPr>
              <w:spacing w:after="0"/>
              <w:rPr>
                <w:sz w:val="1"/>
                <w:szCs w:val="1"/>
                <w:color w:val="auto"/>
              </w:rPr>
            </w:pPr>
          </w:p>
        </w:tc>
      </w:tr>
      <w:tr>
        <w:trPr>
          <w:trHeight w:val="36"/>
        </w:trPr>
        <w:tc>
          <w:tcPr>
            <w:tcW w:w="3540" w:type="dxa"/>
            <w:vAlign w:val="bottom"/>
          </w:tcPr>
          <w:p>
            <w:pPr>
              <w:spacing w:after="0"/>
              <w:rPr>
                <w:sz w:val="3"/>
                <w:szCs w:val="3"/>
                <w:color w:val="auto"/>
              </w:rPr>
            </w:pPr>
          </w:p>
        </w:tc>
        <w:tc>
          <w:tcPr>
            <w:tcW w:w="1260" w:type="dxa"/>
            <w:vAlign w:val="bottom"/>
            <w:vMerge w:val="restart"/>
          </w:tcPr>
          <w:p>
            <w:pPr>
              <w:jc w:val="right"/>
              <w:ind w:right="186"/>
              <w:spacing w:after="0" w:line="140" w:lineRule="exact"/>
              <w:rPr>
                <w:sz w:val="20"/>
                <w:szCs w:val="20"/>
                <w:color w:val="auto"/>
              </w:rPr>
            </w:pPr>
            <w:r>
              <w:rPr>
                <w:rFonts w:ascii="Arial" w:cs="Arial" w:eastAsia="Arial" w:hAnsi="Arial"/>
                <w:sz w:val="14"/>
                <w:szCs w:val="14"/>
                <w:b w:val="1"/>
                <w:bCs w:val="1"/>
                <w:color w:val="0A9E50"/>
                <w:w w:val="97"/>
              </w:rPr>
              <w:t>Year 2 Target #</w:t>
            </w:r>
          </w:p>
        </w:tc>
        <w:tc>
          <w:tcPr>
            <w:tcW w:w="1780" w:type="dxa"/>
            <w:vAlign w:val="bottom"/>
            <w:gridSpan w:val="2"/>
            <w:vMerge w:val="restart"/>
          </w:tcPr>
          <w:p>
            <w:pPr>
              <w:jc w:val="center"/>
              <w:ind w:right="260"/>
              <w:spacing w:after="0" w:line="140" w:lineRule="exact"/>
              <w:rPr>
                <w:sz w:val="20"/>
                <w:szCs w:val="20"/>
                <w:color w:val="auto"/>
              </w:rPr>
            </w:pPr>
            <w:r>
              <w:rPr>
                <w:rFonts w:ascii="Arial" w:cs="Arial" w:eastAsia="Arial" w:hAnsi="Arial"/>
                <w:sz w:val="14"/>
                <w:szCs w:val="14"/>
                <w:b w:val="1"/>
                <w:bCs w:val="1"/>
                <w:color w:val="0A9E50"/>
                <w:w w:val="95"/>
              </w:rPr>
              <w:t>Year 2 # of</w:t>
            </w:r>
          </w:p>
        </w:tc>
        <w:tc>
          <w:tcPr>
            <w:tcW w:w="1280" w:type="dxa"/>
            <w:vAlign w:val="bottom"/>
            <w:vMerge w:val="restart"/>
          </w:tcPr>
          <w:p>
            <w:pPr>
              <w:jc w:val="right"/>
              <w:ind w:right="206"/>
              <w:spacing w:after="0" w:line="140" w:lineRule="exact"/>
              <w:rPr>
                <w:sz w:val="20"/>
                <w:szCs w:val="20"/>
                <w:color w:val="auto"/>
              </w:rPr>
            </w:pPr>
            <w:r>
              <w:rPr>
                <w:rFonts w:ascii="Arial" w:cs="Arial" w:eastAsia="Arial" w:hAnsi="Arial"/>
                <w:sz w:val="14"/>
                <w:szCs w:val="14"/>
                <w:b w:val="1"/>
                <w:bCs w:val="1"/>
                <w:color w:val="0A9E50"/>
                <w:w w:val="97"/>
              </w:rPr>
              <w:t>Year 2 Target #</w:t>
            </w:r>
          </w:p>
        </w:tc>
        <w:tc>
          <w:tcPr>
            <w:tcW w:w="1240" w:type="dxa"/>
            <w:vAlign w:val="bottom"/>
            <w:vMerge w:val="restart"/>
          </w:tcPr>
          <w:p>
            <w:pPr>
              <w:jc w:val="right"/>
              <w:ind w:right="64"/>
              <w:spacing w:after="0" w:line="140" w:lineRule="exact"/>
              <w:rPr>
                <w:sz w:val="20"/>
                <w:szCs w:val="20"/>
                <w:color w:val="auto"/>
              </w:rPr>
            </w:pPr>
            <w:r>
              <w:rPr>
                <w:rFonts w:ascii="Arial" w:cs="Arial" w:eastAsia="Arial" w:hAnsi="Arial"/>
                <w:sz w:val="14"/>
                <w:szCs w:val="14"/>
                <w:b w:val="1"/>
                <w:bCs w:val="1"/>
                <w:color w:val="0A9E50"/>
              </w:rPr>
              <w:t>Year 2 # of</w:t>
            </w:r>
          </w:p>
        </w:tc>
        <w:tc>
          <w:tcPr>
            <w:tcW w:w="15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4"/>
        </w:trPr>
        <w:tc>
          <w:tcPr>
            <w:tcW w:w="35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520" w:type="dxa"/>
            <w:vAlign w:val="bottom"/>
            <w:vMerge w:val="restart"/>
          </w:tcPr>
          <w:p>
            <w:pPr>
              <w:jc w:val="center"/>
              <w:ind w:left="446"/>
              <w:spacing w:after="0" w:line="156" w:lineRule="exact"/>
              <w:rPr>
                <w:sz w:val="20"/>
                <w:szCs w:val="20"/>
                <w:color w:val="auto"/>
              </w:rPr>
            </w:pPr>
            <w:r>
              <w:rPr>
                <w:rFonts w:ascii="Arial" w:cs="Arial" w:eastAsia="Arial" w:hAnsi="Arial"/>
                <w:sz w:val="14"/>
                <w:szCs w:val="14"/>
                <w:b w:val="1"/>
                <w:bCs w:val="1"/>
                <w:color w:val="0A9E50"/>
                <w:w w:val="98"/>
              </w:rPr>
              <w:t>Performance</w:t>
            </w:r>
          </w:p>
        </w:tc>
        <w:tc>
          <w:tcPr>
            <w:tcW w:w="0" w:type="dxa"/>
            <w:vAlign w:val="bottom"/>
          </w:tcPr>
          <w:p>
            <w:pPr>
              <w:spacing w:after="0"/>
              <w:rPr>
                <w:sz w:val="1"/>
                <w:szCs w:val="1"/>
                <w:color w:val="auto"/>
              </w:rPr>
            </w:pPr>
          </w:p>
        </w:tc>
      </w:tr>
      <w:tr>
        <w:trPr>
          <w:trHeight w:val="52"/>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0A9E50"/>
              </w:rPr>
              <w:t>  Name</w:t>
            </w:r>
          </w:p>
        </w:tc>
        <w:tc>
          <w:tcPr>
            <w:tcW w:w="1260" w:type="dxa"/>
            <w:vAlign w:val="bottom"/>
            <w:vMerge w:val="restart"/>
          </w:tcPr>
          <w:p>
            <w:pPr>
              <w:jc w:val="right"/>
              <w:ind w:right="366"/>
              <w:spacing w:after="0"/>
              <w:rPr>
                <w:sz w:val="20"/>
                <w:szCs w:val="20"/>
                <w:color w:val="auto"/>
              </w:rPr>
            </w:pPr>
            <w:r>
              <w:rPr>
                <w:rFonts w:ascii="Arial" w:cs="Arial" w:eastAsia="Arial" w:hAnsi="Arial"/>
                <w:sz w:val="14"/>
                <w:szCs w:val="14"/>
                <w:b w:val="1"/>
                <w:bCs w:val="1"/>
                <w:color w:val="0A9E50"/>
              </w:rPr>
              <w:t>of Shares</w:t>
            </w: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0A9E50"/>
                <w:w w:val="97"/>
              </w:rPr>
              <w:t>Shares Earned</w:t>
            </w:r>
          </w:p>
        </w:tc>
        <w:tc>
          <w:tcPr>
            <w:tcW w:w="1280" w:type="dxa"/>
            <w:vAlign w:val="bottom"/>
            <w:vMerge w:val="restart"/>
          </w:tcPr>
          <w:p>
            <w:pPr>
              <w:jc w:val="right"/>
              <w:ind w:right="386"/>
              <w:spacing w:after="0"/>
              <w:rPr>
                <w:sz w:val="20"/>
                <w:szCs w:val="20"/>
                <w:color w:val="auto"/>
              </w:rPr>
            </w:pPr>
            <w:r>
              <w:rPr>
                <w:rFonts w:ascii="Arial" w:cs="Arial" w:eastAsia="Arial" w:hAnsi="Arial"/>
                <w:sz w:val="14"/>
                <w:szCs w:val="14"/>
                <w:b w:val="1"/>
                <w:bCs w:val="1"/>
                <w:color w:val="0A9E50"/>
              </w:rPr>
              <w:t>of Shares</w:t>
            </w: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0A9E50"/>
              </w:rPr>
              <w:t>Shares Earned</w:t>
            </w: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54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auto"/>
            </w:tcBorders>
            <w:gridSpan w:val="2"/>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520" w:type="dxa"/>
            <w:vAlign w:val="bottom"/>
            <w:tcBorders>
              <w:bottom w:val="single" w:sz="8" w:color="auto"/>
            </w:tcBorders>
          </w:tcPr>
          <w:p>
            <w:pPr>
              <w:jc w:val="center"/>
              <w:ind w:left="446"/>
              <w:spacing w:after="0"/>
              <w:rPr>
                <w:sz w:val="20"/>
                <w:szCs w:val="20"/>
                <w:color w:val="auto"/>
              </w:rPr>
            </w:pPr>
            <w:r>
              <w:rPr>
                <w:rFonts w:ascii="Arial" w:cs="Arial" w:eastAsia="Arial" w:hAnsi="Arial"/>
                <w:sz w:val="14"/>
                <w:szCs w:val="14"/>
                <w:b w:val="1"/>
                <w:bCs w:val="1"/>
                <w:color w:val="0A9E50"/>
                <w:w w:val="97"/>
              </w:rPr>
              <w:t>Shares Earned</w:t>
            </w: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Arial" w:cs="Arial" w:eastAsia="Arial" w:hAnsi="Arial"/>
                <w:sz w:val="16"/>
                <w:szCs w:val="16"/>
                <w:b w:val="1"/>
                <w:bCs w:val="1"/>
                <w:color w:val="auto"/>
              </w:rPr>
              <w:t>  Peter W. Quigley</w:t>
            </w: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10,611</w:t>
            </w:r>
          </w:p>
        </w:tc>
        <w:tc>
          <w:tcPr>
            <w:tcW w:w="124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8"/>
                <w:szCs w:val="18"/>
                <w:color w:val="auto"/>
              </w:rPr>
            </w:pPr>
          </w:p>
        </w:tc>
        <w:tc>
          <w:tcPr>
            <w:tcW w:w="1280" w:type="dxa"/>
            <w:vAlign w:val="bottom"/>
          </w:tcPr>
          <w:p>
            <w:pPr>
              <w:jc w:val="right"/>
              <w:ind w:right="326"/>
              <w:spacing w:after="0"/>
              <w:rPr>
                <w:sz w:val="20"/>
                <w:szCs w:val="20"/>
                <w:color w:val="auto"/>
              </w:rPr>
            </w:pPr>
            <w:r>
              <w:rPr>
                <w:rFonts w:ascii="Arial" w:cs="Arial" w:eastAsia="Arial" w:hAnsi="Arial"/>
                <w:sz w:val="16"/>
                <w:szCs w:val="16"/>
                <w:color w:val="auto"/>
              </w:rPr>
              <w:t>10,611</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10,611</w:t>
            </w:r>
          </w:p>
        </w:tc>
        <w:tc>
          <w:tcPr>
            <w:tcW w:w="1520" w:type="dxa"/>
            <w:vAlign w:val="bottom"/>
          </w:tcPr>
          <w:p>
            <w:pPr>
              <w:jc w:val="right"/>
              <w:spacing w:after="0"/>
              <w:rPr>
                <w:sz w:val="20"/>
                <w:szCs w:val="20"/>
                <w:color w:val="auto"/>
              </w:rPr>
            </w:pPr>
            <w:r>
              <w:rPr>
                <w:rFonts w:ascii="Arial" w:cs="Arial" w:eastAsia="Arial" w:hAnsi="Arial"/>
                <w:sz w:val="16"/>
                <w:szCs w:val="16"/>
                <w:color w:val="auto"/>
              </w:rPr>
              <w:t>10,611</w:t>
            </w:r>
          </w:p>
        </w:tc>
        <w:tc>
          <w:tcPr>
            <w:tcW w:w="0" w:type="dxa"/>
            <w:vAlign w:val="bottom"/>
          </w:tcPr>
          <w:p>
            <w:pPr>
              <w:spacing w:after="0"/>
              <w:rPr>
                <w:sz w:val="1"/>
                <w:szCs w:val="1"/>
                <w:color w:val="auto"/>
              </w:rPr>
            </w:pPr>
          </w:p>
        </w:tc>
      </w:tr>
      <w:tr>
        <w:trPr>
          <w:trHeight w:val="45"/>
        </w:trPr>
        <w:tc>
          <w:tcPr>
            <w:tcW w:w="35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5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Arial" w:cs="Arial" w:eastAsia="Arial" w:hAnsi="Arial"/>
                <w:sz w:val="16"/>
                <w:szCs w:val="16"/>
                <w:b w:val="1"/>
                <w:bCs w:val="1"/>
                <w:color w:val="auto"/>
              </w:rPr>
              <w:t>  Olivier G. Thirot</w:t>
            </w: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5,064</w:t>
            </w:r>
          </w:p>
        </w:tc>
        <w:tc>
          <w:tcPr>
            <w:tcW w:w="124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8"/>
                <w:szCs w:val="18"/>
                <w:color w:val="auto"/>
              </w:rPr>
            </w:pPr>
          </w:p>
        </w:tc>
        <w:tc>
          <w:tcPr>
            <w:tcW w:w="1280" w:type="dxa"/>
            <w:vAlign w:val="bottom"/>
          </w:tcPr>
          <w:p>
            <w:pPr>
              <w:jc w:val="right"/>
              <w:ind w:right="326"/>
              <w:spacing w:after="0"/>
              <w:rPr>
                <w:sz w:val="20"/>
                <w:szCs w:val="20"/>
                <w:color w:val="auto"/>
              </w:rPr>
            </w:pPr>
            <w:r>
              <w:rPr>
                <w:rFonts w:ascii="Arial" w:cs="Arial" w:eastAsia="Arial" w:hAnsi="Arial"/>
                <w:sz w:val="16"/>
                <w:szCs w:val="16"/>
                <w:color w:val="auto"/>
              </w:rPr>
              <w:t>5,064</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5,064</w:t>
            </w:r>
          </w:p>
        </w:tc>
        <w:tc>
          <w:tcPr>
            <w:tcW w:w="1520" w:type="dxa"/>
            <w:vAlign w:val="bottom"/>
          </w:tcPr>
          <w:p>
            <w:pPr>
              <w:jc w:val="right"/>
              <w:spacing w:after="0"/>
              <w:rPr>
                <w:sz w:val="20"/>
                <w:szCs w:val="20"/>
                <w:color w:val="auto"/>
              </w:rPr>
            </w:pPr>
            <w:r>
              <w:rPr>
                <w:rFonts w:ascii="Arial" w:cs="Arial" w:eastAsia="Arial" w:hAnsi="Arial"/>
                <w:sz w:val="16"/>
                <w:szCs w:val="16"/>
                <w:color w:val="auto"/>
              </w:rPr>
              <w:t>5,064</w:t>
            </w:r>
          </w:p>
        </w:tc>
        <w:tc>
          <w:tcPr>
            <w:tcW w:w="0" w:type="dxa"/>
            <w:vAlign w:val="bottom"/>
          </w:tcPr>
          <w:p>
            <w:pPr>
              <w:spacing w:after="0"/>
              <w:rPr>
                <w:sz w:val="1"/>
                <w:szCs w:val="1"/>
                <w:color w:val="auto"/>
              </w:rPr>
            </w:pPr>
          </w:p>
        </w:tc>
      </w:tr>
      <w:tr>
        <w:trPr>
          <w:trHeight w:val="45"/>
        </w:trPr>
        <w:tc>
          <w:tcPr>
            <w:tcW w:w="35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5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Arial" w:cs="Arial" w:eastAsia="Arial" w:hAnsi="Arial"/>
                <w:sz w:val="16"/>
                <w:szCs w:val="16"/>
                <w:b w:val="1"/>
                <w:bCs w:val="1"/>
                <w:color w:val="auto"/>
              </w:rPr>
              <w:t>  Daniel H. Malan</w:t>
            </w: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1,728</w:t>
            </w:r>
          </w:p>
        </w:tc>
        <w:tc>
          <w:tcPr>
            <w:tcW w:w="124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8"/>
                <w:szCs w:val="18"/>
                <w:color w:val="auto"/>
              </w:rPr>
            </w:pPr>
          </w:p>
        </w:tc>
        <w:tc>
          <w:tcPr>
            <w:tcW w:w="1280" w:type="dxa"/>
            <w:vAlign w:val="bottom"/>
          </w:tcPr>
          <w:p>
            <w:pPr>
              <w:jc w:val="right"/>
              <w:ind w:right="326"/>
              <w:spacing w:after="0"/>
              <w:rPr>
                <w:sz w:val="20"/>
                <w:szCs w:val="20"/>
                <w:color w:val="auto"/>
              </w:rPr>
            </w:pPr>
            <w:r>
              <w:rPr>
                <w:rFonts w:ascii="Arial" w:cs="Arial" w:eastAsia="Arial" w:hAnsi="Arial"/>
                <w:sz w:val="16"/>
                <w:szCs w:val="16"/>
                <w:color w:val="auto"/>
              </w:rPr>
              <w:t>1,728</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1,728</w:t>
            </w:r>
          </w:p>
        </w:tc>
        <w:tc>
          <w:tcPr>
            <w:tcW w:w="1520" w:type="dxa"/>
            <w:vAlign w:val="bottom"/>
          </w:tcPr>
          <w:p>
            <w:pPr>
              <w:jc w:val="right"/>
              <w:spacing w:after="0"/>
              <w:rPr>
                <w:sz w:val="20"/>
                <w:szCs w:val="20"/>
                <w:color w:val="auto"/>
              </w:rPr>
            </w:pPr>
            <w:r>
              <w:rPr>
                <w:rFonts w:ascii="Arial" w:cs="Arial" w:eastAsia="Arial" w:hAnsi="Arial"/>
                <w:sz w:val="16"/>
                <w:szCs w:val="16"/>
                <w:color w:val="auto"/>
              </w:rPr>
              <w:t>1,728</w:t>
            </w:r>
          </w:p>
        </w:tc>
        <w:tc>
          <w:tcPr>
            <w:tcW w:w="0" w:type="dxa"/>
            <w:vAlign w:val="bottom"/>
          </w:tcPr>
          <w:p>
            <w:pPr>
              <w:spacing w:after="0"/>
              <w:rPr>
                <w:sz w:val="1"/>
                <w:szCs w:val="1"/>
                <w:color w:val="auto"/>
              </w:rPr>
            </w:pPr>
          </w:p>
        </w:tc>
      </w:tr>
      <w:tr>
        <w:trPr>
          <w:trHeight w:val="45"/>
        </w:trPr>
        <w:tc>
          <w:tcPr>
            <w:tcW w:w="35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5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Arial" w:cs="Arial" w:eastAsia="Arial" w:hAnsi="Arial"/>
                <w:sz w:val="16"/>
                <w:szCs w:val="16"/>
                <w:b w:val="1"/>
                <w:bCs w:val="1"/>
                <w:color w:val="auto"/>
              </w:rPr>
              <w:t>  Vanessa P. Williams</w:t>
            </w: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2,377</w:t>
            </w:r>
          </w:p>
        </w:tc>
        <w:tc>
          <w:tcPr>
            <w:tcW w:w="124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8"/>
                <w:szCs w:val="18"/>
                <w:color w:val="auto"/>
              </w:rPr>
            </w:pPr>
          </w:p>
        </w:tc>
        <w:tc>
          <w:tcPr>
            <w:tcW w:w="1280" w:type="dxa"/>
            <w:vAlign w:val="bottom"/>
          </w:tcPr>
          <w:p>
            <w:pPr>
              <w:jc w:val="right"/>
              <w:ind w:right="326"/>
              <w:spacing w:after="0"/>
              <w:rPr>
                <w:sz w:val="20"/>
                <w:szCs w:val="20"/>
                <w:color w:val="auto"/>
              </w:rPr>
            </w:pPr>
            <w:r>
              <w:rPr>
                <w:rFonts w:ascii="Arial" w:cs="Arial" w:eastAsia="Arial" w:hAnsi="Arial"/>
                <w:sz w:val="16"/>
                <w:szCs w:val="16"/>
                <w:color w:val="auto"/>
              </w:rPr>
              <w:t>2,377</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2,377</w:t>
            </w:r>
          </w:p>
        </w:tc>
        <w:tc>
          <w:tcPr>
            <w:tcW w:w="1520" w:type="dxa"/>
            <w:vAlign w:val="bottom"/>
          </w:tcPr>
          <w:p>
            <w:pPr>
              <w:jc w:val="right"/>
              <w:spacing w:after="0"/>
              <w:rPr>
                <w:sz w:val="20"/>
                <w:szCs w:val="20"/>
                <w:color w:val="auto"/>
              </w:rPr>
            </w:pPr>
            <w:r>
              <w:rPr>
                <w:rFonts w:ascii="Arial" w:cs="Arial" w:eastAsia="Arial" w:hAnsi="Arial"/>
                <w:sz w:val="16"/>
                <w:szCs w:val="16"/>
                <w:color w:val="auto"/>
              </w:rPr>
              <w:t>2,377</w:t>
            </w:r>
          </w:p>
        </w:tc>
        <w:tc>
          <w:tcPr>
            <w:tcW w:w="0" w:type="dxa"/>
            <w:vAlign w:val="bottom"/>
          </w:tcPr>
          <w:p>
            <w:pPr>
              <w:spacing w:after="0"/>
              <w:rPr>
                <w:sz w:val="1"/>
                <w:szCs w:val="1"/>
                <w:color w:val="auto"/>
              </w:rPr>
            </w:pPr>
          </w:p>
        </w:tc>
      </w:tr>
      <w:tr>
        <w:trPr>
          <w:trHeight w:val="45"/>
        </w:trPr>
        <w:tc>
          <w:tcPr>
            <w:tcW w:w="35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5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540" w:type="dxa"/>
            <w:vAlign w:val="bottom"/>
          </w:tcPr>
          <w:p>
            <w:pPr>
              <w:spacing w:after="0"/>
              <w:rPr>
                <w:sz w:val="20"/>
                <w:szCs w:val="20"/>
                <w:color w:val="auto"/>
              </w:rPr>
            </w:pPr>
            <w:r>
              <w:rPr>
                <w:rFonts w:ascii="Arial" w:cs="Arial" w:eastAsia="Arial" w:hAnsi="Arial"/>
                <w:sz w:val="16"/>
                <w:szCs w:val="16"/>
                <w:b w:val="1"/>
                <w:bCs w:val="1"/>
                <w:color w:val="auto"/>
              </w:rPr>
              <w:t>  Dinette Koolhaas</w:t>
            </w: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2,159</w:t>
            </w:r>
          </w:p>
        </w:tc>
        <w:tc>
          <w:tcPr>
            <w:tcW w:w="124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8"/>
                <w:szCs w:val="18"/>
                <w:color w:val="auto"/>
              </w:rPr>
            </w:pPr>
          </w:p>
        </w:tc>
        <w:tc>
          <w:tcPr>
            <w:tcW w:w="1280" w:type="dxa"/>
            <w:vAlign w:val="bottom"/>
          </w:tcPr>
          <w:p>
            <w:pPr>
              <w:jc w:val="right"/>
              <w:ind w:right="326"/>
              <w:spacing w:after="0"/>
              <w:rPr>
                <w:sz w:val="20"/>
                <w:szCs w:val="20"/>
                <w:color w:val="auto"/>
              </w:rPr>
            </w:pPr>
            <w:r>
              <w:rPr>
                <w:rFonts w:ascii="Arial" w:cs="Arial" w:eastAsia="Arial" w:hAnsi="Arial"/>
                <w:sz w:val="16"/>
                <w:szCs w:val="16"/>
                <w:color w:val="auto"/>
              </w:rPr>
              <w:t>2,159</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2,159</w:t>
            </w:r>
          </w:p>
        </w:tc>
        <w:tc>
          <w:tcPr>
            <w:tcW w:w="1520" w:type="dxa"/>
            <w:vAlign w:val="bottom"/>
          </w:tcPr>
          <w:p>
            <w:pPr>
              <w:jc w:val="right"/>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45"/>
        </w:trPr>
        <w:tc>
          <w:tcPr>
            <w:tcW w:w="35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5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04"/>
        <w:spacing w:after="0"/>
        <w:rPr>
          <w:sz w:val="20"/>
          <w:szCs w:val="20"/>
          <w:color w:val="auto"/>
        </w:rPr>
      </w:pPr>
      <w:r>
        <w:rPr>
          <w:rFonts w:ascii="Arial" w:cs="Arial" w:eastAsia="Arial" w:hAnsi="Arial"/>
          <w:sz w:val="16"/>
          <w:szCs w:val="16"/>
          <w:i w:val="1"/>
          <w:iCs w:val="1"/>
          <w:u w:val="single" w:color="auto"/>
          <w:color w:val="auto"/>
        </w:rPr>
        <w:t>2023-2025 Long-Term Incentive Performance Results – Year 1</w:t>
      </w:r>
    </w:p>
    <w:p>
      <w:pPr>
        <w:spacing w:after="0" w:line="76" w:lineRule="exact"/>
        <w:rPr>
          <w:sz w:val="20"/>
          <w:szCs w:val="20"/>
          <w:color w:val="auto"/>
        </w:rPr>
      </w:pPr>
    </w:p>
    <w:p>
      <w:pPr>
        <w:ind w:left="4" w:right="160"/>
        <w:spacing w:after="0" w:line="245" w:lineRule="auto"/>
        <w:rPr>
          <w:sz w:val="20"/>
          <w:szCs w:val="20"/>
          <w:color w:val="auto"/>
        </w:rPr>
      </w:pPr>
      <w:r>
        <w:rPr>
          <w:rFonts w:ascii="Arial" w:cs="Arial" w:eastAsia="Arial" w:hAnsi="Arial"/>
          <w:sz w:val="16"/>
          <w:szCs w:val="16"/>
          <w:color w:val="auto"/>
        </w:rPr>
        <w:t>As described above, the 2023-2025 performance shares have two financial measures, revenue growth and EBITDA margin, which have three one-year goals set in the beginning of each performance year. In February 2023, the Committee approved goals at threshold, target, and maximum levels of performance for each of the measures for the 2023 portion of the award opportunity. During its February 13, 2024 meeting, the Committee approved the results for the 2023 performance year.</w:t>
      </w:r>
    </w:p>
    <w:p>
      <w:pPr>
        <w:ind w:left="8784"/>
        <w:spacing w:after="0"/>
        <w:tabs>
          <w:tab w:leader="none" w:pos="10023"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6311265</wp:posOffset>
            </wp:positionH>
            <wp:positionV relativeFrom="paragraph">
              <wp:posOffset>-222250</wp:posOffset>
            </wp:positionV>
            <wp:extent cx="8255" cy="2228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bookmarkStart w:id="61" w:name="page62"/>
    <w:bookmarkEnd w:id="61"/>
    <w:p>
      <w:pPr>
        <w:ind w:left="4"/>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137" w:lineRule="exact"/>
        <w:rPr>
          <w:sz w:val="20"/>
          <w:szCs w:val="20"/>
          <w:color w:val="auto"/>
        </w:rPr>
      </w:pPr>
    </w:p>
    <w:p>
      <w:pPr>
        <w:ind w:left="4" w:right="160"/>
        <w:spacing w:after="0" w:line="265" w:lineRule="auto"/>
        <w:rPr>
          <w:sz w:val="20"/>
          <w:szCs w:val="20"/>
          <w:color w:val="auto"/>
        </w:rPr>
      </w:pPr>
      <w:r>
        <w:rPr>
          <w:rFonts w:ascii="Arial" w:cs="Arial" w:eastAsia="Arial" w:hAnsi="Arial"/>
          <w:sz w:val="16"/>
          <w:szCs w:val="16"/>
          <w:color w:val="auto"/>
        </w:rPr>
        <w:t>Earned shares will vest 100% upon the third anniversary of the grant (February 2026). Aggregate funding for all performance measures during the 2023 performance year was 50% of target. The final performance results for the 2023 performance year are provided in the following chart:</w:t>
      </w:r>
    </w:p>
    <w:p>
      <w:pPr>
        <w:spacing w:after="0" w:line="195"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6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0A9E50"/>
              </w:rPr>
              <w:t>2023 Performance Goals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A9E50"/>
                <w:w w:val="94"/>
              </w:rPr>
              <w:t>2023 Year</w:t>
            </w:r>
          </w:p>
        </w:tc>
        <w:tc>
          <w:tcPr>
            <w:tcW w:w="800" w:type="dxa"/>
            <w:vAlign w:val="bottom"/>
          </w:tcPr>
          <w:p>
            <w:pPr>
              <w:jc w:val="center"/>
              <w:ind w:right="26"/>
              <w:spacing w:after="0"/>
              <w:rPr>
                <w:sz w:val="20"/>
                <w:szCs w:val="20"/>
                <w:color w:val="auto"/>
              </w:rPr>
            </w:pPr>
            <w:r>
              <w:rPr>
                <w:rFonts w:ascii="Arial" w:cs="Arial" w:eastAsia="Arial" w:hAnsi="Arial"/>
                <w:sz w:val="14"/>
                <w:szCs w:val="14"/>
                <w:b w:val="1"/>
                <w:bCs w:val="1"/>
                <w:color w:val="0A9E50"/>
                <w:w w:val="98"/>
              </w:rPr>
              <w:t>Payout</w:t>
            </w:r>
          </w:p>
        </w:tc>
      </w:tr>
      <w:tr>
        <w:trPr>
          <w:trHeight w:val="123"/>
        </w:trPr>
        <w:tc>
          <w:tcPr>
            <w:tcW w:w="39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960" w:type="dxa"/>
            <w:vAlign w:val="bottom"/>
          </w:tcPr>
          <w:p>
            <w:pPr>
              <w:jc w:val="center"/>
              <w:spacing w:after="0" w:line="123" w:lineRule="exact"/>
              <w:rPr>
                <w:sz w:val="20"/>
                <w:szCs w:val="20"/>
                <w:color w:val="auto"/>
              </w:rPr>
            </w:pPr>
            <w:r>
              <w:rPr>
                <w:rFonts w:ascii="Arial" w:cs="Arial" w:eastAsia="Arial" w:hAnsi="Arial"/>
                <w:sz w:val="14"/>
                <w:szCs w:val="14"/>
                <w:b w:val="1"/>
                <w:bCs w:val="1"/>
                <w:color w:val="0A9E50"/>
                <w:w w:val="97"/>
              </w:rPr>
              <w:t>Threshold</w:t>
            </w:r>
          </w:p>
        </w:tc>
        <w:tc>
          <w:tcPr>
            <w:tcW w:w="900" w:type="dxa"/>
            <w:vAlign w:val="bottom"/>
          </w:tcPr>
          <w:p>
            <w:pPr>
              <w:jc w:val="center"/>
              <w:spacing w:after="0" w:line="123" w:lineRule="exact"/>
              <w:rPr>
                <w:sz w:val="20"/>
                <w:szCs w:val="20"/>
                <w:color w:val="auto"/>
              </w:rPr>
            </w:pPr>
            <w:r>
              <w:rPr>
                <w:rFonts w:ascii="Arial" w:cs="Arial" w:eastAsia="Arial" w:hAnsi="Arial"/>
                <w:sz w:val="14"/>
                <w:szCs w:val="14"/>
                <w:b w:val="1"/>
                <w:bCs w:val="1"/>
                <w:color w:val="0A9E50"/>
                <w:w w:val="93"/>
              </w:rPr>
              <w:t>Target</w:t>
            </w:r>
          </w:p>
        </w:tc>
        <w:tc>
          <w:tcPr>
            <w:tcW w:w="780" w:type="dxa"/>
            <w:vAlign w:val="bottom"/>
          </w:tcPr>
          <w:p>
            <w:pPr>
              <w:ind w:left="100"/>
              <w:spacing w:after="0" w:line="123" w:lineRule="exact"/>
              <w:rPr>
                <w:sz w:val="20"/>
                <w:szCs w:val="20"/>
                <w:color w:val="auto"/>
              </w:rPr>
            </w:pPr>
            <w:r>
              <w:rPr>
                <w:rFonts w:ascii="Arial" w:cs="Arial" w:eastAsia="Arial" w:hAnsi="Arial"/>
                <w:sz w:val="14"/>
                <w:szCs w:val="14"/>
                <w:b w:val="1"/>
                <w:bCs w:val="1"/>
                <w:color w:val="0A9E50"/>
              </w:rPr>
              <w:t>Maximum</w:t>
            </w:r>
          </w:p>
        </w:tc>
        <w:tc>
          <w:tcPr>
            <w:tcW w:w="880" w:type="dxa"/>
            <w:vAlign w:val="bottom"/>
          </w:tcPr>
          <w:p>
            <w:pPr>
              <w:jc w:val="center"/>
              <w:spacing w:after="0" w:line="123" w:lineRule="exact"/>
              <w:rPr>
                <w:sz w:val="20"/>
                <w:szCs w:val="20"/>
                <w:color w:val="auto"/>
              </w:rPr>
            </w:pPr>
            <w:r>
              <w:rPr>
                <w:rFonts w:ascii="Arial" w:cs="Arial" w:eastAsia="Arial" w:hAnsi="Arial"/>
                <w:sz w:val="14"/>
                <w:szCs w:val="14"/>
                <w:b w:val="1"/>
                <w:bCs w:val="1"/>
                <w:color w:val="0A9E50"/>
                <w:w w:val="99"/>
              </w:rPr>
              <w:t>1 Actual</w:t>
            </w:r>
          </w:p>
        </w:tc>
        <w:tc>
          <w:tcPr>
            <w:tcW w:w="800" w:type="dxa"/>
            <w:vAlign w:val="bottom"/>
          </w:tcPr>
          <w:p>
            <w:pPr>
              <w:jc w:val="center"/>
              <w:ind w:right="26"/>
              <w:spacing w:after="0" w:line="123" w:lineRule="exact"/>
              <w:rPr>
                <w:sz w:val="20"/>
                <w:szCs w:val="20"/>
                <w:color w:val="auto"/>
              </w:rPr>
            </w:pPr>
            <w:r>
              <w:rPr>
                <w:rFonts w:ascii="Arial" w:cs="Arial" w:eastAsia="Arial" w:hAnsi="Arial"/>
                <w:sz w:val="14"/>
                <w:szCs w:val="14"/>
                <w:b w:val="1"/>
                <w:bCs w:val="1"/>
                <w:color w:val="0A9E50"/>
              </w:rPr>
              <w:t>as % of</w:t>
            </w:r>
          </w:p>
        </w:tc>
      </w:tr>
      <w:tr>
        <w:trPr>
          <w:trHeight w:val="208"/>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Financial Performance Measures</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A9E50"/>
              </w:rPr>
              <w:t>Weighting</w:t>
            </w:r>
          </w:p>
        </w:tc>
        <w:tc>
          <w:tcPr>
            <w:tcW w:w="96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0A9E50"/>
              </w:rPr>
              <w:t>50%</w:t>
            </w:r>
          </w:p>
        </w:tc>
        <w:tc>
          <w:tcPr>
            <w:tcW w:w="90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0A9E50"/>
              </w:rPr>
              <w:t>100%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rPr>
              <w:t>200%</w:t>
            </w:r>
          </w:p>
        </w:tc>
        <w:tc>
          <w:tcPr>
            <w:tcW w:w="880" w:type="dxa"/>
            <w:vAlign w:val="bottom"/>
            <w:tcBorders>
              <w:bottom w:val="single" w:sz="8" w:color="auto"/>
            </w:tcBorders>
          </w:tcPr>
          <w:p>
            <w:pPr>
              <w:jc w:val="center"/>
              <w:spacing w:after="0" w:line="208" w:lineRule="exact"/>
              <w:rPr>
                <w:sz w:val="20"/>
                <w:szCs w:val="20"/>
                <w:color w:val="auto"/>
              </w:rPr>
            </w:pPr>
            <w:r>
              <w:rPr>
                <w:rFonts w:ascii="Arial" w:cs="Arial" w:eastAsia="Arial" w:hAnsi="Arial"/>
                <w:sz w:val="14"/>
                <w:szCs w:val="14"/>
                <w:b w:val="1"/>
                <w:bCs w:val="1"/>
                <w:color w:val="0A9E50"/>
                <w:w w:val="92"/>
              </w:rPr>
              <w:t>Results</w:t>
            </w:r>
            <w:r>
              <w:rPr>
                <w:rFonts w:ascii="Arial" w:cs="Arial" w:eastAsia="Arial" w:hAnsi="Arial"/>
                <w:sz w:val="20"/>
                <w:szCs w:val="20"/>
                <w:b w:val="1"/>
                <w:bCs w:val="1"/>
                <w:color w:val="0A9E50"/>
                <w:w w:val="92"/>
                <w:vertAlign w:val="superscript"/>
              </w:rPr>
              <w:t>(1)</w:t>
            </w:r>
          </w:p>
        </w:tc>
        <w:tc>
          <w:tcPr>
            <w:tcW w:w="8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0A9E50"/>
                <w:w w:val="98"/>
              </w:rPr>
              <w:t>Target</w:t>
            </w:r>
          </w:p>
        </w:tc>
      </w:tr>
      <w:tr>
        <w:trPr>
          <w:trHeight w:val="199"/>
        </w:trPr>
        <w:tc>
          <w:tcPr>
            <w:tcW w:w="3900" w:type="dxa"/>
            <w:vAlign w:val="bottom"/>
          </w:tcPr>
          <w:p>
            <w:pPr>
              <w:spacing w:after="0"/>
              <w:rPr>
                <w:sz w:val="20"/>
                <w:szCs w:val="20"/>
                <w:color w:val="auto"/>
              </w:rPr>
            </w:pPr>
            <w:r>
              <w:rPr>
                <w:rFonts w:ascii="Arial" w:cs="Arial" w:eastAsia="Arial" w:hAnsi="Arial"/>
                <w:sz w:val="16"/>
                <w:szCs w:val="16"/>
                <w:color w:val="auto"/>
              </w:rPr>
              <w:t>  Revenue Growth</w:t>
            </w:r>
          </w:p>
        </w:tc>
        <w:tc>
          <w:tcPr>
            <w:tcW w:w="2400" w:type="dxa"/>
            <w:vAlign w:val="bottom"/>
          </w:tcPr>
          <w:p>
            <w:pPr>
              <w:jc w:val="right"/>
              <w:ind w:right="65"/>
              <w:spacing w:after="0"/>
              <w:rPr>
                <w:sz w:val="20"/>
                <w:szCs w:val="20"/>
                <w:color w:val="auto"/>
              </w:rPr>
            </w:pPr>
            <w:r>
              <w:rPr>
                <w:rFonts w:ascii="Arial" w:cs="Arial" w:eastAsia="Arial" w:hAnsi="Arial"/>
                <w:sz w:val="16"/>
                <w:szCs w:val="16"/>
                <w:color w:val="auto"/>
              </w:rPr>
              <w:t>50.0%</w:t>
            </w:r>
          </w:p>
        </w:tc>
        <w:tc>
          <w:tcPr>
            <w:tcW w:w="960" w:type="dxa"/>
            <w:vAlign w:val="bottom"/>
          </w:tcPr>
          <w:p>
            <w:pPr>
              <w:jc w:val="right"/>
              <w:ind w:right="27"/>
              <w:spacing w:after="0"/>
              <w:rPr>
                <w:sz w:val="20"/>
                <w:szCs w:val="20"/>
                <w:color w:val="auto"/>
              </w:rPr>
            </w:pPr>
            <w:r>
              <w:rPr>
                <w:rFonts w:ascii="Arial" w:cs="Arial" w:eastAsia="Arial" w:hAnsi="Arial"/>
                <w:sz w:val="16"/>
                <w:szCs w:val="16"/>
                <w:color w:val="auto"/>
              </w:rPr>
              <w:t>$4,822.56</w:t>
            </w:r>
          </w:p>
        </w:tc>
        <w:tc>
          <w:tcPr>
            <w:tcW w:w="900" w:type="dxa"/>
            <w:vAlign w:val="bottom"/>
          </w:tcPr>
          <w:p>
            <w:pPr>
              <w:jc w:val="right"/>
              <w:ind w:right="6"/>
              <w:spacing w:after="0"/>
              <w:rPr>
                <w:sz w:val="20"/>
                <w:szCs w:val="20"/>
                <w:color w:val="auto"/>
              </w:rPr>
            </w:pPr>
            <w:r>
              <w:rPr>
                <w:rFonts w:ascii="Arial" w:cs="Arial" w:eastAsia="Arial" w:hAnsi="Arial"/>
                <w:sz w:val="16"/>
                <w:szCs w:val="16"/>
                <w:color w:val="auto"/>
              </w:rPr>
              <w:t>$5,076.38</w:t>
            </w: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$5,518.03</w:t>
            </w:r>
          </w:p>
        </w:tc>
        <w:tc>
          <w:tcPr>
            <w:tcW w:w="880" w:type="dxa"/>
            <w:vAlign w:val="bottom"/>
          </w:tcPr>
          <w:p>
            <w:pPr>
              <w:jc w:val="right"/>
              <w:ind w:right="7"/>
              <w:spacing w:after="0"/>
              <w:rPr>
                <w:sz w:val="20"/>
                <w:szCs w:val="20"/>
                <w:color w:val="auto"/>
              </w:rPr>
            </w:pPr>
            <w:r>
              <w:rPr>
                <w:rFonts w:ascii="Arial" w:cs="Arial" w:eastAsia="Arial" w:hAnsi="Arial"/>
                <w:sz w:val="16"/>
                <w:szCs w:val="16"/>
                <w:color w:val="auto"/>
              </w:rPr>
              <w:t>$4,771.91</w:t>
            </w:r>
          </w:p>
        </w:tc>
        <w:tc>
          <w:tcPr>
            <w:tcW w:w="800" w:type="dxa"/>
            <w:vAlign w:val="bottom"/>
          </w:tcPr>
          <w:p>
            <w:pPr>
              <w:jc w:val="right"/>
              <w:ind w:right="46"/>
              <w:spacing w:after="0"/>
              <w:rPr>
                <w:sz w:val="20"/>
                <w:szCs w:val="20"/>
                <w:color w:val="auto"/>
              </w:rPr>
            </w:pPr>
            <w:r>
              <w:rPr>
                <w:rFonts w:ascii="Arial" w:cs="Arial" w:eastAsia="Arial" w:hAnsi="Arial"/>
                <w:sz w:val="16"/>
                <w:szCs w:val="16"/>
                <w:color w:val="auto"/>
              </w:rPr>
              <w:t>0.00%</w:t>
            </w:r>
          </w:p>
        </w:tc>
      </w:tr>
      <w:tr>
        <w:trPr>
          <w:trHeight w:val="54"/>
        </w:trPr>
        <w:tc>
          <w:tcPr>
            <w:tcW w:w="3900" w:type="dxa"/>
            <w:vAlign w:val="bottom"/>
            <w:tcBorders>
              <w:bottom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r>
        <w:trPr>
          <w:trHeight w:val="199"/>
        </w:trPr>
        <w:tc>
          <w:tcPr>
            <w:tcW w:w="3900" w:type="dxa"/>
            <w:vAlign w:val="bottom"/>
          </w:tcPr>
          <w:p>
            <w:pPr>
              <w:spacing w:after="0"/>
              <w:rPr>
                <w:sz w:val="20"/>
                <w:szCs w:val="20"/>
                <w:color w:val="auto"/>
              </w:rPr>
            </w:pPr>
            <w:r>
              <w:rPr>
                <w:rFonts w:ascii="Arial" w:cs="Arial" w:eastAsia="Arial" w:hAnsi="Arial"/>
                <w:sz w:val="16"/>
                <w:szCs w:val="16"/>
                <w:color w:val="auto"/>
              </w:rPr>
              <w:t>  EBITDA Margin</w:t>
            </w:r>
          </w:p>
        </w:tc>
        <w:tc>
          <w:tcPr>
            <w:tcW w:w="2400" w:type="dxa"/>
            <w:vAlign w:val="bottom"/>
          </w:tcPr>
          <w:p>
            <w:pPr>
              <w:jc w:val="right"/>
              <w:ind w:right="65"/>
              <w:spacing w:after="0"/>
              <w:rPr>
                <w:sz w:val="20"/>
                <w:szCs w:val="20"/>
                <w:color w:val="auto"/>
              </w:rPr>
            </w:pPr>
            <w:r>
              <w:rPr>
                <w:rFonts w:ascii="Arial" w:cs="Arial" w:eastAsia="Arial" w:hAnsi="Arial"/>
                <w:sz w:val="16"/>
                <w:szCs w:val="16"/>
                <w:color w:val="auto"/>
              </w:rPr>
              <w:t>50.0%</w:t>
            </w:r>
          </w:p>
        </w:tc>
        <w:tc>
          <w:tcPr>
            <w:tcW w:w="960" w:type="dxa"/>
            <w:vAlign w:val="bottom"/>
          </w:tcPr>
          <w:p>
            <w:pPr>
              <w:jc w:val="right"/>
              <w:ind w:right="147"/>
              <w:spacing w:after="0"/>
              <w:rPr>
                <w:sz w:val="20"/>
                <w:szCs w:val="20"/>
                <w:color w:val="auto"/>
              </w:rPr>
            </w:pPr>
            <w:r>
              <w:rPr>
                <w:rFonts w:ascii="Arial" w:cs="Arial" w:eastAsia="Arial" w:hAnsi="Arial"/>
                <w:sz w:val="16"/>
                <w:szCs w:val="16"/>
                <w:color w:val="auto"/>
              </w:rPr>
              <w:t>1.65%</w:t>
            </w:r>
          </w:p>
        </w:tc>
        <w:tc>
          <w:tcPr>
            <w:tcW w:w="900" w:type="dxa"/>
            <w:vAlign w:val="bottom"/>
          </w:tcPr>
          <w:p>
            <w:pPr>
              <w:jc w:val="right"/>
              <w:ind w:right="146"/>
              <w:spacing w:after="0"/>
              <w:rPr>
                <w:sz w:val="20"/>
                <w:szCs w:val="20"/>
                <w:color w:val="auto"/>
              </w:rPr>
            </w:pPr>
            <w:r>
              <w:rPr>
                <w:rFonts w:ascii="Arial" w:cs="Arial" w:eastAsia="Arial" w:hAnsi="Arial"/>
                <w:sz w:val="16"/>
                <w:szCs w:val="16"/>
                <w:color w:val="auto"/>
              </w:rPr>
              <w:t>2.25%</w:t>
            </w:r>
          </w:p>
        </w:tc>
        <w:tc>
          <w:tcPr>
            <w:tcW w:w="780" w:type="dxa"/>
            <w:vAlign w:val="bottom"/>
          </w:tcPr>
          <w:p>
            <w:pPr>
              <w:jc w:val="center"/>
              <w:spacing w:after="0"/>
              <w:rPr>
                <w:sz w:val="20"/>
                <w:szCs w:val="20"/>
                <w:color w:val="auto"/>
              </w:rPr>
            </w:pPr>
            <w:r>
              <w:rPr>
                <w:rFonts w:ascii="Arial" w:cs="Arial" w:eastAsia="Arial" w:hAnsi="Arial"/>
                <w:sz w:val="16"/>
                <w:szCs w:val="16"/>
                <w:color w:val="auto"/>
                <w:w w:val="96"/>
              </w:rPr>
              <w:t>2.77%</w:t>
            </w:r>
          </w:p>
        </w:tc>
        <w:tc>
          <w:tcPr>
            <w:tcW w:w="880" w:type="dxa"/>
            <w:vAlign w:val="bottom"/>
          </w:tcPr>
          <w:p>
            <w:pPr>
              <w:jc w:val="right"/>
              <w:ind w:right="127"/>
              <w:spacing w:after="0"/>
              <w:rPr>
                <w:sz w:val="20"/>
                <w:szCs w:val="20"/>
                <w:color w:val="auto"/>
              </w:rPr>
            </w:pPr>
            <w:r>
              <w:rPr>
                <w:rFonts w:ascii="Arial" w:cs="Arial" w:eastAsia="Arial" w:hAnsi="Arial"/>
                <w:sz w:val="16"/>
                <w:szCs w:val="16"/>
                <w:color w:val="auto"/>
              </w:rPr>
              <w:t>2.25%</w:t>
            </w:r>
          </w:p>
        </w:tc>
        <w:tc>
          <w:tcPr>
            <w:tcW w:w="800" w:type="dxa"/>
            <w:vAlign w:val="bottom"/>
          </w:tcPr>
          <w:p>
            <w:pPr>
              <w:jc w:val="right"/>
              <w:ind w:right="46"/>
              <w:spacing w:after="0"/>
              <w:rPr>
                <w:sz w:val="20"/>
                <w:szCs w:val="20"/>
                <w:color w:val="auto"/>
              </w:rPr>
            </w:pPr>
            <w:r>
              <w:rPr>
                <w:rFonts w:ascii="Arial" w:cs="Arial" w:eastAsia="Arial" w:hAnsi="Arial"/>
                <w:sz w:val="16"/>
                <w:szCs w:val="16"/>
                <w:color w:val="auto"/>
              </w:rPr>
              <w:t>100.00%</w:t>
            </w:r>
          </w:p>
        </w:tc>
      </w:tr>
      <w:tr>
        <w:trPr>
          <w:trHeight w:val="54"/>
        </w:trPr>
        <w:tc>
          <w:tcPr>
            <w:tcW w:w="3900" w:type="dxa"/>
            <w:vAlign w:val="bottom"/>
            <w:tcBorders>
              <w:bottom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1660" w:type="dxa"/>
            <w:vAlign w:val="bottom"/>
            <w:tcBorders>
              <w:bottom w:val="single" w:sz="8" w:color="7F7F7F"/>
            </w:tcBorders>
            <w:gridSpan w:val="2"/>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r>
        <w:trPr>
          <w:trHeight w:val="211"/>
        </w:trPr>
        <w:tc>
          <w:tcPr>
            <w:tcW w:w="3900" w:type="dxa"/>
            <w:vAlign w:val="bottom"/>
            <w:tcBorders>
              <w:bottom w:val="single" w:sz="8" w:color="7F7F7F"/>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 in millions</w:t>
            </w:r>
          </w:p>
        </w:tc>
        <w:tc>
          <w:tcPr>
            <w:tcW w:w="2400" w:type="dxa"/>
            <w:vAlign w:val="bottom"/>
            <w:tcBorders>
              <w:bottom w:val="single" w:sz="8" w:color="7F7F7F"/>
            </w:tcBorders>
          </w:tcPr>
          <w:p>
            <w:pPr>
              <w:spacing w:after="0"/>
              <w:rPr>
                <w:sz w:val="18"/>
                <w:szCs w:val="18"/>
                <w:color w:val="auto"/>
              </w:rPr>
            </w:pPr>
          </w:p>
        </w:tc>
        <w:tc>
          <w:tcPr>
            <w:tcW w:w="96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spacing w:after="0"/>
              <w:rPr>
                <w:sz w:val="18"/>
                <w:szCs w:val="18"/>
                <w:color w:val="auto"/>
              </w:rPr>
            </w:pPr>
          </w:p>
        </w:tc>
        <w:tc>
          <w:tcPr>
            <w:tcW w:w="1660" w:type="dxa"/>
            <w:vAlign w:val="bottom"/>
            <w:tcBorders>
              <w:bottom w:val="single" w:sz="8" w:color="7F7F7F"/>
            </w:tcBorders>
            <w:gridSpan w:val="2"/>
          </w:tcPr>
          <w:p>
            <w:pPr>
              <w:ind w:left="260"/>
              <w:spacing w:after="0"/>
              <w:rPr>
                <w:sz w:val="20"/>
                <w:szCs w:val="20"/>
                <w:color w:val="auto"/>
              </w:rPr>
            </w:pPr>
            <w:r>
              <w:rPr>
                <w:rFonts w:ascii="Arial" w:cs="Arial" w:eastAsia="Arial" w:hAnsi="Arial"/>
                <w:sz w:val="16"/>
                <w:szCs w:val="16"/>
                <w:b w:val="1"/>
                <w:bCs w:val="1"/>
                <w:color w:val="auto"/>
              </w:rPr>
              <w:t>Weighted Payout:</w:t>
            </w:r>
          </w:p>
        </w:tc>
        <w:tc>
          <w:tcPr>
            <w:tcW w:w="800" w:type="dxa"/>
            <w:vAlign w:val="bottom"/>
            <w:tcBorders>
              <w:bottom w:val="single" w:sz="8" w:color="7F7F7F"/>
            </w:tcBorders>
          </w:tcPr>
          <w:p>
            <w:pPr>
              <w:jc w:val="right"/>
              <w:ind w:right="46"/>
              <w:spacing w:after="0"/>
              <w:rPr>
                <w:sz w:val="20"/>
                <w:szCs w:val="20"/>
                <w:color w:val="auto"/>
              </w:rPr>
            </w:pPr>
            <w:r>
              <w:rPr>
                <w:rFonts w:ascii="Arial" w:cs="Arial" w:eastAsia="Arial" w:hAnsi="Arial"/>
                <w:sz w:val="16"/>
                <w:szCs w:val="16"/>
                <w:b w:val="1"/>
                <w:bCs w:val="1"/>
                <w:color w:val="auto"/>
              </w:rPr>
              <w:t>50.00%</w:t>
            </w:r>
          </w:p>
        </w:tc>
      </w:tr>
    </w:tbl>
    <w:p>
      <w:pPr>
        <w:spacing w:after="0" w:line="99" w:lineRule="exact"/>
        <w:rPr>
          <w:sz w:val="20"/>
          <w:szCs w:val="20"/>
          <w:color w:val="auto"/>
        </w:rPr>
      </w:pPr>
    </w:p>
    <w:p>
      <w:pPr>
        <w:ind w:left="304" w:hanging="304"/>
        <w:spacing w:after="0"/>
        <w:tabs>
          <w:tab w:leader="none" w:pos="304" w:val="left"/>
        </w:tabs>
        <w:numPr>
          <w:ilvl w:val="0"/>
          <w:numId w:val="36"/>
        </w:numPr>
        <w:rPr>
          <w:rFonts w:ascii="Arial" w:cs="Arial" w:eastAsia="Arial" w:hAnsi="Arial"/>
          <w:sz w:val="12"/>
          <w:szCs w:val="12"/>
          <w:color w:val="auto"/>
        </w:rPr>
      </w:pPr>
      <w:r>
        <w:rPr>
          <w:rFonts w:ascii="Arial" w:cs="Arial" w:eastAsia="Arial" w:hAnsi="Arial"/>
          <w:sz w:val="12"/>
          <w:szCs w:val="12"/>
          <w:color w:val="auto"/>
        </w:rPr>
        <w:t>2023 performance amount includes adjustments for restructuring and divestiture costs and other considerations approved by the Committee.</w:t>
      </w:r>
    </w:p>
    <w:p>
      <w:pPr>
        <w:spacing w:after="0" w:line="63" w:lineRule="exact"/>
        <w:rPr>
          <w:sz w:val="20"/>
          <w:szCs w:val="20"/>
          <w:color w:val="auto"/>
        </w:rPr>
      </w:pPr>
    </w:p>
    <w:p>
      <w:pPr>
        <w:ind w:left="4" w:right="120"/>
        <w:spacing w:after="0" w:line="265" w:lineRule="auto"/>
        <w:rPr>
          <w:sz w:val="20"/>
          <w:szCs w:val="20"/>
          <w:color w:val="auto"/>
        </w:rPr>
      </w:pPr>
      <w:r>
        <w:rPr>
          <w:rFonts w:ascii="Arial" w:cs="Arial" w:eastAsia="Arial" w:hAnsi="Arial"/>
          <w:sz w:val="16"/>
          <w:szCs w:val="16"/>
          <w:color w:val="auto"/>
        </w:rPr>
        <w:t>As a result of the above level of achievement for each of the performance measures for year 1 of the 2023-2025 LTI award, the Committee approved the following number of earned performance shares for each named executive officer.</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9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0A9E50"/>
                <w:w w:val="99"/>
              </w:rPr>
              <w:t>Financial Measure:</w:t>
            </w:r>
          </w:p>
        </w:tc>
        <w:tc>
          <w:tcPr>
            <w:tcW w:w="2480" w:type="dxa"/>
            <w:vAlign w:val="bottom"/>
            <w:gridSpan w:val="2"/>
          </w:tcPr>
          <w:p>
            <w:pPr>
              <w:jc w:val="center"/>
              <w:spacing w:after="0"/>
              <w:rPr>
                <w:sz w:val="20"/>
                <w:szCs w:val="20"/>
                <w:color w:val="auto"/>
              </w:rPr>
            </w:pPr>
            <w:r>
              <w:rPr>
                <w:rFonts w:ascii="Arial" w:cs="Arial" w:eastAsia="Arial" w:hAnsi="Arial"/>
                <w:sz w:val="14"/>
                <w:szCs w:val="14"/>
                <w:b w:val="1"/>
                <w:bCs w:val="1"/>
                <w:color w:val="0A9E50"/>
                <w:w w:val="98"/>
              </w:rPr>
              <w:t>Financial Measure:</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00" w:type="dxa"/>
            <w:vAlign w:val="bottom"/>
          </w:tcPr>
          <w:p>
            <w:pPr>
              <w:spacing w:after="0"/>
              <w:rPr>
                <w:sz w:val="14"/>
                <w:szCs w:val="14"/>
                <w:color w:val="auto"/>
              </w:rPr>
            </w:pPr>
          </w:p>
        </w:tc>
        <w:tc>
          <w:tcPr>
            <w:tcW w:w="2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A9E50"/>
                <w:w w:val="98"/>
              </w:rPr>
              <w:t>Revenue Growth</w:t>
            </w:r>
          </w:p>
        </w:tc>
        <w:tc>
          <w:tcPr>
            <w:tcW w:w="500" w:type="dxa"/>
            <w:vAlign w:val="bottom"/>
          </w:tcPr>
          <w:p>
            <w:pPr>
              <w:spacing w:after="0"/>
              <w:rPr>
                <w:sz w:val="14"/>
                <w:szCs w:val="14"/>
                <w:color w:val="auto"/>
              </w:rPr>
            </w:pPr>
          </w:p>
        </w:tc>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A9E50"/>
                <w:w w:val="98"/>
              </w:rPr>
              <w:t>EBITDA Margin</w:t>
            </w:r>
          </w:p>
        </w:tc>
        <w:tc>
          <w:tcPr>
            <w:tcW w:w="1480" w:type="dxa"/>
            <w:vAlign w:val="bottom"/>
            <w:vMerge w:val="restart"/>
          </w:tcPr>
          <w:p>
            <w:pPr>
              <w:jc w:val="center"/>
              <w:ind w:left="406"/>
              <w:spacing w:after="0"/>
              <w:rPr>
                <w:sz w:val="20"/>
                <w:szCs w:val="20"/>
                <w:color w:val="auto"/>
              </w:rPr>
            </w:pPr>
            <w:r>
              <w:rPr>
                <w:rFonts w:ascii="Arial" w:cs="Arial" w:eastAsia="Arial" w:hAnsi="Arial"/>
                <w:sz w:val="14"/>
                <w:szCs w:val="14"/>
                <w:b w:val="1"/>
                <w:bCs w:val="1"/>
                <w:color w:val="0A9E50"/>
                <w:w w:val="96"/>
              </w:rPr>
              <w:t>Total # of</w:t>
            </w:r>
          </w:p>
        </w:tc>
        <w:tc>
          <w:tcPr>
            <w:tcW w:w="0" w:type="dxa"/>
            <w:vAlign w:val="bottom"/>
          </w:tcPr>
          <w:p>
            <w:pPr>
              <w:spacing w:after="0"/>
              <w:rPr>
                <w:sz w:val="1"/>
                <w:szCs w:val="1"/>
                <w:color w:val="auto"/>
              </w:rPr>
            </w:pPr>
          </w:p>
        </w:tc>
      </w:tr>
      <w:tr>
        <w:trPr>
          <w:trHeight w:val="49"/>
        </w:trPr>
        <w:tc>
          <w:tcPr>
            <w:tcW w:w="3700" w:type="dxa"/>
            <w:vAlign w:val="bottom"/>
          </w:tcPr>
          <w:p>
            <w:pPr>
              <w:spacing w:after="0"/>
              <w:rPr>
                <w:sz w:val="4"/>
                <w:szCs w:val="4"/>
                <w:color w:val="auto"/>
              </w:rPr>
            </w:pPr>
          </w:p>
        </w:tc>
        <w:tc>
          <w:tcPr>
            <w:tcW w:w="24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0A9E50"/>
                <w:w w:val="98"/>
              </w:rPr>
              <w:t>Payout as % of Target: 0.00%</w:t>
            </w:r>
          </w:p>
        </w:tc>
        <w:tc>
          <w:tcPr>
            <w:tcW w:w="500" w:type="dxa"/>
            <w:vAlign w:val="bottom"/>
            <w:vMerge w:val="restart"/>
          </w:tcPr>
          <w:p>
            <w:pPr>
              <w:spacing w:after="0"/>
              <w:rPr>
                <w:sz w:val="4"/>
                <w:szCs w:val="4"/>
                <w:color w:val="auto"/>
              </w:rPr>
            </w:pPr>
          </w:p>
        </w:tc>
        <w:tc>
          <w:tcPr>
            <w:tcW w:w="24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0A9E50"/>
                <w:w w:val="98"/>
              </w:rPr>
              <w:t>Payout as % of Target: 100.00%</w:t>
            </w: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3700" w:type="dxa"/>
            <w:vAlign w:val="bottom"/>
          </w:tcPr>
          <w:p>
            <w:pPr>
              <w:spacing w:after="0"/>
              <w:rPr>
                <w:sz w:val="8"/>
                <w:szCs w:val="8"/>
                <w:color w:val="auto"/>
              </w:rPr>
            </w:pPr>
          </w:p>
        </w:tc>
        <w:tc>
          <w:tcPr>
            <w:tcW w:w="2460" w:type="dxa"/>
            <w:vAlign w:val="bottom"/>
            <w:tcBorders>
              <w:bottom w:val="single" w:sz="8" w:color="auto"/>
            </w:tcBorders>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480" w:type="dxa"/>
            <w:vAlign w:val="bottom"/>
            <w:tcBorders>
              <w:bottom w:val="single" w:sz="8" w:color="auto"/>
            </w:tcBorders>
            <w:gridSpan w:val="2"/>
            <w:vMerge w:val="continue"/>
          </w:tcPr>
          <w:p>
            <w:pPr>
              <w:spacing w:after="0"/>
              <w:rPr>
                <w:sz w:val="8"/>
                <w:szCs w:val="8"/>
                <w:color w:val="auto"/>
              </w:rPr>
            </w:pPr>
          </w:p>
        </w:tc>
        <w:tc>
          <w:tcPr>
            <w:tcW w:w="1480" w:type="dxa"/>
            <w:vAlign w:val="bottom"/>
            <w:vMerge w:val="restart"/>
          </w:tcPr>
          <w:p>
            <w:pPr>
              <w:jc w:val="center"/>
              <w:ind w:left="406"/>
              <w:spacing w:after="0" w:line="156" w:lineRule="exact"/>
              <w:rPr>
                <w:sz w:val="20"/>
                <w:szCs w:val="20"/>
                <w:color w:val="auto"/>
              </w:rPr>
            </w:pPr>
            <w:r>
              <w:rPr>
                <w:rFonts w:ascii="Arial" w:cs="Arial" w:eastAsia="Arial" w:hAnsi="Arial"/>
                <w:sz w:val="14"/>
                <w:szCs w:val="14"/>
                <w:b w:val="1"/>
                <w:bCs w:val="1"/>
                <w:color w:val="0A9E50"/>
                <w:w w:val="95"/>
              </w:rPr>
              <w:t>Year 1</w:t>
            </w:r>
          </w:p>
        </w:tc>
        <w:tc>
          <w:tcPr>
            <w:tcW w:w="0" w:type="dxa"/>
            <w:vAlign w:val="bottom"/>
          </w:tcPr>
          <w:p>
            <w:pPr>
              <w:spacing w:after="0"/>
              <w:rPr>
                <w:sz w:val="1"/>
                <w:szCs w:val="1"/>
                <w:color w:val="auto"/>
              </w:rPr>
            </w:pPr>
          </w:p>
        </w:tc>
      </w:tr>
      <w:tr>
        <w:trPr>
          <w:trHeight w:val="36"/>
        </w:trPr>
        <w:tc>
          <w:tcPr>
            <w:tcW w:w="3700" w:type="dxa"/>
            <w:vAlign w:val="bottom"/>
          </w:tcPr>
          <w:p>
            <w:pPr>
              <w:spacing w:after="0"/>
              <w:rPr>
                <w:sz w:val="3"/>
                <w:szCs w:val="3"/>
                <w:color w:val="auto"/>
              </w:rPr>
            </w:pPr>
          </w:p>
        </w:tc>
        <w:tc>
          <w:tcPr>
            <w:tcW w:w="1240" w:type="dxa"/>
            <w:vAlign w:val="bottom"/>
            <w:vMerge w:val="restart"/>
          </w:tcPr>
          <w:p>
            <w:pPr>
              <w:jc w:val="right"/>
              <w:ind w:right="186"/>
              <w:spacing w:after="0" w:line="140" w:lineRule="exact"/>
              <w:rPr>
                <w:sz w:val="20"/>
                <w:szCs w:val="20"/>
                <w:color w:val="auto"/>
              </w:rPr>
            </w:pPr>
            <w:r>
              <w:rPr>
                <w:rFonts w:ascii="Arial" w:cs="Arial" w:eastAsia="Arial" w:hAnsi="Arial"/>
                <w:sz w:val="14"/>
                <w:szCs w:val="14"/>
                <w:b w:val="1"/>
                <w:bCs w:val="1"/>
                <w:color w:val="0A9E50"/>
                <w:w w:val="95"/>
              </w:rPr>
              <w:t>Year 1 Target #</w:t>
            </w:r>
          </w:p>
        </w:tc>
        <w:tc>
          <w:tcPr>
            <w:tcW w:w="1720" w:type="dxa"/>
            <w:vAlign w:val="bottom"/>
            <w:gridSpan w:val="2"/>
            <w:vMerge w:val="restart"/>
          </w:tcPr>
          <w:p>
            <w:pPr>
              <w:jc w:val="center"/>
              <w:ind w:right="260"/>
              <w:spacing w:after="0" w:line="140" w:lineRule="exact"/>
              <w:rPr>
                <w:sz w:val="20"/>
                <w:szCs w:val="20"/>
                <w:color w:val="auto"/>
              </w:rPr>
            </w:pPr>
            <w:r>
              <w:rPr>
                <w:rFonts w:ascii="Arial" w:cs="Arial" w:eastAsia="Arial" w:hAnsi="Arial"/>
                <w:sz w:val="14"/>
                <w:szCs w:val="14"/>
                <w:b w:val="1"/>
                <w:bCs w:val="1"/>
                <w:color w:val="0A9E50"/>
                <w:w w:val="98"/>
              </w:rPr>
              <w:t>Year 1 # of</w:t>
            </w:r>
          </w:p>
        </w:tc>
        <w:tc>
          <w:tcPr>
            <w:tcW w:w="1260" w:type="dxa"/>
            <w:vAlign w:val="bottom"/>
            <w:vMerge w:val="restart"/>
          </w:tcPr>
          <w:p>
            <w:pPr>
              <w:jc w:val="right"/>
              <w:ind w:right="186"/>
              <w:spacing w:after="0" w:line="140" w:lineRule="exact"/>
              <w:rPr>
                <w:sz w:val="20"/>
                <w:szCs w:val="20"/>
                <w:color w:val="auto"/>
              </w:rPr>
            </w:pPr>
            <w:r>
              <w:rPr>
                <w:rFonts w:ascii="Arial" w:cs="Arial" w:eastAsia="Arial" w:hAnsi="Arial"/>
                <w:sz w:val="14"/>
                <w:szCs w:val="14"/>
                <w:b w:val="1"/>
                <w:bCs w:val="1"/>
                <w:color w:val="0A9E50"/>
                <w:w w:val="97"/>
              </w:rPr>
              <w:t>Year 1 Target #</w:t>
            </w:r>
          </w:p>
        </w:tc>
        <w:tc>
          <w:tcPr>
            <w:tcW w:w="1220" w:type="dxa"/>
            <w:vAlign w:val="bottom"/>
            <w:vMerge w:val="restart"/>
          </w:tcPr>
          <w:p>
            <w:pPr>
              <w:jc w:val="right"/>
              <w:ind w:right="64"/>
              <w:spacing w:after="0" w:line="140" w:lineRule="exact"/>
              <w:rPr>
                <w:sz w:val="20"/>
                <w:szCs w:val="20"/>
                <w:color w:val="auto"/>
              </w:rPr>
            </w:pPr>
            <w:r>
              <w:rPr>
                <w:rFonts w:ascii="Arial" w:cs="Arial" w:eastAsia="Arial" w:hAnsi="Arial"/>
                <w:sz w:val="14"/>
                <w:szCs w:val="14"/>
                <w:b w:val="1"/>
                <w:bCs w:val="1"/>
                <w:color w:val="0A9E50"/>
              </w:rPr>
              <w:t>Year 1 # of</w:t>
            </w:r>
          </w:p>
        </w:tc>
        <w:tc>
          <w:tcPr>
            <w:tcW w:w="14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4"/>
        </w:trPr>
        <w:tc>
          <w:tcPr>
            <w:tcW w:w="37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480" w:type="dxa"/>
            <w:vAlign w:val="bottom"/>
            <w:vMerge w:val="restart"/>
          </w:tcPr>
          <w:p>
            <w:pPr>
              <w:jc w:val="center"/>
              <w:ind w:left="406"/>
              <w:spacing w:after="0" w:line="156" w:lineRule="exact"/>
              <w:rPr>
                <w:sz w:val="20"/>
                <w:szCs w:val="20"/>
                <w:color w:val="auto"/>
              </w:rPr>
            </w:pPr>
            <w:r>
              <w:rPr>
                <w:rFonts w:ascii="Arial" w:cs="Arial" w:eastAsia="Arial" w:hAnsi="Arial"/>
                <w:sz w:val="14"/>
                <w:szCs w:val="14"/>
                <w:b w:val="1"/>
                <w:bCs w:val="1"/>
                <w:color w:val="0A9E50"/>
                <w:w w:val="98"/>
              </w:rPr>
              <w:t>Performance</w:t>
            </w:r>
          </w:p>
        </w:tc>
        <w:tc>
          <w:tcPr>
            <w:tcW w:w="0" w:type="dxa"/>
            <w:vAlign w:val="bottom"/>
          </w:tcPr>
          <w:p>
            <w:pPr>
              <w:spacing w:after="0"/>
              <w:rPr>
                <w:sz w:val="1"/>
                <w:szCs w:val="1"/>
                <w:color w:val="auto"/>
              </w:rPr>
            </w:pPr>
          </w:p>
        </w:tc>
      </w:tr>
      <w:tr>
        <w:trPr>
          <w:trHeight w:val="52"/>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0A9E50"/>
              </w:rPr>
              <w:t>  Name</w:t>
            </w:r>
          </w:p>
        </w:tc>
        <w:tc>
          <w:tcPr>
            <w:tcW w:w="1240" w:type="dxa"/>
            <w:vAlign w:val="bottom"/>
            <w:vMerge w:val="restart"/>
          </w:tcPr>
          <w:p>
            <w:pPr>
              <w:jc w:val="right"/>
              <w:ind w:right="346"/>
              <w:spacing w:after="0"/>
              <w:rPr>
                <w:sz w:val="20"/>
                <w:szCs w:val="20"/>
                <w:color w:val="auto"/>
              </w:rPr>
            </w:pPr>
            <w:r>
              <w:rPr>
                <w:rFonts w:ascii="Arial" w:cs="Arial" w:eastAsia="Arial" w:hAnsi="Arial"/>
                <w:sz w:val="14"/>
                <w:szCs w:val="14"/>
                <w:b w:val="1"/>
                <w:bCs w:val="1"/>
                <w:color w:val="0A9E50"/>
              </w:rPr>
              <w:t>of Shares</w:t>
            </w: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0A9E50"/>
                <w:w w:val="99"/>
              </w:rPr>
              <w:t>Shares Earned</w:t>
            </w:r>
          </w:p>
        </w:tc>
        <w:tc>
          <w:tcPr>
            <w:tcW w:w="1260" w:type="dxa"/>
            <w:vAlign w:val="bottom"/>
            <w:vMerge w:val="restart"/>
          </w:tcPr>
          <w:p>
            <w:pPr>
              <w:jc w:val="right"/>
              <w:ind w:right="366"/>
              <w:spacing w:after="0"/>
              <w:rPr>
                <w:sz w:val="20"/>
                <w:szCs w:val="20"/>
                <w:color w:val="auto"/>
              </w:rPr>
            </w:pPr>
            <w:r>
              <w:rPr>
                <w:rFonts w:ascii="Arial" w:cs="Arial" w:eastAsia="Arial" w:hAnsi="Arial"/>
                <w:sz w:val="14"/>
                <w:szCs w:val="14"/>
                <w:b w:val="1"/>
                <w:bCs w:val="1"/>
                <w:color w:val="0A9E50"/>
              </w:rPr>
              <w:t>of Shares</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0A9E50"/>
              </w:rPr>
              <w:t>Shares Earned</w:t>
            </w: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70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720" w:type="dxa"/>
            <w:vAlign w:val="bottom"/>
            <w:tcBorders>
              <w:bottom w:val="single" w:sz="8" w:color="auto"/>
            </w:tcBorders>
            <w:gridSpan w:val="2"/>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480" w:type="dxa"/>
            <w:vAlign w:val="bottom"/>
            <w:tcBorders>
              <w:bottom w:val="single" w:sz="8" w:color="auto"/>
            </w:tcBorders>
          </w:tcPr>
          <w:p>
            <w:pPr>
              <w:jc w:val="center"/>
              <w:ind w:left="406"/>
              <w:spacing w:after="0"/>
              <w:rPr>
                <w:sz w:val="20"/>
                <w:szCs w:val="20"/>
                <w:color w:val="auto"/>
              </w:rPr>
            </w:pPr>
            <w:r>
              <w:rPr>
                <w:rFonts w:ascii="Arial" w:cs="Arial" w:eastAsia="Arial" w:hAnsi="Arial"/>
                <w:sz w:val="14"/>
                <w:szCs w:val="14"/>
                <w:b w:val="1"/>
                <w:bCs w:val="1"/>
                <w:color w:val="0A9E50"/>
                <w:w w:val="97"/>
              </w:rPr>
              <w:t>Shares Earned</w:t>
            </w: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6"/>
                <w:szCs w:val="16"/>
                <w:b w:val="1"/>
                <w:bCs w:val="1"/>
                <w:color w:val="auto"/>
              </w:rPr>
              <w:t>  Peter W. Quigley</w:t>
            </w:r>
          </w:p>
        </w:tc>
        <w:tc>
          <w:tcPr>
            <w:tcW w:w="1240" w:type="dxa"/>
            <w:vAlign w:val="bottom"/>
          </w:tcPr>
          <w:p>
            <w:pPr>
              <w:jc w:val="right"/>
              <w:ind w:right="266"/>
              <w:spacing w:after="0"/>
              <w:rPr>
                <w:sz w:val="20"/>
                <w:szCs w:val="20"/>
                <w:color w:val="auto"/>
              </w:rPr>
            </w:pPr>
            <w:r>
              <w:rPr>
                <w:rFonts w:ascii="Arial" w:cs="Arial" w:eastAsia="Arial" w:hAnsi="Arial"/>
                <w:sz w:val="16"/>
                <w:szCs w:val="16"/>
                <w:color w:val="auto"/>
              </w:rPr>
              <w:t>17,545</w:t>
            </w:r>
          </w:p>
        </w:tc>
        <w:tc>
          <w:tcPr>
            <w:tcW w:w="122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8"/>
                <w:szCs w:val="18"/>
                <w:color w:val="auto"/>
              </w:rPr>
            </w:pP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17,545</w:t>
            </w:r>
          </w:p>
        </w:tc>
        <w:tc>
          <w:tcPr>
            <w:tcW w:w="1220" w:type="dxa"/>
            <w:vAlign w:val="bottom"/>
          </w:tcPr>
          <w:p>
            <w:pPr>
              <w:jc w:val="right"/>
              <w:spacing w:after="0"/>
              <w:rPr>
                <w:sz w:val="20"/>
                <w:szCs w:val="20"/>
                <w:color w:val="auto"/>
              </w:rPr>
            </w:pPr>
            <w:r>
              <w:rPr>
                <w:rFonts w:ascii="Arial" w:cs="Arial" w:eastAsia="Arial" w:hAnsi="Arial"/>
                <w:sz w:val="16"/>
                <w:szCs w:val="16"/>
                <w:color w:val="auto"/>
              </w:rPr>
              <w:t>17,545</w:t>
            </w:r>
          </w:p>
        </w:tc>
        <w:tc>
          <w:tcPr>
            <w:tcW w:w="1480" w:type="dxa"/>
            <w:vAlign w:val="bottom"/>
          </w:tcPr>
          <w:p>
            <w:pPr>
              <w:jc w:val="right"/>
              <w:spacing w:after="0"/>
              <w:rPr>
                <w:sz w:val="20"/>
                <w:szCs w:val="20"/>
                <w:color w:val="auto"/>
              </w:rPr>
            </w:pPr>
            <w:r>
              <w:rPr>
                <w:rFonts w:ascii="Arial" w:cs="Arial" w:eastAsia="Arial" w:hAnsi="Arial"/>
                <w:sz w:val="16"/>
                <w:szCs w:val="16"/>
                <w:color w:val="auto"/>
              </w:rPr>
              <w:t>17,545</w:t>
            </w:r>
          </w:p>
        </w:tc>
        <w:tc>
          <w:tcPr>
            <w:tcW w:w="0" w:type="dxa"/>
            <w:vAlign w:val="bottom"/>
          </w:tcPr>
          <w:p>
            <w:pPr>
              <w:spacing w:after="0"/>
              <w:rPr>
                <w:sz w:val="1"/>
                <w:szCs w:val="1"/>
                <w:color w:val="auto"/>
              </w:rPr>
            </w:pPr>
          </w:p>
        </w:tc>
      </w:tr>
      <w:tr>
        <w:trPr>
          <w:trHeight w:val="45"/>
        </w:trPr>
        <w:tc>
          <w:tcPr>
            <w:tcW w:w="370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14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6"/>
                <w:szCs w:val="16"/>
                <w:b w:val="1"/>
                <w:bCs w:val="1"/>
                <w:color w:val="auto"/>
              </w:rPr>
              <w:t>  Olivier G. Thirot</w:t>
            </w:r>
          </w:p>
        </w:tc>
        <w:tc>
          <w:tcPr>
            <w:tcW w:w="1240" w:type="dxa"/>
            <w:vAlign w:val="bottom"/>
          </w:tcPr>
          <w:p>
            <w:pPr>
              <w:jc w:val="right"/>
              <w:ind w:right="266"/>
              <w:spacing w:after="0"/>
              <w:rPr>
                <w:sz w:val="20"/>
                <w:szCs w:val="20"/>
                <w:color w:val="auto"/>
              </w:rPr>
            </w:pPr>
            <w:r>
              <w:rPr>
                <w:rFonts w:ascii="Arial" w:cs="Arial" w:eastAsia="Arial" w:hAnsi="Arial"/>
                <w:sz w:val="16"/>
                <w:szCs w:val="16"/>
                <w:color w:val="auto"/>
              </w:rPr>
              <w:t>5,784</w:t>
            </w:r>
          </w:p>
        </w:tc>
        <w:tc>
          <w:tcPr>
            <w:tcW w:w="122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8"/>
                <w:szCs w:val="18"/>
                <w:color w:val="auto"/>
              </w:rPr>
            </w:pP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5,784</w:t>
            </w:r>
          </w:p>
        </w:tc>
        <w:tc>
          <w:tcPr>
            <w:tcW w:w="1220" w:type="dxa"/>
            <w:vAlign w:val="bottom"/>
          </w:tcPr>
          <w:p>
            <w:pPr>
              <w:jc w:val="right"/>
              <w:spacing w:after="0"/>
              <w:rPr>
                <w:sz w:val="20"/>
                <w:szCs w:val="20"/>
                <w:color w:val="auto"/>
              </w:rPr>
            </w:pPr>
            <w:r>
              <w:rPr>
                <w:rFonts w:ascii="Arial" w:cs="Arial" w:eastAsia="Arial" w:hAnsi="Arial"/>
                <w:sz w:val="16"/>
                <w:szCs w:val="16"/>
                <w:color w:val="auto"/>
              </w:rPr>
              <w:t>5,784</w:t>
            </w:r>
          </w:p>
        </w:tc>
        <w:tc>
          <w:tcPr>
            <w:tcW w:w="1480" w:type="dxa"/>
            <w:vAlign w:val="bottom"/>
          </w:tcPr>
          <w:p>
            <w:pPr>
              <w:jc w:val="right"/>
              <w:spacing w:after="0"/>
              <w:rPr>
                <w:sz w:val="20"/>
                <w:szCs w:val="20"/>
                <w:color w:val="auto"/>
              </w:rPr>
            </w:pPr>
            <w:r>
              <w:rPr>
                <w:rFonts w:ascii="Arial" w:cs="Arial" w:eastAsia="Arial" w:hAnsi="Arial"/>
                <w:sz w:val="16"/>
                <w:szCs w:val="16"/>
                <w:color w:val="auto"/>
              </w:rPr>
              <w:t>5,784</w:t>
            </w:r>
          </w:p>
        </w:tc>
        <w:tc>
          <w:tcPr>
            <w:tcW w:w="0" w:type="dxa"/>
            <w:vAlign w:val="bottom"/>
          </w:tcPr>
          <w:p>
            <w:pPr>
              <w:spacing w:after="0"/>
              <w:rPr>
                <w:sz w:val="1"/>
                <w:szCs w:val="1"/>
                <w:color w:val="auto"/>
              </w:rPr>
            </w:pPr>
          </w:p>
        </w:tc>
      </w:tr>
      <w:tr>
        <w:trPr>
          <w:trHeight w:val="45"/>
        </w:trPr>
        <w:tc>
          <w:tcPr>
            <w:tcW w:w="370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14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6"/>
                <w:szCs w:val="16"/>
                <w:b w:val="1"/>
                <w:bCs w:val="1"/>
                <w:color w:val="auto"/>
              </w:rPr>
              <w:t>  Daniel H. Malan</w:t>
            </w:r>
          </w:p>
        </w:tc>
        <w:tc>
          <w:tcPr>
            <w:tcW w:w="1240" w:type="dxa"/>
            <w:vAlign w:val="bottom"/>
          </w:tcPr>
          <w:p>
            <w:pPr>
              <w:jc w:val="right"/>
              <w:ind w:right="266"/>
              <w:spacing w:after="0"/>
              <w:rPr>
                <w:sz w:val="20"/>
                <w:szCs w:val="20"/>
                <w:color w:val="auto"/>
              </w:rPr>
            </w:pPr>
            <w:r>
              <w:rPr>
                <w:rFonts w:ascii="Arial" w:cs="Arial" w:eastAsia="Arial" w:hAnsi="Arial"/>
                <w:sz w:val="16"/>
                <w:szCs w:val="16"/>
                <w:color w:val="auto"/>
              </w:rPr>
              <w:t>2,072</w:t>
            </w:r>
          </w:p>
        </w:tc>
        <w:tc>
          <w:tcPr>
            <w:tcW w:w="122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8"/>
                <w:szCs w:val="18"/>
                <w:color w:val="auto"/>
              </w:rPr>
            </w:pP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2,072</w:t>
            </w:r>
          </w:p>
        </w:tc>
        <w:tc>
          <w:tcPr>
            <w:tcW w:w="1220" w:type="dxa"/>
            <w:vAlign w:val="bottom"/>
          </w:tcPr>
          <w:p>
            <w:pPr>
              <w:jc w:val="right"/>
              <w:spacing w:after="0"/>
              <w:rPr>
                <w:sz w:val="20"/>
                <w:szCs w:val="20"/>
                <w:color w:val="auto"/>
              </w:rPr>
            </w:pPr>
            <w:r>
              <w:rPr>
                <w:rFonts w:ascii="Arial" w:cs="Arial" w:eastAsia="Arial" w:hAnsi="Arial"/>
                <w:sz w:val="16"/>
                <w:szCs w:val="16"/>
                <w:color w:val="auto"/>
              </w:rPr>
              <w:t>2,072</w:t>
            </w:r>
          </w:p>
        </w:tc>
        <w:tc>
          <w:tcPr>
            <w:tcW w:w="1480" w:type="dxa"/>
            <w:vAlign w:val="bottom"/>
          </w:tcPr>
          <w:p>
            <w:pPr>
              <w:jc w:val="right"/>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45"/>
        </w:trPr>
        <w:tc>
          <w:tcPr>
            <w:tcW w:w="370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14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6"/>
                <w:szCs w:val="16"/>
                <w:b w:val="1"/>
                <w:bCs w:val="1"/>
                <w:color w:val="auto"/>
              </w:rPr>
              <w:t>  Vanessa P. Williams</w:t>
            </w:r>
          </w:p>
        </w:tc>
        <w:tc>
          <w:tcPr>
            <w:tcW w:w="1240" w:type="dxa"/>
            <w:vAlign w:val="bottom"/>
          </w:tcPr>
          <w:p>
            <w:pPr>
              <w:jc w:val="right"/>
              <w:ind w:right="266"/>
              <w:spacing w:after="0"/>
              <w:rPr>
                <w:sz w:val="20"/>
                <w:szCs w:val="20"/>
                <w:color w:val="auto"/>
              </w:rPr>
            </w:pPr>
            <w:r>
              <w:rPr>
                <w:rFonts w:ascii="Arial" w:cs="Arial" w:eastAsia="Arial" w:hAnsi="Arial"/>
                <w:sz w:val="16"/>
                <w:szCs w:val="16"/>
                <w:color w:val="auto"/>
              </w:rPr>
              <w:t>2,582</w:t>
            </w:r>
          </w:p>
        </w:tc>
        <w:tc>
          <w:tcPr>
            <w:tcW w:w="122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8"/>
                <w:szCs w:val="18"/>
                <w:color w:val="auto"/>
              </w:rPr>
            </w:pP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2,582</w:t>
            </w:r>
          </w:p>
        </w:tc>
        <w:tc>
          <w:tcPr>
            <w:tcW w:w="1220" w:type="dxa"/>
            <w:vAlign w:val="bottom"/>
          </w:tcPr>
          <w:p>
            <w:pPr>
              <w:jc w:val="right"/>
              <w:spacing w:after="0"/>
              <w:rPr>
                <w:sz w:val="20"/>
                <w:szCs w:val="20"/>
                <w:color w:val="auto"/>
              </w:rPr>
            </w:pPr>
            <w:r>
              <w:rPr>
                <w:rFonts w:ascii="Arial" w:cs="Arial" w:eastAsia="Arial" w:hAnsi="Arial"/>
                <w:sz w:val="16"/>
                <w:szCs w:val="16"/>
                <w:color w:val="auto"/>
              </w:rPr>
              <w:t>2,582</w:t>
            </w:r>
          </w:p>
        </w:tc>
        <w:tc>
          <w:tcPr>
            <w:tcW w:w="1480" w:type="dxa"/>
            <w:vAlign w:val="bottom"/>
          </w:tcPr>
          <w:p>
            <w:pPr>
              <w:jc w:val="right"/>
              <w:spacing w:after="0"/>
              <w:rPr>
                <w:sz w:val="20"/>
                <w:szCs w:val="20"/>
                <w:color w:val="auto"/>
              </w:rPr>
            </w:pPr>
            <w:r>
              <w:rPr>
                <w:rFonts w:ascii="Arial" w:cs="Arial" w:eastAsia="Arial" w:hAnsi="Arial"/>
                <w:sz w:val="16"/>
                <w:szCs w:val="16"/>
                <w:color w:val="auto"/>
              </w:rPr>
              <w:t>2,582</w:t>
            </w:r>
          </w:p>
        </w:tc>
        <w:tc>
          <w:tcPr>
            <w:tcW w:w="0" w:type="dxa"/>
            <w:vAlign w:val="bottom"/>
          </w:tcPr>
          <w:p>
            <w:pPr>
              <w:spacing w:after="0"/>
              <w:rPr>
                <w:sz w:val="1"/>
                <w:szCs w:val="1"/>
                <w:color w:val="auto"/>
              </w:rPr>
            </w:pPr>
          </w:p>
        </w:tc>
      </w:tr>
      <w:tr>
        <w:trPr>
          <w:trHeight w:val="45"/>
        </w:trPr>
        <w:tc>
          <w:tcPr>
            <w:tcW w:w="370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14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6"/>
                <w:szCs w:val="16"/>
                <w:b w:val="1"/>
                <w:bCs w:val="1"/>
                <w:color w:val="auto"/>
              </w:rPr>
              <w:t>  Dinette Koolhaas</w:t>
            </w:r>
          </w:p>
        </w:tc>
        <w:tc>
          <w:tcPr>
            <w:tcW w:w="1240" w:type="dxa"/>
            <w:vAlign w:val="bottom"/>
          </w:tcPr>
          <w:p>
            <w:pPr>
              <w:jc w:val="right"/>
              <w:ind w:right="266"/>
              <w:spacing w:after="0"/>
              <w:rPr>
                <w:sz w:val="20"/>
                <w:szCs w:val="20"/>
                <w:color w:val="auto"/>
              </w:rPr>
            </w:pPr>
            <w:r>
              <w:rPr>
                <w:rFonts w:ascii="Arial" w:cs="Arial" w:eastAsia="Arial" w:hAnsi="Arial"/>
                <w:sz w:val="16"/>
                <w:szCs w:val="16"/>
                <w:color w:val="auto"/>
              </w:rPr>
              <w:t>2,256</w:t>
            </w:r>
          </w:p>
        </w:tc>
        <w:tc>
          <w:tcPr>
            <w:tcW w:w="1220" w:type="dxa"/>
            <w:vAlign w:val="bottom"/>
          </w:tcPr>
          <w:p>
            <w:pPr>
              <w:jc w:val="right"/>
              <w:ind w:right="304"/>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8"/>
                <w:szCs w:val="18"/>
                <w:color w:val="auto"/>
              </w:rPr>
            </w:pPr>
          </w:p>
        </w:tc>
        <w:tc>
          <w:tcPr>
            <w:tcW w:w="1260" w:type="dxa"/>
            <w:vAlign w:val="bottom"/>
          </w:tcPr>
          <w:p>
            <w:pPr>
              <w:jc w:val="right"/>
              <w:ind w:right="286"/>
              <w:spacing w:after="0"/>
              <w:rPr>
                <w:sz w:val="20"/>
                <w:szCs w:val="20"/>
                <w:color w:val="auto"/>
              </w:rPr>
            </w:pPr>
            <w:r>
              <w:rPr>
                <w:rFonts w:ascii="Arial" w:cs="Arial" w:eastAsia="Arial" w:hAnsi="Arial"/>
                <w:sz w:val="16"/>
                <w:szCs w:val="16"/>
                <w:color w:val="auto"/>
              </w:rPr>
              <w:t>2,256</w:t>
            </w:r>
          </w:p>
        </w:tc>
        <w:tc>
          <w:tcPr>
            <w:tcW w:w="1220" w:type="dxa"/>
            <w:vAlign w:val="bottom"/>
          </w:tcPr>
          <w:p>
            <w:pPr>
              <w:jc w:val="right"/>
              <w:spacing w:after="0"/>
              <w:rPr>
                <w:sz w:val="20"/>
                <w:szCs w:val="20"/>
                <w:color w:val="auto"/>
              </w:rPr>
            </w:pPr>
            <w:r>
              <w:rPr>
                <w:rFonts w:ascii="Arial" w:cs="Arial" w:eastAsia="Arial" w:hAnsi="Arial"/>
                <w:sz w:val="16"/>
                <w:szCs w:val="16"/>
                <w:color w:val="auto"/>
              </w:rPr>
              <w:t>2,256</w:t>
            </w:r>
          </w:p>
        </w:tc>
        <w:tc>
          <w:tcPr>
            <w:tcW w:w="1480" w:type="dxa"/>
            <w:vAlign w:val="bottom"/>
          </w:tcPr>
          <w:p>
            <w:pPr>
              <w:jc w:val="right"/>
              <w:spacing w:after="0"/>
              <w:rPr>
                <w:sz w:val="20"/>
                <w:szCs w:val="20"/>
                <w:color w:val="auto"/>
              </w:rPr>
            </w:pPr>
            <w:r>
              <w:rPr>
                <w:rFonts w:ascii="Arial" w:cs="Arial" w:eastAsia="Arial" w:hAnsi="Arial"/>
                <w:sz w:val="16"/>
                <w:szCs w:val="16"/>
                <w:color w:val="auto"/>
              </w:rPr>
              <w:t>2,256</w:t>
            </w:r>
          </w:p>
        </w:tc>
        <w:tc>
          <w:tcPr>
            <w:tcW w:w="0" w:type="dxa"/>
            <w:vAlign w:val="bottom"/>
          </w:tcPr>
          <w:p>
            <w:pPr>
              <w:spacing w:after="0"/>
              <w:rPr>
                <w:sz w:val="1"/>
                <w:szCs w:val="1"/>
                <w:color w:val="auto"/>
              </w:rPr>
            </w:pPr>
          </w:p>
        </w:tc>
      </w:tr>
      <w:tr>
        <w:trPr>
          <w:trHeight w:val="45"/>
        </w:trPr>
        <w:tc>
          <w:tcPr>
            <w:tcW w:w="3700" w:type="dxa"/>
            <w:vAlign w:val="bottom"/>
            <w:tcBorders>
              <w:bottom w:val="single" w:sz="8" w:color="7F7F7F"/>
            </w:tcBorders>
          </w:tcPr>
          <w:p>
            <w:pPr>
              <w:spacing w:after="0"/>
              <w:rPr>
                <w:sz w:val="3"/>
                <w:szCs w:val="3"/>
                <w:color w:val="auto"/>
              </w:rPr>
            </w:pPr>
          </w:p>
        </w:tc>
        <w:tc>
          <w:tcPr>
            <w:tcW w:w="124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20" w:type="dxa"/>
            <w:vAlign w:val="bottom"/>
            <w:tcBorders>
              <w:bottom w:val="single" w:sz="8" w:color="7F7F7F"/>
            </w:tcBorders>
          </w:tcPr>
          <w:p>
            <w:pPr>
              <w:spacing w:after="0"/>
              <w:rPr>
                <w:sz w:val="3"/>
                <w:szCs w:val="3"/>
                <w:color w:val="auto"/>
              </w:rPr>
            </w:pPr>
          </w:p>
        </w:tc>
        <w:tc>
          <w:tcPr>
            <w:tcW w:w="14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04"/>
        <w:spacing w:after="0"/>
        <w:rPr>
          <w:sz w:val="20"/>
          <w:szCs w:val="20"/>
          <w:color w:val="auto"/>
        </w:rPr>
      </w:pPr>
      <w:r>
        <w:rPr>
          <w:rFonts w:ascii="Arial" w:cs="Arial" w:eastAsia="Arial" w:hAnsi="Arial"/>
          <w:sz w:val="16"/>
          <w:szCs w:val="16"/>
          <w:i w:val="1"/>
          <w:iCs w:val="1"/>
          <w:u w:val="single" w:color="auto"/>
          <w:color w:val="auto"/>
        </w:rPr>
        <w:t>Restricted Stock</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Committee considers restricted stock to be an effective vehicle to support the Company’s long-term compensation objectives:</w:t>
      </w:r>
    </w:p>
    <w:p>
      <w:pPr>
        <w:spacing w:after="0" w:line="5" w:lineRule="exact"/>
        <w:rPr>
          <w:sz w:val="20"/>
          <w:szCs w:val="20"/>
          <w:color w:val="auto"/>
        </w:rPr>
      </w:pPr>
    </w:p>
    <w:p>
      <w:pPr>
        <w:ind w:left="204" w:hanging="204"/>
        <w:spacing w:after="0"/>
        <w:tabs>
          <w:tab w:leader="none" w:pos="204" w:val="left"/>
        </w:tabs>
        <w:numPr>
          <w:ilvl w:val="0"/>
          <w:numId w:val="37"/>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alignment with shareholder interests;</w:t>
      </w:r>
    </w:p>
    <w:p>
      <w:pPr>
        <w:spacing w:after="0" w:line="68" w:lineRule="exact"/>
        <w:rPr>
          <w:rFonts w:ascii="Times New Roman" w:cs="Times New Roman" w:eastAsia="Times New Roman" w:hAnsi="Times New Roman"/>
          <w:sz w:val="24"/>
          <w:szCs w:val="24"/>
          <w:color w:val="0A9E50"/>
          <w:vertAlign w:val="superscript"/>
        </w:rPr>
      </w:pPr>
    </w:p>
    <w:p>
      <w:pPr>
        <w:ind w:left="204" w:hanging="204"/>
        <w:spacing w:after="0" w:line="181" w:lineRule="auto"/>
        <w:tabs>
          <w:tab w:leader="none" w:pos="204" w:val="left"/>
        </w:tabs>
        <w:numPr>
          <w:ilvl w:val="0"/>
          <w:numId w:val="37"/>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facilitate retention through an extended pro rata vesting structure; and</w:t>
      </w:r>
    </w:p>
    <w:p>
      <w:pPr>
        <w:spacing w:after="0" w:line="69" w:lineRule="exact"/>
        <w:rPr>
          <w:rFonts w:ascii="Times New Roman" w:cs="Times New Roman" w:eastAsia="Times New Roman" w:hAnsi="Times New Roman"/>
          <w:sz w:val="22"/>
          <w:szCs w:val="22"/>
          <w:color w:val="0A9E50"/>
          <w:vertAlign w:val="superscript"/>
        </w:rPr>
      </w:pPr>
    </w:p>
    <w:p>
      <w:pPr>
        <w:ind w:left="204" w:hanging="204"/>
        <w:spacing w:after="0" w:line="181" w:lineRule="auto"/>
        <w:tabs>
          <w:tab w:leader="none" w:pos="204" w:val="left"/>
        </w:tabs>
        <w:numPr>
          <w:ilvl w:val="0"/>
          <w:numId w:val="37"/>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support meaningful stock ownership.</w:t>
      </w:r>
    </w:p>
    <w:p>
      <w:pPr>
        <w:spacing w:after="0" w:line="69" w:lineRule="exact"/>
        <w:rPr>
          <w:sz w:val="20"/>
          <w:szCs w:val="20"/>
          <w:color w:val="auto"/>
        </w:rPr>
      </w:pPr>
    </w:p>
    <w:p>
      <w:pPr>
        <w:ind w:left="4" w:right="120"/>
        <w:spacing w:after="0" w:line="239" w:lineRule="auto"/>
        <w:rPr>
          <w:sz w:val="20"/>
          <w:szCs w:val="20"/>
          <w:color w:val="auto"/>
        </w:rPr>
      </w:pPr>
      <w:r>
        <w:rPr>
          <w:rFonts w:ascii="Arial" w:cs="Arial" w:eastAsia="Arial" w:hAnsi="Arial"/>
          <w:sz w:val="16"/>
          <w:szCs w:val="16"/>
          <w:color w:val="auto"/>
        </w:rPr>
        <w:t>At its March 21, 2023 meeting, the Committee approved restricted stock grants for senior officers, including the named executive officers, which vest ratably over three years, as detailed in the Summary Compensation Table and the Grants of Plan Based Awards Table. This grant of restricted shares represents 25% for the CEO and 40% for all other senior officers’ target long-term incentive grant. The Company believes that restricted stock is an important component of total compensation for our named executive officers and the three-year, pro rata vesting feature supports the Company’s retention objective. Any remaining unvested portion of restricted stock awards is forfeited upon voluntary termination, normal retirement, and involuntary termination for cause or not for cause, unless termination not for cause is in connection with a change in control. In the case of termination not for cause in connection with a change in control, all restricted stock shares or units vest immediately. Restricted stock is prorated in the event of termination due to death or disability.</w:t>
      </w:r>
    </w:p>
    <w:p>
      <w:pPr>
        <w:spacing w:after="0" w:line="185" w:lineRule="exact"/>
        <w:rPr>
          <w:sz w:val="20"/>
          <w:szCs w:val="20"/>
          <w:color w:val="auto"/>
        </w:rPr>
      </w:pPr>
    </w:p>
    <w:p>
      <w:pPr>
        <w:ind w:left="204"/>
        <w:spacing w:after="0"/>
        <w:rPr>
          <w:sz w:val="20"/>
          <w:szCs w:val="20"/>
          <w:color w:val="auto"/>
        </w:rPr>
      </w:pPr>
      <w:r>
        <w:rPr>
          <w:rFonts w:ascii="Arial" w:cs="Arial" w:eastAsia="Arial" w:hAnsi="Arial"/>
          <w:sz w:val="16"/>
          <w:szCs w:val="16"/>
          <w:i w:val="1"/>
          <w:iCs w:val="1"/>
          <w:u w:val="single" w:color="auto"/>
          <w:color w:val="auto"/>
        </w:rPr>
        <w:t>Special Awards</w:t>
      </w:r>
    </w:p>
    <w:p>
      <w:pPr>
        <w:spacing w:after="0" w:line="63" w:lineRule="exact"/>
        <w:rPr>
          <w:sz w:val="20"/>
          <w:szCs w:val="20"/>
          <w:color w:val="auto"/>
        </w:rPr>
      </w:pPr>
    </w:p>
    <w:p>
      <w:pPr>
        <w:ind w:left="4" w:right="20"/>
        <w:spacing w:after="0" w:line="243" w:lineRule="auto"/>
        <w:rPr>
          <w:sz w:val="20"/>
          <w:szCs w:val="20"/>
          <w:color w:val="auto"/>
        </w:rPr>
      </w:pPr>
      <w:r>
        <w:rPr>
          <w:rFonts w:ascii="Arial" w:cs="Arial" w:eastAsia="Arial" w:hAnsi="Arial"/>
          <w:sz w:val="16"/>
          <w:szCs w:val="16"/>
          <w:color w:val="auto"/>
        </w:rPr>
        <w:t>In December 2021, the Committee approved performance contingent restricted stock grants (KEEP Awards) for senior officers, including the named executive officers, and certain other senior leaders. These grants of restricted stock units had three financial measure hurdles that had to be achieved in order for shares to become earned and eligible for vesting. In January 2023, the Committee approved an adjustment in the vesting for the Company gross profit portion of this award to 50% upon certification and the remaining 50% six months after certification; there was no change to the goal. In 2022 the gross profit goal was achieved and shares vested during 2023. In 2023 the specialty gross profit goal was achieved and as a result during its August 9, 2023 meeting, the Committee approved an adjustment in the vesting for the specialty gross profit</w:t>
      </w:r>
    </w:p>
    <w:p>
      <w:pPr>
        <w:spacing w:after="0" w:line="55" w:lineRule="exact"/>
        <w:rPr>
          <w:sz w:val="20"/>
          <w:szCs w:val="20"/>
          <w:color w:val="auto"/>
        </w:rPr>
      </w:pPr>
    </w:p>
    <w:p>
      <w:pPr>
        <w:ind w:left="64"/>
        <w:spacing w:after="0"/>
        <w:tabs>
          <w:tab w:leader="none" w:pos="563" w:val="left"/>
        </w:tabs>
        <w:rPr>
          <w:sz w:val="20"/>
          <w:szCs w:val="20"/>
          <w:color w:val="auto"/>
        </w:rPr>
      </w:pPr>
      <w:r>
        <w:rPr>
          <w:rFonts w:ascii="Arial" w:cs="Arial" w:eastAsia="Arial" w:hAnsi="Arial"/>
          <w:sz w:val="36"/>
          <w:szCs w:val="36"/>
          <w:color w:val="auto"/>
          <w:vertAlign w:val="superscript"/>
        </w:rPr>
        <w:t>60 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-214630</wp:posOffset>
            </wp:positionV>
            <wp:extent cx="8255" cy="2228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bookmarkStart w:id="62" w:name="page63"/>
    <w:bookmarkEnd w:id="62"/>
    <w:p>
      <w:pPr>
        <w:ind w:left="81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137" w:lineRule="exact"/>
        <w:rPr>
          <w:sz w:val="20"/>
          <w:szCs w:val="20"/>
          <w:color w:val="auto"/>
        </w:rPr>
      </w:pPr>
    </w:p>
    <w:p>
      <w:pPr>
        <w:ind w:right="420"/>
        <w:spacing w:after="0" w:line="265" w:lineRule="auto"/>
        <w:rPr>
          <w:sz w:val="20"/>
          <w:szCs w:val="20"/>
          <w:color w:val="auto"/>
        </w:rPr>
      </w:pPr>
      <w:r>
        <w:rPr>
          <w:rFonts w:ascii="Arial" w:cs="Arial" w:eastAsia="Arial" w:hAnsi="Arial"/>
          <w:sz w:val="16"/>
          <w:szCs w:val="16"/>
          <w:color w:val="auto"/>
        </w:rPr>
        <w:t>portion of this award to 50% upon certification and the remaining 50% six months after certification; there was no change to this goal. The third goal, conversion rate, continues to have the potential to be earned during the first half of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5280" w:type="dxa"/>
            <w:vAlign w:val="bottom"/>
          </w:tcPr>
          <w:p>
            <w:pPr>
              <w:jc w:val="center"/>
              <w:ind w:left="3485"/>
              <w:spacing w:after="0"/>
              <w:rPr>
                <w:sz w:val="20"/>
                <w:szCs w:val="20"/>
                <w:color w:val="auto"/>
              </w:rPr>
            </w:pPr>
            <w:r>
              <w:rPr>
                <w:rFonts w:ascii="Arial" w:cs="Arial" w:eastAsia="Arial" w:hAnsi="Arial"/>
                <w:sz w:val="14"/>
                <w:szCs w:val="14"/>
                <w:b w:val="1"/>
                <w:bCs w:val="1"/>
                <w:color w:val="0A9E50"/>
                <w:w w:val="98"/>
              </w:rPr>
              <w:t>Financial Measure:</w:t>
            </w:r>
          </w:p>
        </w:tc>
      </w:tr>
      <w:tr>
        <w:trPr>
          <w:trHeight w:val="156"/>
        </w:trPr>
        <w:tc>
          <w:tcPr>
            <w:tcW w:w="5340" w:type="dxa"/>
            <w:vAlign w:val="bottom"/>
          </w:tcPr>
          <w:p>
            <w:pPr>
              <w:spacing w:after="0"/>
              <w:rPr>
                <w:sz w:val="13"/>
                <w:szCs w:val="13"/>
                <w:color w:val="auto"/>
              </w:rPr>
            </w:pPr>
          </w:p>
        </w:tc>
        <w:tc>
          <w:tcPr>
            <w:tcW w:w="5280" w:type="dxa"/>
            <w:vAlign w:val="bottom"/>
          </w:tcPr>
          <w:p>
            <w:pPr>
              <w:jc w:val="center"/>
              <w:ind w:left="3485"/>
              <w:spacing w:after="0" w:line="156" w:lineRule="exact"/>
              <w:rPr>
                <w:sz w:val="20"/>
                <w:szCs w:val="20"/>
                <w:color w:val="auto"/>
              </w:rPr>
            </w:pPr>
            <w:r>
              <w:rPr>
                <w:rFonts w:ascii="Arial" w:cs="Arial" w:eastAsia="Arial" w:hAnsi="Arial"/>
                <w:sz w:val="14"/>
                <w:szCs w:val="14"/>
                <w:b w:val="1"/>
                <w:bCs w:val="1"/>
                <w:color w:val="0A9E50"/>
              </w:rPr>
              <w:t>Conversion Rate</w:t>
            </w:r>
          </w:p>
        </w:tc>
      </w:tr>
      <w:tr>
        <w:trPr>
          <w:trHeight w:val="192"/>
        </w:trPr>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A9E50"/>
              </w:rPr>
              <w:t>  Name</w:t>
            </w:r>
          </w:p>
        </w:tc>
        <w:tc>
          <w:tcPr>
            <w:tcW w:w="5280" w:type="dxa"/>
            <w:vAlign w:val="bottom"/>
            <w:tcBorders>
              <w:bottom w:val="single" w:sz="8" w:color="auto"/>
            </w:tcBorders>
          </w:tcPr>
          <w:p>
            <w:pPr>
              <w:jc w:val="center"/>
              <w:ind w:left="3485"/>
              <w:spacing w:after="0"/>
              <w:rPr>
                <w:sz w:val="20"/>
                <w:szCs w:val="20"/>
                <w:color w:val="auto"/>
              </w:rPr>
            </w:pPr>
            <w:r>
              <w:rPr>
                <w:rFonts w:ascii="Arial" w:cs="Arial" w:eastAsia="Arial" w:hAnsi="Arial"/>
                <w:sz w:val="14"/>
                <w:szCs w:val="14"/>
                <w:b w:val="1"/>
                <w:bCs w:val="1"/>
                <w:color w:val="0A9E50"/>
                <w:w w:val="98"/>
              </w:rPr>
              <w:t>Target # of Shares</w:t>
            </w:r>
          </w:p>
        </w:tc>
      </w:tr>
      <w:tr>
        <w:trPr>
          <w:trHeight w:val="208"/>
        </w:trPr>
        <w:tc>
          <w:tcPr>
            <w:tcW w:w="5340" w:type="dxa"/>
            <w:vAlign w:val="bottom"/>
          </w:tcPr>
          <w:p>
            <w:pPr>
              <w:spacing w:after="0"/>
              <w:rPr>
                <w:sz w:val="20"/>
                <w:szCs w:val="20"/>
                <w:color w:val="auto"/>
              </w:rPr>
            </w:pPr>
            <w:r>
              <w:rPr>
                <w:rFonts w:ascii="Arial" w:cs="Arial" w:eastAsia="Arial" w:hAnsi="Arial"/>
                <w:sz w:val="16"/>
                <w:szCs w:val="16"/>
                <w:b w:val="1"/>
                <w:bCs w:val="1"/>
                <w:color w:val="auto"/>
              </w:rPr>
              <w:t>  Peter W. Quigley</w:t>
            </w:r>
          </w:p>
        </w:tc>
        <w:tc>
          <w:tcPr>
            <w:tcW w:w="5280" w:type="dxa"/>
            <w:vAlign w:val="bottom"/>
          </w:tcPr>
          <w:p>
            <w:pPr>
              <w:jc w:val="right"/>
              <w:ind w:right="525"/>
              <w:spacing w:after="0"/>
              <w:rPr>
                <w:sz w:val="20"/>
                <w:szCs w:val="20"/>
                <w:color w:val="auto"/>
              </w:rPr>
            </w:pPr>
            <w:r>
              <w:rPr>
                <w:rFonts w:ascii="Arial" w:cs="Arial" w:eastAsia="Arial" w:hAnsi="Arial"/>
                <w:sz w:val="16"/>
                <w:szCs w:val="16"/>
                <w:color w:val="auto"/>
              </w:rPr>
              <w:t>21,857</w:t>
            </w:r>
          </w:p>
        </w:tc>
      </w:tr>
      <w:tr>
        <w:trPr>
          <w:trHeight w:val="45"/>
        </w:trPr>
        <w:tc>
          <w:tcPr>
            <w:tcW w:w="5340" w:type="dxa"/>
            <w:vAlign w:val="bottom"/>
            <w:tcBorders>
              <w:bottom w:val="single" w:sz="8" w:color="7F7F7F"/>
            </w:tcBorders>
          </w:tcPr>
          <w:p>
            <w:pPr>
              <w:spacing w:after="0"/>
              <w:rPr>
                <w:sz w:val="3"/>
                <w:szCs w:val="3"/>
                <w:color w:val="auto"/>
              </w:rPr>
            </w:pPr>
          </w:p>
        </w:tc>
        <w:tc>
          <w:tcPr>
            <w:tcW w:w="5280" w:type="dxa"/>
            <w:vAlign w:val="bottom"/>
            <w:tcBorders>
              <w:bottom w:val="single" w:sz="8" w:color="7F7F7F"/>
            </w:tcBorders>
          </w:tcPr>
          <w:p>
            <w:pPr>
              <w:spacing w:after="0"/>
              <w:rPr>
                <w:sz w:val="3"/>
                <w:szCs w:val="3"/>
                <w:color w:val="auto"/>
              </w:rPr>
            </w:pPr>
          </w:p>
        </w:tc>
      </w:tr>
      <w:tr>
        <w:trPr>
          <w:trHeight w:val="208"/>
        </w:trPr>
        <w:tc>
          <w:tcPr>
            <w:tcW w:w="5340" w:type="dxa"/>
            <w:vAlign w:val="bottom"/>
          </w:tcPr>
          <w:p>
            <w:pPr>
              <w:spacing w:after="0"/>
              <w:rPr>
                <w:sz w:val="20"/>
                <w:szCs w:val="20"/>
                <w:color w:val="auto"/>
              </w:rPr>
            </w:pPr>
            <w:r>
              <w:rPr>
                <w:rFonts w:ascii="Arial" w:cs="Arial" w:eastAsia="Arial" w:hAnsi="Arial"/>
                <w:sz w:val="16"/>
                <w:szCs w:val="16"/>
                <w:b w:val="1"/>
                <w:bCs w:val="1"/>
                <w:color w:val="auto"/>
              </w:rPr>
              <w:t>  Olivier G. Thirot</w:t>
            </w:r>
          </w:p>
        </w:tc>
        <w:tc>
          <w:tcPr>
            <w:tcW w:w="5280" w:type="dxa"/>
            <w:vAlign w:val="bottom"/>
          </w:tcPr>
          <w:p>
            <w:pPr>
              <w:jc w:val="right"/>
              <w:ind w:right="525"/>
              <w:spacing w:after="0"/>
              <w:rPr>
                <w:sz w:val="20"/>
                <w:szCs w:val="20"/>
                <w:color w:val="auto"/>
              </w:rPr>
            </w:pPr>
            <w:r>
              <w:rPr>
                <w:rFonts w:ascii="Arial" w:cs="Arial" w:eastAsia="Arial" w:hAnsi="Arial"/>
                <w:sz w:val="16"/>
                <w:szCs w:val="16"/>
                <w:color w:val="auto"/>
              </w:rPr>
              <w:t>17,971</w:t>
            </w:r>
          </w:p>
        </w:tc>
      </w:tr>
      <w:tr>
        <w:trPr>
          <w:trHeight w:val="45"/>
        </w:trPr>
        <w:tc>
          <w:tcPr>
            <w:tcW w:w="5340" w:type="dxa"/>
            <w:vAlign w:val="bottom"/>
            <w:tcBorders>
              <w:bottom w:val="single" w:sz="8" w:color="7F7F7F"/>
            </w:tcBorders>
          </w:tcPr>
          <w:p>
            <w:pPr>
              <w:spacing w:after="0"/>
              <w:rPr>
                <w:sz w:val="3"/>
                <w:szCs w:val="3"/>
                <w:color w:val="auto"/>
              </w:rPr>
            </w:pPr>
          </w:p>
        </w:tc>
        <w:tc>
          <w:tcPr>
            <w:tcW w:w="5280" w:type="dxa"/>
            <w:vAlign w:val="bottom"/>
            <w:tcBorders>
              <w:bottom w:val="single" w:sz="8" w:color="7F7F7F"/>
            </w:tcBorders>
          </w:tcPr>
          <w:p>
            <w:pPr>
              <w:spacing w:after="0"/>
              <w:rPr>
                <w:sz w:val="3"/>
                <w:szCs w:val="3"/>
                <w:color w:val="auto"/>
              </w:rPr>
            </w:pPr>
          </w:p>
        </w:tc>
      </w:tr>
      <w:tr>
        <w:trPr>
          <w:trHeight w:val="208"/>
        </w:trPr>
        <w:tc>
          <w:tcPr>
            <w:tcW w:w="5340" w:type="dxa"/>
            <w:vAlign w:val="bottom"/>
          </w:tcPr>
          <w:p>
            <w:pPr>
              <w:spacing w:after="0"/>
              <w:rPr>
                <w:sz w:val="20"/>
                <w:szCs w:val="20"/>
                <w:color w:val="auto"/>
              </w:rPr>
            </w:pPr>
            <w:r>
              <w:rPr>
                <w:rFonts w:ascii="Arial" w:cs="Arial" w:eastAsia="Arial" w:hAnsi="Arial"/>
                <w:sz w:val="16"/>
                <w:szCs w:val="16"/>
                <w:b w:val="1"/>
                <w:bCs w:val="1"/>
                <w:color w:val="auto"/>
              </w:rPr>
              <w:t>  Daniel H. Malan</w:t>
            </w:r>
          </w:p>
        </w:tc>
        <w:tc>
          <w:tcPr>
            <w:tcW w:w="5280" w:type="dxa"/>
            <w:vAlign w:val="bottom"/>
          </w:tcPr>
          <w:p>
            <w:pPr>
              <w:jc w:val="right"/>
              <w:ind w:right="525"/>
              <w:spacing w:after="0"/>
              <w:rPr>
                <w:sz w:val="20"/>
                <w:szCs w:val="20"/>
                <w:color w:val="auto"/>
              </w:rPr>
            </w:pPr>
            <w:r>
              <w:rPr>
                <w:rFonts w:ascii="Arial" w:cs="Arial" w:eastAsia="Arial" w:hAnsi="Arial"/>
                <w:sz w:val="16"/>
                <w:szCs w:val="16"/>
                <w:color w:val="auto"/>
              </w:rPr>
              <w:t>7,286</w:t>
            </w:r>
          </w:p>
        </w:tc>
      </w:tr>
      <w:tr>
        <w:trPr>
          <w:trHeight w:val="45"/>
        </w:trPr>
        <w:tc>
          <w:tcPr>
            <w:tcW w:w="5340" w:type="dxa"/>
            <w:vAlign w:val="bottom"/>
            <w:tcBorders>
              <w:bottom w:val="single" w:sz="8" w:color="7F7F7F"/>
            </w:tcBorders>
          </w:tcPr>
          <w:p>
            <w:pPr>
              <w:spacing w:after="0"/>
              <w:rPr>
                <w:sz w:val="3"/>
                <w:szCs w:val="3"/>
                <w:color w:val="auto"/>
              </w:rPr>
            </w:pPr>
          </w:p>
        </w:tc>
        <w:tc>
          <w:tcPr>
            <w:tcW w:w="5280" w:type="dxa"/>
            <w:vAlign w:val="bottom"/>
            <w:tcBorders>
              <w:bottom w:val="single" w:sz="8" w:color="7F7F7F"/>
            </w:tcBorders>
          </w:tcPr>
          <w:p>
            <w:pPr>
              <w:spacing w:after="0"/>
              <w:rPr>
                <w:sz w:val="3"/>
                <w:szCs w:val="3"/>
                <w:color w:val="auto"/>
              </w:rPr>
            </w:pPr>
          </w:p>
        </w:tc>
      </w:tr>
      <w:tr>
        <w:trPr>
          <w:trHeight w:val="208"/>
        </w:trPr>
        <w:tc>
          <w:tcPr>
            <w:tcW w:w="5340" w:type="dxa"/>
            <w:vAlign w:val="bottom"/>
          </w:tcPr>
          <w:p>
            <w:pPr>
              <w:spacing w:after="0"/>
              <w:rPr>
                <w:sz w:val="20"/>
                <w:szCs w:val="20"/>
                <w:color w:val="auto"/>
              </w:rPr>
            </w:pPr>
            <w:r>
              <w:rPr>
                <w:rFonts w:ascii="Arial" w:cs="Arial" w:eastAsia="Arial" w:hAnsi="Arial"/>
                <w:sz w:val="16"/>
                <w:szCs w:val="16"/>
                <w:b w:val="1"/>
                <w:bCs w:val="1"/>
                <w:color w:val="auto"/>
              </w:rPr>
              <w:t>  Vanessa P. Williams</w:t>
            </w:r>
          </w:p>
        </w:tc>
        <w:tc>
          <w:tcPr>
            <w:tcW w:w="5280" w:type="dxa"/>
            <w:vAlign w:val="bottom"/>
          </w:tcPr>
          <w:p>
            <w:pPr>
              <w:jc w:val="right"/>
              <w:ind w:right="525"/>
              <w:spacing w:after="0"/>
              <w:rPr>
                <w:sz w:val="20"/>
                <w:szCs w:val="20"/>
                <w:color w:val="auto"/>
              </w:rPr>
            </w:pPr>
            <w:r>
              <w:rPr>
                <w:rFonts w:ascii="Arial" w:cs="Arial" w:eastAsia="Arial" w:hAnsi="Arial"/>
                <w:sz w:val="16"/>
                <w:szCs w:val="16"/>
                <w:color w:val="auto"/>
              </w:rPr>
              <w:t>5,343</w:t>
            </w:r>
          </w:p>
        </w:tc>
      </w:tr>
      <w:tr>
        <w:trPr>
          <w:trHeight w:val="45"/>
        </w:trPr>
        <w:tc>
          <w:tcPr>
            <w:tcW w:w="5340" w:type="dxa"/>
            <w:vAlign w:val="bottom"/>
            <w:tcBorders>
              <w:bottom w:val="single" w:sz="8" w:color="7F7F7F"/>
            </w:tcBorders>
          </w:tcPr>
          <w:p>
            <w:pPr>
              <w:spacing w:after="0"/>
              <w:rPr>
                <w:sz w:val="3"/>
                <w:szCs w:val="3"/>
                <w:color w:val="auto"/>
              </w:rPr>
            </w:pPr>
          </w:p>
        </w:tc>
        <w:tc>
          <w:tcPr>
            <w:tcW w:w="5280" w:type="dxa"/>
            <w:vAlign w:val="bottom"/>
            <w:tcBorders>
              <w:bottom w:val="single" w:sz="8" w:color="7F7F7F"/>
            </w:tcBorders>
          </w:tcPr>
          <w:p>
            <w:pPr>
              <w:spacing w:after="0"/>
              <w:rPr>
                <w:sz w:val="3"/>
                <w:szCs w:val="3"/>
                <w:color w:val="auto"/>
              </w:rPr>
            </w:pPr>
          </w:p>
        </w:tc>
      </w:tr>
      <w:tr>
        <w:trPr>
          <w:trHeight w:val="208"/>
        </w:trPr>
        <w:tc>
          <w:tcPr>
            <w:tcW w:w="5340" w:type="dxa"/>
            <w:vAlign w:val="bottom"/>
          </w:tcPr>
          <w:p>
            <w:pPr>
              <w:spacing w:after="0"/>
              <w:rPr>
                <w:sz w:val="20"/>
                <w:szCs w:val="20"/>
                <w:color w:val="auto"/>
              </w:rPr>
            </w:pPr>
            <w:r>
              <w:rPr>
                <w:rFonts w:ascii="Arial" w:cs="Arial" w:eastAsia="Arial" w:hAnsi="Arial"/>
                <w:sz w:val="16"/>
                <w:szCs w:val="16"/>
                <w:b w:val="1"/>
                <w:bCs w:val="1"/>
                <w:color w:val="auto"/>
              </w:rPr>
              <w:t>  Dinette Koolhaas</w:t>
            </w:r>
          </w:p>
        </w:tc>
        <w:tc>
          <w:tcPr>
            <w:tcW w:w="5280" w:type="dxa"/>
            <w:vAlign w:val="bottom"/>
          </w:tcPr>
          <w:p>
            <w:pPr>
              <w:jc w:val="right"/>
              <w:ind w:right="525"/>
              <w:spacing w:after="0"/>
              <w:rPr>
                <w:sz w:val="20"/>
                <w:szCs w:val="20"/>
                <w:color w:val="auto"/>
              </w:rPr>
            </w:pPr>
            <w:r>
              <w:rPr>
                <w:rFonts w:ascii="Arial" w:cs="Arial" w:eastAsia="Arial" w:hAnsi="Arial"/>
                <w:sz w:val="16"/>
                <w:szCs w:val="16"/>
                <w:color w:val="auto"/>
              </w:rPr>
              <w:t>4,856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67405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9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2023, there was a special recognition grant made to Mr. Malan. The Committee approved a grant of restricted stock valued at approximately $250,000 for Mr. Malan as noted in the Grants of Plan-Based Awards Table. These shares will cliff vest on the second anniversary date of the grant, which was made on February 14, 2023.</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Retirement Benefits</w:t>
      </w:r>
    </w:p>
    <w:p>
      <w:pPr>
        <w:spacing w:after="0" w:line="76" w:lineRule="exact"/>
        <w:rPr>
          <w:sz w:val="20"/>
          <w:szCs w:val="20"/>
          <w:color w:val="auto"/>
        </w:rPr>
      </w:pPr>
    </w:p>
    <w:p>
      <w:pPr>
        <w:ind w:right="80"/>
        <w:spacing w:after="0"/>
        <w:rPr>
          <w:sz w:val="20"/>
          <w:szCs w:val="20"/>
          <w:color w:val="auto"/>
        </w:rPr>
      </w:pPr>
      <w:r>
        <w:rPr>
          <w:rFonts w:ascii="Arial" w:cs="Arial" w:eastAsia="Arial" w:hAnsi="Arial"/>
          <w:sz w:val="16"/>
          <w:szCs w:val="16"/>
          <w:color w:val="auto"/>
        </w:rPr>
        <w:t>Highly compensated employees in the U.S. are not eligible to participate in the Company’s qualified 401(k) plan. In order to provide a competitive total compensation package, the Company has established the Management Retirement Plan (the “MRP”). The MRP is a U.S. nonqualified defined contribution/deferred compensation plan available to all highly compensated employees, including the named executive officers, as outlined by Section 414(q)(1)(B)(i) of the Code. Employees who are working in the U.S. while on an international assignment are not eligible to participate in the MRP. All participants in the MRP can elect to defer from 2% to 25% of their annual base earnings and 2% to 50% of their annual cash incentive earnings. Matching contributions by the Company equal 50% of the first 10% of base salary and annual cash incentives deferred by a participant. Other than the MRP, there are no other retirement income plans available to the Company’s highly compensated employees in the U.S. The MRP provides all participants, including the named executive officers, with a tax gross-up of Medicare taxes incurred on contributions to the plan. The Medicare tax gross-up provides for parity with other employees who are eligible to participate in the Company’s tax-qualified 401(k) plan and therefore do not pay Medicare tax on Company contributions.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6"/>
          <w:szCs w:val="16"/>
          <w:i w:val="1"/>
          <w:iCs w:val="1"/>
          <w:u w:val="single" w:color="auto"/>
          <w:color w:val="auto"/>
        </w:rPr>
        <w:t>Mr. Thirot’s Retirement Benefits</w:t>
      </w:r>
    </w:p>
    <w:p>
      <w:pPr>
        <w:spacing w:after="0" w:line="63"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As a resident of Switzerland, Mr. Thirot participates in the Swiss Social Insurance System (“Swiss System”) that provides retirement, disability, and death benefits. His Swiss retirement benefit includes contributions that he makes to the fund, as well as Company contributions that are made to the fund on his behalf. Mr. Thirot participated in the MRP during the period 2017-2021 while he was a resident of the U.S. and retains a benefit from both his contributions and contributions the Company made on his behalf to that plan.</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6"/>
          <w:szCs w:val="16"/>
          <w:i w:val="1"/>
          <w:iCs w:val="1"/>
          <w:u w:val="single" w:color="auto"/>
          <w:color w:val="auto"/>
        </w:rPr>
        <w:t>Ms. Koolhaas’ Retirement Benefits</w:t>
      </w:r>
    </w:p>
    <w:p>
      <w:pPr>
        <w:spacing w:after="0" w:line="63" w:lineRule="exact"/>
        <w:rPr>
          <w:sz w:val="20"/>
          <w:szCs w:val="20"/>
          <w:color w:val="auto"/>
        </w:rPr>
      </w:pPr>
    </w:p>
    <w:p>
      <w:pPr>
        <w:jc w:val="both"/>
        <w:ind w:right="160"/>
        <w:spacing w:after="0" w:line="251" w:lineRule="auto"/>
        <w:rPr>
          <w:sz w:val="20"/>
          <w:szCs w:val="20"/>
          <w:color w:val="auto"/>
        </w:rPr>
      </w:pPr>
      <w:r>
        <w:rPr>
          <w:rFonts w:ascii="Arial" w:cs="Arial" w:eastAsia="Arial" w:hAnsi="Arial"/>
          <w:sz w:val="16"/>
          <w:szCs w:val="16"/>
          <w:color w:val="auto"/>
        </w:rPr>
        <w:t>As a resident of Switzerland, Ms. Koolhaas also participates in the Swiss System that provides retirement, disability, and death benefits. Her retirement benefit includes contributions that she makes to the fund, as well as Company contributions that are made to the fund on her behalf. Ms. Koolhaas does not participate in any U.S.- based retirement plans.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6"/>
          <w:szCs w:val="16"/>
          <w:i w:val="1"/>
          <w:iCs w:val="1"/>
          <w:u w:val="single" w:color="auto"/>
          <w:color w:val="auto"/>
        </w:rPr>
        <w:t>Mr. Thirot’s Health and Welfare Benefits</w:t>
      </w:r>
    </w:p>
    <w:p>
      <w:pPr>
        <w:spacing w:after="0" w:line="76"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Mr. Thirot is required by Swiss law to carry health care coverage. However, the Company’s Swiss entity does not provide health care coverage to its employees, nor do we provide Mr. Thirot with a health care allowance. Under the Swiss System, Mr. Thirot’s spouse is eligible to receive benefits in the event of his death from sickness or accident. He no longer participates in any U.S. health and welfare benefit programs.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6"/>
          <w:szCs w:val="16"/>
          <w:i w:val="1"/>
          <w:iCs w:val="1"/>
          <w:u w:val="single" w:color="auto"/>
          <w:color w:val="auto"/>
        </w:rPr>
        <w:t>Ms. Koolhaas’ Health and Welfare Benefits</w:t>
      </w:r>
    </w:p>
    <w:p>
      <w:pPr>
        <w:spacing w:after="0" w:line="63" w:lineRule="exact"/>
        <w:rPr>
          <w:sz w:val="20"/>
          <w:szCs w:val="20"/>
          <w:color w:val="auto"/>
        </w:rPr>
      </w:pPr>
    </w:p>
    <w:p>
      <w:pPr>
        <w:ind w:right="380"/>
        <w:spacing w:after="0" w:line="247" w:lineRule="auto"/>
        <w:rPr>
          <w:sz w:val="20"/>
          <w:szCs w:val="20"/>
          <w:color w:val="auto"/>
        </w:rPr>
      </w:pPr>
      <w:r>
        <w:rPr>
          <w:rFonts w:ascii="Arial" w:cs="Arial" w:eastAsia="Arial" w:hAnsi="Arial"/>
          <w:sz w:val="16"/>
          <w:szCs w:val="16"/>
          <w:color w:val="auto"/>
        </w:rPr>
        <w:t>Ms. Koolhaas receives a health care allowance as part of her Swiss compensation that is intended to help defray the cost of obtaining health care coverage for herself and her family in Switzerland. Residents in Switzerland are required to carry health care coverage, however it is not common for Swiss companies to provide this benefit to their employees. The Company’s</w:t>
      </w:r>
    </w:p>
    <w:p>
      <w:pPr>
        <w:spacing w:after="0" w:line="1" w:lineRule="exact"/>
        <w:rPr>
          <w:sz w:val="20"/>
          <w:szCs w:val="20"/>
          <w:color w:val="auto"/>
        </w:rPr>
      </w:pPr>
    </w:p>
    <w:p>
      <w:pPr>
        <w:ind w:left="8780"/>
        <w:spacing w:after="0"/>
        <w:tabs>
          <w:tab w:leader="none" w:pos="1002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6308725</wp:posOffset>
            </wp:positionH>
            <wp:positionV relativeFrom="paragraph">
              <wp:posOffset>-222250</wp:posOffset>
            </wp:positionV>
            <wp:extent cx="8255" cy="2228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bookmarkStart w:id="63" w:name="page64"/>
    <w:bookmarkEnd w:id="63"/>
    <w:p>
      <w:pPr>
        <w:ind w:left="4"/>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137" w:lineRule="exact"/>
        <w:rPr>
          <w:sz w:val="20"/>
          <w:szCs w:val="20"/>
          <w:color w:val="auto"/>
        </w:rPr>
      </w:pPr>
    </w:p>
    <w:p>
      <w:pPr>
        <w:ind w:left="4" w:right="100"/>
        <w:spacing w:after="0" w:line="265" w:lineRule="auto"/>
        <w:rPr>
          <w:sz w:val="20"/>
          <w:szCs w:val="20"/>
          <w:color w:val="auto"/>
        </w:rPr>
      </w:pPr>
      <w:r>
        <w:rPr>
          <w:rFonts w:ascii="Arial" w:cs="Arial" w:eastAsia="Arial" w:hAnsi="Arial"/>
          <w:sz w:val="16"/>
          <w:szCs w:val="16"/>
          <w:color w:val="auto"/>
        </w:rPr>
        <w:t>Swiss entity does not provide health care coverage to its employees. Under the Swiss System, Ms. Koolhaas’ spouse is eligible to receive benefits in the event of her death from sickness or accident. She is not a participant in any U.S. health and welfare benefit programs.</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Perquisites</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6"/>
          <w:szCs w:val="16"/>
          <w:color w:val="auto"/>
        </w:rPr>
        <w:t>A modest level of perquisites is available to named executive officers:</w:t>
      </w:r>
    </w:p>
    <w:p>
      <w:pPr>
        <w:spacing w:after="0" w:line="235" w:lineRule="exact"/>
        <w:rPr>
          <w:sz w:val="20"/>
          <w:szCs w:val="20"/>
          <w:color w:val="auto"/>
        </w:rPr>
      </w:pPr>
    </w:p>
    <w:p>
      <w:pPr>
        <w:ind w:left="64"/>
        <w:spacing w:after="0"/>
        <w:tabs>
          <w:tab w:leader="none" w:pos="4423" w:val="left"/>
          <w:tab w:leader="none" w:pos="8703" w:val="left"/>
        </w:tabs>
        <w:rPr>
          <w:sz w:val="20"/>
          <w:szCs w:val="20"/>
          <w:color w:val="auto"/>
        </w:rPr>
      </w:pPr>
      <w:r>
        <w:rPr>
          <w:rFonts w:ascii="Arial" w:cs="Arial" w:eastAsia="Arial" w:hAnsi="Arial"/>
          <w:sz w:val="14"/>
          <w:szCs w:val="14"/>
          <w:b w:val="1"/>
          <w:bCs w:val="1"/>
          <w:color w:val="0A9E50"/>
        </w:rPr>
        <w:t>Perquisite</w:t>
      </w:r>
      <w:r>
        <w:rPr>
          <w:sz w:val="20"/>
          <w:szCs w:val="20"/>
          <w:color w:val="auto"/>
        </w:rPr>
        <w:tab/>
      </w:r>
      <w:r>
        <w:rPr>
          <w:rFonts w:ascii="Arial" w:cs="Arial" w:eastAsia="Arial" w:hAnsi="Arial"/>
          <w:sz w:val="14"/>
          <w:szCs w:val="14"/>
          <w:b w:val="1"/>
          <w:bCs w:val="1"/>
          <w:color w:val="0A9E50"/>
        </w:rPr>
        <w:t>Benefit</w:t>
      </w:r>
      <w:r>
        <w:rPr>
          <w:sz w:val="20"/>
          <w:szCs w:val="20"/>
          <w:color w:val="auto"/>
        </w:rPr>
        <w:tab/>
      </w:r>
      <w:r>
        <w:rPr>
          <w:rFonts w:ascii="Arial" w:cs="Arial" w:eastAsia="Arial" w:hAnsi="Arial"/>
          <w:sz w:val="13"/>
          <w:szCs w:val="13"/>
          <w:b w:val="1"/>
          <w:bCs w:val="1"/>
          <w:color w:val="0A9E50"/>
        </w:rPr>
        <w:t>Usage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67405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p>
      <w:pPr>
        <w:spacing w:after="0" w:line="305" w:lineRule="exact"/>
        <w:rPr>
          <w:sz w:val="20"/>
          <w:szCs w:val="20"/>
          <w:color w:val="auto"/>
        </w:rPr>
      </w:pPr>
    </w:p>
    <w:p>
      <w:pPr>
        <w:ind w:left="84" w:hanging="84"/>
        <w:spacing w:after="0"/>
        <w:tabs>
          <w:tab w:leader="none" w:pos="84"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Executive</w:t>
      </w:r>
    </w:p>
    <w:p>
      <w:pPr>
        <w:spacing w:after="0" w:line="35" w:lineRule="exact"/>
        <w:rPr>
          <w:rFonts w:ascii="Arial" w:cs="Arial" w:eastAsia="Arial" w:hAnsi="Arial"/>
          <w:sz w:val="14"/>
          <w:szCs w:val="14"/>
          <w:i w:val="1"/>
          <w:iCs w:val="1"/>
          <w:color w:val="auto"/>
        </w:rPr>
      </w:pPr>
    </w:p>
    <w:p>
      <w:pPr>
        <w:ind w:left="84" w:hanging="84"/>
        <w:spacing w:after="0"/>
        <w:tabs>
          <w:tab w:leader="none" w:pos="84"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Physical</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To ensure senior officers monitor their health and general well-being, an annual physical examination is provided at the Company’s expense. Senior officers may also use their own physician to perform the required tests and evaluations, in lieu of using the selected facilities. For those senior officers, expenses were processed through their employee health care coverage and not through the executive physical program.</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Two named executive officers utilized the formal executive physical program in 2023.</w:t>
      </w:r>
    </w:p>
    <w:p>
      <w:pPr>
        <w:spacing w:after="0" w:line="194" w:lineRule="exact"/>
        <w:rPr>
          <w:sz w:val="20"/>
          <w:szCs w:val="20"/>
          <w:color w:val="auto"/>
        </w:rPr>
      </w:pPr>
    </w:p>
    <w:p>
      <w:pPr>
        <w:sectPr>
          <w:pgSz w:w="11900" w:h="16838" w:orient="portrait"/>
          <w:cols w:equalWidth="0" w:num="3">
            <w:col w:w="1004" w:space="720"/>
            <w:col w:w="5900" w:space="120"/>
            <w:col w:w="2880"/>
          </w:cols>
          <w:pgMar w:left="636" w:top="296" w:right="639" w:bottom="1440" w:gutter="0" w:footer="0" w:header="0"/>
          <w:type w:val="continuous"/>
        </w:sectPr>
      </w:pPr>
    </w:p>
    <w:tbl>
      <w:tblPr>
        <w:tblLayout w:type="fixed"/>
        <w:tblInd w:w="4" w:type="dxa"/>
        <w:tblCellMar>
          <w:top w:w="0" w:type="dxa"/>
          <w:left w:w="0" w:type="dxa"/>
          <w:bottom w:w="0" w:type="dxa"/>
          <w:right w:w="0" w:type="dxa"/>
        </w:tblCellMar>
      </w:tblPr>
      <w:tr>
        <w:trPr>
          <w:trHeight w:val="172"/>
        </w:trPr>
        <w:tc>
          <w:tcPr>
            <w:tcW w:w="1200" w:type="dxa"/>
            <w:vAlign w:val="bottom"/>
            <w:tcBorders>
              <w:top w:val="single" w:sz="8" w:color="7F7F7F"/>
            </w:tcBorders>
          </w:tcPr>
          <w:p>
            <w:pPr>
              <w:spacing w:after="0" w:line="172" w:lineRule="exact"/>
              <w:rPr>
                <w:sz w:val="20"/>
                <w:szCs w:val="20"/>
                <w:color w:val="auto"/>
              </w:rPr>
            </w:pPr>
            <w:r>
              <w:rPr>
                <w:rFonts w:ascii="Arial" w:cs="Arial" w:eastAsia="Arial" w:hAnsi="Arial"/>
                <w:sz w:val="16"/>
                <w:szCs w:val="16"/>
                <w:i w:val="1"/>
                <w:iCs w:val="1"/>
                <w:color w:val="auto"/>
              </w:rPr>
              <w:t>  Vacation</w:t>
            </w:r>
          </w:p>
        </w:tc>
        <w:tc>
          <w:tcPr>
            <w:tcW w:w="6340" w:type="dxa"/>
            <w:vAlign w:val="bottom"/>
            <w:tcBorders>
              <w:top w:val="single" w:sz="8" w:color="7F7F7F"/>
            </w:tcBorders>
          </w:tcPr>
          <w:p>
            <w:pPr>
              <w:ind w:left="520"/>
              <w:spacing w:after="0" w:line="172" w:lineRule="exact"/>
              <w:rPr>
                <w:sz w:val="20"/>
                <w:szCs w:val="20"/>
                <w:color w:val="auto"/>
              </w:rPr>
            </w:pPr>
            <w:r>
              <w:rPr>
                <w:rFonts w:ascii="Arial" w:cs="Arial" w:eastAsia="Arial" w:hAnsi="Arial"/>
                <w:sz w:val="16"/>
                <w:szCs w:val="16"/>
                <w:color w:val="auto"/>
              </w:rPr>
              <w:t>Company-owned condominium is available on a limited basis to employees at the</w:t>
            </w:r>
          </w:p>
        </w:tc>
        <w:tc>
          <w:tcPr>
            <w:tcW w:w="3080" w:type="dxa"/>
            <w:vAlign w:val="bottom"/>
            <w:tcBorders>
              <w:top w:val="single" w:sz="8" w:color="7F7F7F"/>
            </w:tcBorders>
          </w:tcPr>
          <w:p>
            <w:pPr>
              <w:ind w:left="200"/>
              <w:spacing w:after="0" w:line="172" w:lineRule="exact"/>
              <w:rPr>
                <w:sz w:val="20"/>
                <w:szCs w:val="20"/>
                <w:color w:val="auto"/>
              </w:rPr>
            </w:pPr>
            <w:r>
              <w:rPr>
                <w:rFonts w:ascii="Arial" w:cs="Arial" w:eastAsia="Arial" w:hAnsi="Arial"/>
                <w:sz w:val="16"/>
                <w:szCs w:val="16"/>
                <w:color w:val="auto"/>
              </w:rPr>
              <w:t>One named executive officer used the</w:t>
            </w:r>
          </w:p>
        </w:tc>
      </w:tr>
      <w:tr>
        <w:trPr>
          <w:trHeight w:val="205"/>
        </w:trPr>
        <w:tc>
          <w:tcPr>
            <w:tcW w:w="1200" w:type="dxa"/>
            <w:vAlign w:val="bottom"/>
          </w:tcPr>
          <w:p>
            <w:pPr>
              <w:spacing w:after="0"/>
              <w:rPr>
                <w:sz w:val="20"/>
                <w:szCs w:val="20"/>
                <w:color w:val="auto"/>
              </w:rPr>
            </w:pPr>
            <w:r>
              <w:rPr>
                <w:rFonts w:ascii="Arial" w:cs="Arial" w:eastAsia="Arial" w:hAnsi="Arial"/>
                <w:sz w:val="16"/>
                <w:szCs w:val="16"/>
                <w:i w:val="1"/>
                <w:iCs w:val="1"/>
                <w:color w:val="auto"/>
              </w:rPr>
              <w:t>  Facility</w:t>
            </w:r>
          </w:p>
        </w:tc>
        <w:tc>
          <w:tcPr>
            <w:tcW w:w="6340" w:type="dxa"/>
            <w:vAlign w:val="bottom"/>
          </w:tcPr>
          <w:p>
            <w:pPr>
              <w:ind w:left="520"/>
              <w:spacing w:after="0"/>
              <w:rPr>
                <w:sz w:val="20"/>
                <w:szCs w:val="20"/>
                <w:color w:val="auto"/>
              </w:rPr>
            </w:pPr>
            <w:r>
              <w:rPr>
                <w:rFonts w:ascii="Arial" w:cs="Arial" w:eastAsia="Arial" w:hAnsi="Arial"/>
                <w:sz w:val="16"/>
                <w:szCs w:val="16"/>
                <w:color w:val="auto"/>
              </w:rPr>
              <w:t>Vice President level and above.</w:t>
            </w:r>
          </w:p>
        </w:tc>
        <w:tc>
          <w:tcPr>
            <w:tcW w:w="3080" w:type="dxa"/>
            <w:vAlign w:val="bottom"/>
          </w:tcPr>
          <w:p>
            <w:pPr>
              <w:ind w:left="200"/>
              <w:spacing w:after="0"/>
              <w:rPr>
                <w:sz w:val="20"/>
                <w:szCs w:val="20"/>
                <w:color w:val="auto"/>
              </w:rPr>
            </w:pPr>
            <w:r>
              <w:rPr>
                <w:rFonts w:ascii="Arial" w:cs="Arial" w:eastAsia="Arial" w:hAnsi="Arial"/>
                <w:sz w:val="16"/>
                <w:szCs w:val="16"/>
                <w:color w:val="auto"/>
              </w:rPr>
              <w:t>vacation facility in 2023.</w:t>
            </w:r>
          </w:p>
        </w:tc>
      </w:tr>
      <w:tr>
        <w:trPr>
          <w:trHeight w:val="28"/>
        </w:trPr>
        <w:tc>
          <w:tcPr>
            <w:tcW w:w="1200" w:type="dxa"/>
            <w:vAlign w:val="bottom"/>
            <w:tcBorders>
              <w:bottom w:val="single" w:sz="8" w:color="7F7F7F"/>
            </w:tcBorders>
          </w:tcPr>
          <w:p>
            <w:pPr>
              <w:spacing w:after="0"/>
              <w:rPr>
                <w:sz w:val="2"/>
                <w:szCs w:val="2"/>
                <w:color w:val="auto"/>
              </w:rPr>
            </w:pPr>
          </w:p>
        </w:tc>
        <w:tc>
          <w:tcPr>
            <w:tcW w:w="6340" w:type="dxa"/>
            <w:vAlign w:val="bottom"/>
            <w:tcBorders>
              <w:bottom w:val="single" w:sz="8" w:color="7F7F7F"/>
            </w:tcBorders>
          </w:tcPr>
          <w:p>
            <w:pPr>
              <w:spacing w:after="0"/>
              <w:rPr>
                <w:sz w:val="2"/>
                <w:szCs w:val="2"/>
                <w:color w:val="auto"/>
              </w:rPr>
            </w:pPr>
          </w:p>
        </w:tc>
        <w:tc>
          <w:tcPr>
            <w:tcW w:w="3080" w:type="dxa"/>
            <w:vAlign w:val="bottom"/>
            <w:tcBorders>
              <w:bottom w:val="single" w:sz="8" w:color="7F7F7F"/>
            </w:tcBorders>
          </w:tcPr>
          <w:p>
            <w:pPr>
              <w:spacing w:after="0"/>
              <w:rPr>
                <w:sz w:val="2"/>
                <w:szCs w:val="2"/>
                <w:color w:val="auto"/>
              </w:rPr>
            </w:pPr>
          </w:p>
        </w:tc>
      </w:tr>
    </w:tbl>
    <w:p>
      <w:pPr>
        <w:spacing w:after="0" w:line="66" w:lineRule="exact"/>
        <w:rPr>
          <w:sz w:val="20"/>
          <w:szCs w:val="20"/>
          <w:color w:val="auto"/>
        </w:rPr>
      </w:pPr>
    </w:p>
    <w:p>
      <w:pPr>
        <w:ind w:left="4" w:right="260"/>
        <w:spacing w:after="0" w:line="265" w:lineRule="auto"/>
        <w:rPr>
          <w:sz w:val="20"/>
          <w:szCs w:val="20"/>
          <w:color w:val="auto"/>
        </w:rPr>
      </w:pPr>
      <w:r>
        <w:rPr>
          <w:rFonts w:ascii="Arial" w:cs="Arial" w:eastAsia="Arial" w:hAnsi="Arial"/>
          <w:sz w:val="16"/>
          <w:szCs w:val="16"/>
          <w:color w:val="auto"/>
        </w:rPr>
        <w:t>The aggregate amount of perquisites provided in 2023 for each of the named executive officers, except for Mr. Thirot and Ms. Koolhaas, was less than $10,000 and therefore only the perquisites for Mr. Thirot and Ms. Koolhaas are reported in the Summary Compensation Table.</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Senior Executive Severance Plan</w:t>
      </w:r>
    </w:p>
    <w:p>
      <w:pPr>
        <w:spacing w:after="0" w:line="63" w:lineRule="exact"/>
        <w:rPr>
          <w:sz w:val="20"/>
          <w:szCs w:val="20"/>
          <w:color w:val="auto"/>
        </w:rPr>
      </w:pPr>
    </w:p>
    <w:p>
      <w:pPr>
        <w:ind w:left="4" w:right="60"/>
        <w:spacing w:after="0" w:line="243" w:lineRule="auto"/>
        <w:rPr>
          <w:sz w:val="20"/>
          <w:szCs w:val="20"/>
          <w:color w:val="auto"/>
        </w:rPr>
      </w:pPr>
      <w:r>
        <w:rPr>
          <w:rFonts w:ascii="Arial" w:cs="Arial" w:eastAsia="Arial" w:hAnsi="Arial"/>
          <w:sz w:val="16"/>
          <w:szCs w:val="16"/>
          <w:color w:val="auto"/>
        </w:rPr>
        <w:t>To encourage the retention of certain key executives of the Company and thereby promote the stability and continuity of management, the Senior Executive Severance Plan (“Severance Plan”) was established by the Company and approved by the Committee effective March 31, 2017. During its March 23, 2021 meeting, the Committee approved expanding the Severance Plan to include other senior officers. For 2023, the named executive officers participating in the Severance Plan were, Messrs. Quigley and Malan and Ms. Williams. The Severance Plan provides severance benefits in the event a participant’s employment is terminated under certain circumstances as explained and illustrated in Potential Payments Upon Termination or Change in Control (below). The Plan does not provide excise tax gross-ups to participants under Section 280G of the Code.</w:t>
      </w:r>
    </w:p>
    <w:p>
      <w:pPr>
        <w:spacing w:after="0" w:line="40" w:lineRule="exact"/>
        <w:rPr>
          <w:sz w:val="20"/>
          <w:szCs w:val="20"/>
          <w:color w:val="auto"/>
        </w:rPr>
      </w:pPr>
    </w:p>
    <w:p>
      <w:pPr>
        <w:ind w:left="4" w:right="400"/>
        <w:spacing w:after="0" w:line="265" w:lineRule="auto"/>
        <w:rPr>
          <w:sz w:val="20"/>
          <w:szCs w:val="20"/>
          <w:color w:val="auto"/>
        </w:rPr>
      </w:pPr>
      <w:r>
        <w:rPr>
          <w:rFonts w:ascii="Arial" w:cs="Arial" w:eastAsia="Arial" w:hAnsi="Arial"/>
          <w:sz w:val="16"/>
          <w:szCs w:val="16"/>
          <w:color w:val="auto"/>
        </w:rPr>
        <w:t>The Company’s EIP provides for the immediate vesting of restricted stock and performance awards upon a qualified termination in connection with a change in control (e.g., “double trigger”), which is also explained in Potential Payments Upon Termination or Change in Control.</w:t>
      </w:r>
    </w:p>
    <w:p>
      <w:pPr>
        <w:spacing w:after="0" w:line="36" w:lineRule="exact"/>
        <w:rPr>
          <w:sz w:val="20"/>
          <w:szCs w:val="20"/>
          <w:color w:val="auto"/>
        </w:rPr>
      </w:pPr>
    </w:p>
    <w:p>
      <w:pPr>
        <w:ind w:left="4" w:right="120"/>
        <w:spacing w:after="0" w:line="241" w:lineRule="auto"/>
        <w:rPr>
          <w:sz w:val="20"/>
          <w:szCs w:val="20"/>
          <w:color w:val="auto"/>
        </w:rPr>
      </w:pPr>
      <w:r>
        <w:rPr>
          <w:rFonts w:ascii="Arial" w:cs="Arial" w:eastAsia="Arial" w:hAnsi="Arial"/>
          <w:sz w:val="16"/>
          <w:szCs w:val="16"/>
          <w:color w:val="auto"/>
        </w:rPr>
        <w:t>Under the terms of the Severance Plan covering the eligible named executive officers, each would be entitled to severance payments and benefits in the event that he or she experiences a “qualifying termination” (i.e., any termination of the participant by the Company other than for cause, disability, or death, or for good reason by a participant in connection with a change in control as is defined in the Severance Plan). A change in control will not automatically entitle an eligible named executive officer to severance benefits or equity acceleration; instead, the executive must also lose his or her job, or suffer a significant adverse change to employment terms or conditions in order to be eligible for benefits under the Severance Plan. In the event of a termination for any reason, eligible named executive officers would be entitled to any earned compensation owed but not yet paid as of the date of termination. Eligible named executive officers would also be entitled to payment of vested benefits, if any. Details of the Severance Plan are provided in the Potential Payments Upon Termination or Change in Control section of this Proxy Statement.</w:t>
      </w:r>
    </w:p>
    <w:p>
      <w:pPr>
        <w:spacing w:after="0" w:line="187" w:lineRule="exact"/>
        <w:rPr>
          <w:sz w:val="20"/>
          <w:szCs w:val="20"/>
          <w:color w:val="auto"/>
        </w:rPr>
      </w:pPr>
    </w:p>
    <w:p>
      <w:pPr>
        <w:ind w:left="204"/>
        <w:spacing w:after="0"/>
        <w:rPr>
          <w:sz w:val="20"/>
          <w:szCs w:val="20"/>
          <w:color w:val="auto"/>
        </w:rPr>
      </w:pPr>
      <w:r>
        <w:rPr>
          <w:rFonts w:ascii="Arial" w:cs="Arial" w:eastAsia="Arial" w:hAnsi="Arial"/>
          <w:sz w:val="16"/>
          <w:szCs w:val="16"/>
          <w:i w:val="1"/>
          <w:iCs w:val="1"/>
          <w:u w:val="single" w:color="auto"/>
          <w:color w:val="auto"/>
        </w:rPr>
        <w:t>Mr. Thirot’s Severance Benefit</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6"/>
          <w:szCs w:val="16"/>
          <w:color w:val="auto"/>
        </w:rPr>
        <w:t>Under the terms of Mr. Thirot’s Swiss employment agreement he is eligible for similar severance benefits to a Tier 2 participant of the Severance Plan.</w:t>
      </w:r>
    </w:p>
    <w:p>
      <w:pPr>
        <w:spacing w:after="0" w:line="206" w:lineRule="exact"/>
        <w:rPr>
          <w:sz w:val="20"/>
          <w:szCs w:val="20"/>
          <w:color w:val="auto"/>
        </w:rPr>
      </w:pPr>
    </w:p>
    <w:p>
      <w:pPr>
        <w:ind w:left="204"/>
        <w:spacing w:after="0"/>
        <w:rPr>
          <w:sz w:val="20"/>
          <w:szCs w:val="20"/>
          <w:color w:val="auto"/>
        </w:rPr>
      </w:pPr>
      <w:r>
        <w:rPr>
          <w:rFonts w:ascii="Arial" w:cs="Arial" w:eastAsia="Arial" w:hAnsi="Arial"/>
          <w:sz w:val="16"/>
          <w:szCs w:val="16"/>
          <w:i w:val="1"/>
          <w:iCs w:val="1"/>
          <w:u w:val="single" w:color="auto"/>
          <w:color w:val="auto"/>
        </w:rPr>
        <w:t>Ms. Koolhaas’ Severance Benefit</w:t>
      </w:r>
    </w:p>
    <w:p>
      <w:pPr>
        <w:spacing w:after="0" w:line="63" w:lineRule="exact"/>
        <w:rPr>
          <w:sz w:val="20"/>
          <w:szCs w:val="20"/>
          <w:color w:val="auto"/>
        </w:rPr>
      </w:pPr>
    </w:p>
    <w:p>
      <w:pPr>
        <w:ind w:left="4" w:right="400"/>
        <w:spacing w:after="0" w:line="265" w:lineRule="auto"/>
        <w:rPr>
          <w:sz w:val="20"/>
          <w:szCs w:val="20"/>
          <w:color w:val="auto"/>
        </w:rPr>
      </w:pPr>
      <w:r>
        <w:rPr>
          <w:rFonts w:ascii="Arial" w:cs="Arial" w:eastAsia="Arial" w:hAnsi="Arial"/>
          <w:sz w:val="16"/>
          <w:szCs w:val="16"/>
          <w:color w:val="auto"/>
        </w:rPr>
        <w:t>Under the terms of Ms. Koolhaas’ Swiss employment agreement she is eligible for similar severance benefits to a Tier 3 participant of the Severance Plan.</w:t>
      </w:r>
    </w:p>
    <w:p>
      <w:pPr>
        <w:spacing w:after="0" w:line="36" w:lineRule="exact"/>
        <w:rPr>
          <w:sz w:val="20"/>
          <w:szCs w:val="20"/>
          <w:color w:val="auto"/>
        </w:rPr>
      </w:pPr>
    </w:p>
    <w:p>
      <w:pPr>
        <w:ind w:left="4" w:right="60"/>
        <w:spacing w:after="0" w:line="265" w:lineRule="auto"/>
        <w:rPr>
          <w:sz w:val="20"/>
          <w:szCs w:val="20"/>
          <w:color w:val="auto"/>
        </w:rPr>
      </w:pPr>
      <w:r>
        <w:rPr>
          <w:rFonts w:ascii="Arial" w:cs="Arial" w:eastAsia="Arial" w:hAnsi="Arial"/>
          <w:sz w:val="16"/>
          <w:szCs w:val="16"/>
          <w:color w:val="auto"/>
        </w:rPr>
        <w:t>As a consequence of the completion of the sale of our EMEA staffing operations, Ms. Koolhaas’ employment terminated March 31, 2024. The termination payments to be made to Ms. Koolhaas are described in the “Potential Payments Upon Termination or Change in Control” section below.</w:t>
      </w:r>
    </w:p>
    <w:p>
      <w:pPr>
        <w:spacing w:after="0" w:line="38" w:lineRule="exact"/>
        <w:rPr>
          <w:sz w:val="20"/>
          <w:szCs w:val="20"/>
          <w:color w:val="auto"/>
        </w:rPr>
      </w:pPr>
    </w:p>
    <w:p>
      <w:pPr>
        <w:ind w:left="64"/>
        <w:spacing w:after="0"/>
        <w:tabs>
          <w:tab w:leader="none" w:pos="563" w:val="left"/>
        </w:tabs>
        <w:rPr>
          <w:sz w:val="20"/>
          <w:szCs w:val="20"/>
          <w:color w:val="auto"/>
        </w:rPr>
      </w:pPr>
      <w:r>
        <w:rPr>
          <w:rFonts w:ascii="Arial" w:cs="Arial" w:eastAsia="Arial" w:hAnsi="Arial"/>
          <w:sz w:val="36"/>
          <w:szCs w:val="36"/>
          <w:color w:val="auto"/>
          <w:vertAlign w:val="superscript"/>
        </w:rPr>
        <w:t>62 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-214630</wp:posOffset>
            </wp:positionV>
            <wp:extent cx="8255" cy="2228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Governance of Executive Compensation Programs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Stock Ownership and Retention Requirements</w:t>
      </w:r>
    </w:p>
    <w:p>
      <w:pPr>
        <w:spacing w:after="0" w:line="76" w:lineRule="exact"/>
        <w:rPr>
          <w:sz w:val="20"/>
          <w:szCs w:val="20"/>
          <w:color w:val="auto"/>
        </w:rPr>
      </w:pPr>
    </w:p>
    <w:p>
      <w:pPr>
        <w:ind w:right="540"/>
        <w:spacing w:after="0" w:line="293" w:lineRule="auto"/>
        <w:rPr>
          <w:sz w:val="20"/>
          <w:szCs w:val="20"/>
          <w:color w:val="auto"/>
        </w:rPr>
      </w:pPr>
      <w:r>
        <w:rPr>
          <w:rFonts w:ascii="Arial" w:cs="Arial" w:eastAsia="Arial" w:hAnsi="Arial"/>
          <w:sz w:val="14"/>
          <w:szCs w:val="14"/>
          <w:color w:val="auto"/>
        </w:rPr>
        <w:t>The Committee implemented minimum stock ownership and retention requirements to encourage meaningful stock ownership by the Company’s executives that aligns their interests more closely with shareholders’ interests. The Committee periodically reviews the Executive Stock Ownership Requirements to ensure the design is consistent with current market practice and those of our peers, as determined by research performed by the Consultant. The requirements are expressed as a multiple of base salary for each level of senior officer, as shown in the table below.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A9E50"/>
        </w:rPr>
        <w:t>2023 Minimum Stock Ownership Requirements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A9E50"/>
        </w:rPr>
        <w:t>Multiple of Base Salary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tcBorders>
              <w:top w:val="single" w:sz="8" w:color="auto"/>
              <w:bottom w:val="single" w:sz="8" w:color="7F7F7F"/>
            </w:tcBorders>
          </w:tcPr>
          <w:p>
            <w:pPr>
              <w:jc w:val="center"/>
              <w:spacing w:after="0" w:line="149" w:lineRule="exact"/>
              <w:rPr>
                <w:sz w:val="20"/>
                <w:szCs w:val="20"/>
                <w:color w:val="auto"/>
              </w:rPr>
            </w:pPr>
            <w:r>
              <w:rPr>
                <w:rFonts w:ascii="Arial" w:cs="Arial" w:eastAsia="Arial" w:hAnsi="Arial"/>
                <w:sz w:val="14"/>
                <w:szCs w:val="14"/>
                <w:b w:val="1"/>
                <w:bCs w:val="1"/>
                <w:color w:val="auto"/>
                <w:w w:val="98"/>
              </w:rPr>
              <w:t>CEO</w:t>
            </w:r>
          </w:p>
        </w:tc>
        <w:tc>
          <w:tcPr>
            <w:tcW w:w="3280" w:type="dxa"/>
            <w:vAlign w:val="bottom"/>
            <w:tcBorders>
              <w:top w:val="single" w:sz="8" w:color="auto"/>
              <w:bottom w:val="single" w:sz="8" w:color="7F7F7F"/>
            </w:tcBorders>
          </w:tcPr>
          <w:p>
            <w:pPr>
              <w:jc w:val="center"/>
              <w:ind w:left="326"/>
              <w:spacing w:after="0" w:line="149" w:lineRule="exact"/>
              <w:rPr>
                <w:sz w:val="20"/>
                <w:szCs w:val="20"/>
                <w:color w:val="auto"/>
              </w:rPr>
            </w:pPr>
            <w:r>
              <w:rPr>
                <w:rFonts w:ascii="Arial" w:cs="Arial" w:eastAsia="Arial" w:hAnsi="Arial"/>
                <w:sz w:val="14"/>
                <w:szCs w:val="14"/>
                <w:b w:val="1"/>
                <w:bCs w:val="1"/>
                <w:color w:val="auto"/>
                <w:w w:val="99"/>
              </w:rPr>
              <w:t>EVP</w:t>
            </w:r>
          </w:p>
        </w:tc>
        <w:tc>
          <w:tcPr>
            <w:tcW w:w="3640" w:type="dxa"/>
            <w:vAlign w:val="bottom"/>
            <w:tcBorders>
              <w:top w:val="single" w:sz="8" w:color="auto"/>
              <w:bottom w:val="single" w:sz="8" w:color="7F7F7F"/>
            </w:tcBorders>
          </w:tcPr>
          <w:p>
            <w:pPr>
              <w:jc w:val="center"/>
              <w:ind w:left="286"/>
              <w:spacing w:after="0" w:line="149" w:lineRule="exact"/>
              <w:rPr>
                <w:sz w:val="20"/>
                <w:szCs w:val="20"/>
                <w:color w:val="auto"/>
              </w:rPr>
            </w:pPr>
            <w:r>
              <w:rPr>
                <w:rFonts w:ascii="Arial" w:cs="Arial" w:eastAsia="Arial" w:hAnsi="Arial"/>
                <w:sz w:val="14"/>
                <w:szCs w:val="14"/>
                <w:b w:val="1"/>
                <w:bCs w:val="1"/>
                <w:color w:val="auto"/>
                <w:w w:val="98"/>
              </w:rPr>
              <w:t>Other Senior Officers</w:t>
            </w:r>
          </w:p>
        </w:tc>
      </w:tr>
      <w:tr>
        <w:trPr>
          <w:trHeight w:val="175"/>
        </w:trPr>
        <w:tc>
          <w:tcPr>
            <w:tcW w:w="3700" w:type="dxa"/>
            <w:vAlign w:val="bottom"/>
            <w:tcBorders>
              <w:bottom w:val="single" w:sz="8" w:color="7F7F7F"/>
            </w:tcBorders>
          </w:tcPr>
          <w:p>
            <w:pPr>
              <w:jc w:val="center"/>
              <w:spacing w:after="0" w:line="175" w:lineRule="exact"/>
              <w:rPr>
                <w:sz w:val="20"/>
                <w:szCs w:val="20"/>
                <w:color w:val="auto"/>
              </w:rPr>
            </w:pPr>
            <w:r>
              <w:rPr>
                <w:rFonts w:ascii="Arial" w:cs="Arial" w:eastAsia="Arial" w:hAnsi="Arial"/>
                <w:sz w:val="16"/>
                <w:szCs w:val="16"/>
                <w:color w:val="auto"/>
                <w:w w:val="94"/>
              </w:rPr>
              <w:t>6x</w:t>
            </w:r>
          </w:p>
        </w:tc>
        <w:tc>
          <w:tcPr>
            <w:tcW w:w="3280" w:type="dxa"/>
            <w:vAlign w:val="bottom"/>
            <w:tcBorders>
              <w:bottom w:val="single" w:sz="8" w:color="7F7F7F"/>
            </w:tcBorders>
          </w:tcPr>
          <w:p>
            <w:pPr>
              <w:jc w:val="center"/>
              <w:ind w:left="306"/>
              <w:spacing w:after="0" w:line="175" w:lineRule="exact"/>
              <w:rPr>
                <w:sz w:val="20"/>
                <w:szCs w:val="20"/>
                <w:color w:val="auto"/>
              </w:rPr>
            </w:pPr>
            <w:r>
              <w:rPr>
                <w:rFonts w:ascii="Arial" w:cs="Arial" w:eastAsia="Arial" w:hAnsi="Arial"/>
                <w:sz w:val="16"/>
                <w:szCs w:val="16"/>
                <w:color w:val="auto"/>
              </w:rPr>
              <w:t>3x</w:t>
            </w:r>
          </w:p>
        </w:tc>
        <w:tc>
          <w:tcPr>
            <w:tcW w:w="3640" w:type="dxa"/>
            <w:vAlign w:val="bottom"/>
            <w:tcBorders>
              <w:bottom w:val="single" w:sz="8" w:color="7F7F7F"/>
            </w:tcBorders>
          </w:tcPr>
          <w:p>
            <w:pPr>
              <w:jc w:val="center"/>
              <w:ind w:left="266"/>
              <w:spacing w:after="0" w:line="175" w:lineRule="exact"/>
              <w:rPr>
                <w:sz w:val="20"/>
                <w:szCs w:val="20"/>
                <w:color w:val="auto"/>
              </w:rPr>
            </w:pPr>
            <w:r>
              <w:rPr>
                <w:rFonts w:ascii="Arial" w:cs="Arial" w:eastAsia="Arial" w:hAnsi="Arial"/>
                <w:sz w:val="16"/>
                <w:szCs w:val="16"/>
                <w:color w:val="auto"/>
                <w:w w:val="95"/>
              </w:rPr>
              <w:t>1x-1.5x</w:t>
            </w:r>
          </w:p>
        </w:tc>
      </w:tr>
    </w:tbl>
    <w:p>
      <w:pPr>
        <w:spacing w:after="0" w:line="53" w:lineRule="exact"/>
        <w:rPr>
          <w:sz w:val="20"/>
          <w:szCs w:val="20"/>
          <w:color w:val="auto"/>
        </w:rPr>
      </w:pPr>
    </w:p>
    <w:p>
      <w:pPr>
        <w:ind w:right="380"/>
        <w:spacing w:after="0" w:line="251" w:lineRule="auto"/>
        <w:rPr>
          <w:sz w:val="20"/>
          <w:szCs w:val="20"/>
          <w:color w:val="auto"/>
        </w:rPr>
      </w:pPr>
      <w:r>
        <w:rPr>
          <w:rFonts w:ascii="Arial" w:cs="Arial" w:eastAsia="Arial" w:hAnsi="Arial"/>
          <w:sz w:val="16"/>
          <w:szCs w:val="16"/>
          <w:color w:val="auto"/>
        </w:rPr>
        <w:t>During 2023, the Committee reviewed the executive stock ownership requirements to be in line with market practice and continue to focus on the retention of senior officers. Under the ownership requirements, senior officers are required to hold (50%) of the after-tax shares acquired upon equity award vesting until compliance with the stock ownership requirements is achieved.</w:t>
      </w:r>
    </w:p>
    <w:p>
      <w:pPr>
        <w:spacing w:after="0" w:line="34"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Shares counted toward achievement of ownership requirements include: directly owned shares, shares held by family or trusts, and 100% of unvested restricted stock awards, restricted stock units, and earned unvested performance shares. Although there is not a fixed compliance period, it is likely that new senior officers will reach the requirements within five years from their start date. The Committee reviews each executive’s progress towards and compliance with the share ownership requirements on an annual basis. If the required level of ownership is not achieved within a reasonable period of time or an executive falls out of compliance with the requirements, the Committee can eliminate or adjust the amount of any future equity awards. Stock ownership levels must be maintained as long as the executive is employed by the Company as a senior officer and is subject to the terms of the Executive Stock Ownership Requirements.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13, 2024, all named executive officers have met their stock ownership requirement.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Compensation Recovery (“Clawback”) Policy</w:t>
      </w:r>
    </w:p>
    <w:p>
      <w:pPr>
        <w:spacing w:after="0" w:line="69"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The Company’s Clawback Policy applies to awards granted under the STIP and EIP on or after January 1, 2011 to officers of the Company who are subject to Section 16 of the Securities Exchange Act of 1934. In early 2019, the application of the Clawback Policy was broadened to include all senior officers. These officers are required to repay or forfeit, to the fullest extent permitted by law and as directed by the Committee, any performance-based annual or long-term incentive compensation, based on the achievement of financial results that were subsequently restated due to the Company’s material non-compliance with the financial disclosure requirements of the federal securities laws, provided the amount of incentive compensation that would have been received or earned would have been lower had the financial results been properly reported. In 2023, the Company modified its policy to comply with the provisions of the new SEC and Nasdaq rules and regulations. The Clawback Policy is included as part of the Company’s updated Insider Trading Policy and Section 16 Compliance Procedures.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Hedging and Pledging of Shares</w:t>
      </w:r>
    </w:p>
    <w:p>
      <w:pPr>
        <w:spacing w:after="0" w:line="63"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The Company’s Insider Trading Policy and Section 16 Compliance Procedures strictly prohibit the Company’s directors and all employees, including the named executive officers, from engaging in hedging, monetization or other derivative or speculative transactions in securities of the Company. This includes short sales, failing to deliver Company securities sold, put or call options, equity swaps, collars, forward sale contracts, exchange funds, holding Company securities in a margin account, or pledging Company securities as collateral for a loan. The EIP does not allow the pledging, sale, assignment, or transfer of shares in any manner, except if the Committee determines that a transfer will not violate any requirements of the SEC or IRS. The Committee may permit an inter vivos transfer by gift to, or for the benefit of, a family member of the grantee.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Considerations: Deductibility of Executive Compensation</w:t>
      </w:r>
    </w:p>
    <w:p>
      <w:pPr>
        <w:spacing w:after="0" w:line="76"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Section 162(m) of the Code places a limit of $1 million on the amount of compensation that can be deducted for tax purposes for the CEO, CFO, and other three highest paid executives listed in the Summary Compensation Table, or were listed in the Summary Compensation Table in any preceding year after 2016. Prior to 2018, the Company’s incentive compensation programs were generally designed to qualify for the performance-based exception to this limit. Beginning in 2018, effective</w:t>
      </w:r>
    </w:p>
    <w:p>
      <w:pPr>
        <w:ind w:left="8780"/>
        <w:spacing w:after="0"/>
        <w:tabs>
          <w:tab w:leader="none" w:pos="1002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6308725</wp:posOffset>
            </wp:positionH>
            <wp:positionV relativeFrom="paragraph">
              <wp:posOffset>-222250</wp:posOffset>
            </wp:positionV>
            <wp:extent cx="8255" cy="2228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Compensation Discussion and Analysis</w:t>
      </w:r>
    </w:p>
    <w:p>
      <w:pPr>
        <w:spacing w:after="0" w:line="137" w:lineRule="exact"/>
        <w:rPr>
          <w:sz w:val="20"/>
          <w:szCs w:val="20"/>
          <w:color w:val="auto"/>
        </w:rPr>
      </w:pPr>
    </w:p>
    <w:p>
      <w:pPr>
        <w:ind w:right="180"/>
        <w:spacing w:after="0" w:line="242" w:lineRule="auto"/>
        <w:rPr>
          <w:sz w:val="20"/>
          <w:szCs w:val="20"/>
          <w:color w:val="auto"/>
        </w:rPr>
      </w:pPr>
      <w:r>
        <w:rPr>
          <w:rFonts w:ascii="Arial" w:cs="Arial" w:eastAsia="Arial" w:hAnsi="Arial"/>
          <w:sz w:val="16"/>
          <w:szCs w:val="16"/>
          <w:color w:val="auto"/>
        </w:rPr>
        <w:t>with the Tax Cuts and Jobs Act that was enacted in December 2017, the corporate tax deduction previously available for performance-based compensation above $1 million for current or former named executive officers was eliminated. This means that pay to each current or former named executive officer in excess of $1 million is no longer tax deductible. Now that the performance-based exception is no longer available, the Company will no longer include reference to Section 162(m) related limitations or provisions or shareholder approval for this purpose. However, management and the Committee currently intend to retain as good governance, certain practices that had been in place previously for Section 162(m) purposes. These practices include: specification of guidelines for the adjustment of special items, establishing performance goals within the first ninety days of a performance period, and requiring the Committee’s certification of results prior to the payout of any award.</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and Talent Management Committee Report</w:t>
      </w:r>
    </w:p>
    <w:p>
      <w:pPr>
        <w:spacing w:after="0" w:line="72"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Prior to and at the Special Board of Directors meeting held on March 19, 2024, the Compensation and Talent Management Committee members reviewed and discussed the Compensation Discussion and Analysis presented in this Proxy Statement. Based on its review and subsequent discussions with management, the Committee approved the Compensation Discussion and Analysis and directed management to include it in this Proxy Statement.</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This report is submitted by the Compensation and Talent Management Committee of the Board of Directors.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THE COMPENSATION AND TALENT MANAGEMENT</w:t>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COMMITTEE</w:t>
      </w:r>
    </w:p>
    <w:p>
      <w:pPr>
        <w:spacing w:after="0" w:line="19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ROBERT S. CUBBIN, CHAIR</w:t>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GERALD S. ADOLPH</w:t>
      </w:r>
    </w:p>
    <w:p>
      <w:pPr>
        <w:ind w:left="5740"/>
        <w:spacing w:after="0" w:line="237" w:lineRule="auto"/>
        <w:rPr>
          <w:sz w:val="20"/>
          <w:szCs w:val="20"/>
          <w:color w:val="auto"/>
        </w:rPr>
      </w:pPr>
      <w:r>
        <w:rPr>
          <w:rFonts w:ascii="Arial" w:cs="Arial" w:eastAsia="Arial" w:hAnsi="Arial"/>
          <w:sz w:val="16"/>
          <w:szCs w:val="16"/>
          <w:color w:val="auto"/>
        </w:rPr>
        <w:t>INAMARIE F. JOHNSON</w:t>
      </w:r>
    </w:p>
    <w:p>
      <w:pPr>
        <w:ind w:left="5740"/>
        <w:spacing w:after="0"/>
        <w:rPr>
          <w:sz w:val="20"/>
          <w:szCs w:val="20"/>
          <w:color w:val="auto"/>
        </w:rPr>
      </w:pPr>
      <w:r>
        <w:rPr>
          <w:rFonts w:ascii="Arial" w:cs="Arial" w:eastAsia="Arial" w:hAnsi="Arial"/>
          <w:sz w:val="16"/>
          <w:szCs w:val="16"/>
          <w:color w:val="auto"/>
        </w:rPr>
        <w:t>LESLIE A. MURPHY</w:t>
      </w:r>
    </w:p>
    <w:p>
      <w:pPr>
        <w:spacing w:after="0" w:line="64"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64 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00"/>
          </w:cols>
          <w:pgMar w:left="640" w:top="296" w:right="659" w:bottom="1440" w:gutter="0" w:footer="0" w:header="0"/>
        </w:sectPr>
      </w:pPr>
    </w:p>
    <w:bookmarkStart w:id="66" w:name="page67"/>
    <w:bookmarkEnd w:id="66"/>
    <w:p>
      <w:pPr>
        <w:ind w:left="4"/>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2023 Executive Compensation Tables</w:t>
      </w:r>
    </w:p>
    <w:p>
      <w:pPr>
        <w:spacing w:after="0" w:line="114"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Summary Compensation Table 2023</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A9E50"/>
              </w:rPr>
              <w:t>Change in</w:t>
            </w:r>
          </w:p>
        </w:tc>
        <w:tc>
          <w:tcPr>
            <w:tcW w:w="1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9"/>
              </w:rPr>
              <w:t>Pension</w:t>
            </w:r>
          </w:p>
        </w:tc>
        <w:tc>
          <w:tcPr>
            <w:tcW w:w="1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6"/>
              </w:rPr>
              <w:t>Value and</w:t>
            </w:r>
          </w:p>
        </w:tc>
        <w:tc>
          <w:tcPr>
            <w:tcW w:w="1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9"/>
              </w:rPr>
              <w:t>Nonqualified</w:t>
            </w:r>
          </w:p>
        </w:tc>
        <w:tc>
          <w:tcPr>
            <w:tcW w:w="1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9"/>
              </w:rPr>
              <w:t>Non-Equity</w:t>
            </w: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7"/>
              </w:rPr>
              <w:t>Deferred</w:t>
            </w:r>
          </w:p>
        </w:tc>
        <w:tc>
          <w:tcPr>
            <w:tcW w:w="1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vMerge w:val="restart"/>
          </w:tcPr>
          <w:p>
            <w:pPr>
              <w:ind w:left="40"/>
              <w:spacing w:after="0"/>
              <w:rPr>
                <w:sz w:val="20"/>
                <w:szCs w:val="20"/>
                <w:color w:val="auto"/>
              </w:rPr>
            </w:pPr>
            <w:r>
              <w:rPr>
                <w:rFonts w:ascii="Arial" w:cs="Arial" w:eastAsia="Arial" w:hAnsi="Arial"/>
                <w:sz w:val="14"/>
                <w:szCs w:val="14"/>
                <w:b w:val="1"/>
                <w:bCs w:val="1"/>
                <w:color w:val="0A9E50"/>
                <w:w w:val="95"/>
              </w:rPr>
              <w:t>Salary</w:t>
            </w:r>
            <w:r>
              <w:rPr>
                <w:rFonts w:ascii="Arial" w:cs="Arial" w:eastAsia="Arial" w:hAnsi="Arial"/>
                <w:sz w:val="20"/>
                <w:szCs w:val="20"/>
                <w:b w:val="1"/>
                <w:bCs w:val="1"/>
                <w:color w:val="0A9E50"/>
                <w:w w:val="95"/>
                <w:vertAlign w:val="superscript"/>
              </w:rPr>
              <w:t>(1)</w:t>
            </w:r>
          </w:p>
        </w:tc>
        <w:tc>
          <w:tcPr>
            <w:tcW w:w="520" w:type="dxa"/>
            <w:vAlign w:val="bottom"/>
          </w:tcPr>
          <w:p>
            <w:pPr>
              <w:spacing w:after="0"/>
              <w:rPr>
                <w:sz w:val="13"/>
                <w:szCs w:val="13"/>
                <w:color w:val="auto"/>
              </w:rPr>
            </w:pPr>
          </w:p>
        </w:tc>
        <w:tc>
          <w:tcPr>
            <w:tcW w:w="840" w:type="dxa"/>
            <w:vAlign w:val="bottom"/>
          </w:tcPr>
          <w:p>
            <w:pPr>
              <w:ind w:left="260"/>
              <w:spacing w:after="0" w:line="156" w:lineRule="exact"/>
              <w:rPr>
                <w:sz w:val="20"/>
                <w:szCs w:val="20"/>
                <w:color w:val="auto"/>
              </w:rPr>
            </w:pPr>
            <w:r>
              <w:rPr>
                <w:rFonts w:ascii="Arial" w:cs="Arial" w:eastAsia="Arial" w:hAnsi="Arial"/>
                <w:sz w:val="14"/>
                <w:szCs w:val="14"/>
                <w:b w:val="1"/>
                <w:bCs w:val="1"/>
                <w:color w:val="0A9E50"/>
              </w:rPr>
              <w:t>Stock</w:t>
            </w:r>
          </w:p>
        </w:tc>
        <w:tc>
          <w:tcPr>
            <w:tcW w:w="620" w:type="dxa"/>
            <w:vAlign w:val="bottom"/>
          </w:tcPr>
          <w:p>
            <w:pPr>
              <w:ind w:left="100"/>
              <w:spacing w:after="0" w:line="156" w:lineRule="exact"/>
              <w:rPr>
                <w:sz w:val="20"/>
                <w:szCs w:val="20"/>
                <w:color w:val="auto"/>
              </w:rPr>
            </w:pPr>
            <w:r>
              <w:rPr>
                <w:rFonts w:ascii="Arial" w:cs="Arial" w:eastAsia="Arial" w:hAnsi="Arial"/>
                <w:sz w:val="14"/>
                <w:szCs w:val="14"/>
                <w:b w:val="1"/>
                <w:bCs w:val="1"/>
                <w:color w:val="0A9E50"/>
              </w:rPr>
              <w:t>Option</w:t>
            </w: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9"/>
              </w:rPr>
              <w:t>Incentive Plan</w:t>
            </w: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8"/>
              </w:rPr>
              <w:t>Compensation</w:t>
            </w:r>
          </w:p>
        </w:tc>
        <w:tc>
          <w:tcPr>
            <w:tcW w:w="144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rPr>
              <w:t>All Other</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520" w:type="dxa"/>
            <w:vAlign w:val="bottom"/>
          </w:tcPr>
          <w:p>
            <w:pPr>
              <w:ind w:left="60"/>
              <w:spacing w:after="0" w:line="156" w:lineRule="exact"/>
              <w:rPr>
                <w:sz w:val="20"/>
                <w:szCs w:val="20"/>
                <w:color w:val="auto"/>
              </w:rPr>
            </w:pPr>
            <w:r>
              <w:rPr>
                <w:rFonts w:ascii="Arial" w:cs="Arial" w:eastAsia="Arial" w:hAnsi="Arial"/>
                <w:sz w:val="14"/>
                <w:szCs w:val="14"/>
                <w:b w:val="1"/>
                <w:bCs w:val="1"/>
                <w:color w:val="0A9E50"/>
              </w:rPr>
              <w:t>Bonus</w:t>
            </w:r>
          </w:p>
        </w:tc>
        <w:tc>
          <w:tcPr>
            <w:tcW w:w="2520" w:type="dxa"/>
            <w:vAlign w:val="bottom"/>
            <w:gridSpan w:val="3"/>
          </w:tcPr>
          <w:p>
            <w:pPr>
              <w:ind w:left="60"/>
              <w:spacing w:after="0" w:line="157" w:lineRule="exact"/>
              <w:rPr>
                <w:sz w:val="20"/>
                <w:szCs w:val="20"/>
                <w:color w:val="auto"/>
              </w:rPr>
            </w:pPr>
            <w:r>
              <w:rPr>
                <w:rFonts w:ascii="Arial" w:cs="Arial" w:eastAsia="Arial" w:hAnsi="Arial"/>
                <w:sz w:val="13"/>
                <w:szCs w:val="13"/>
                <w:b w:val="1"/>
                <w:bCs w:val="1"/>
                <w:color w:val="0A9E50"/>
              </w:rPr>
              <w:t>Awards</w:t>
            </w:r>
            <w:r>
              <w:rPr>
                <w:rFonts w:ascii="Arial" w:cs="Arial" w:eastAsia="Arial" w:hAnsi="Arial"/>
                <w:sz w:val="18"/>
                <w:szCs w:val="18"/>
                <w:b w:val="1"/>
                <w:bCs w:val="1"/>
                <w:color w:val="0A9E50"/>
                <w:vertAlign w:val="superscript"/>
              </w:rPr>
              <w:t>(2),(3)</w:t>
            </w:r>
            <w:r>
              <w:rPr>
                <w:rFonts w:ascii="Arial" w:cs="Arial" w:eastAsia="Arial" w:hAnsi="Arial"/>
                <w:sz w:val="13"/>
                <w:szCs w:val="13"/>
                <w:b w:val="1"/>
                <w:bCs w:val="1"/>
                <w:color w:val="0A9E50"/>
              </w:rPr>
              <w:t xml:space="preserve">  Awards Compensation</w:t>
            </w: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rPr>
              <w:t>Earnings</w:t>
            </w:r>
          </w:p>
        </w:tc>
        <w:tc>
          <w:tcPr>
            <w:tcW w:w="1440" w:type="dxa"/>
            <w:vAlign w:val="bottom"/>
          </w:tcPr>
          <w:p>
            <w:pPr>
              <w:jc w:val="center"/>
              <w:spacing w:after="0" w:line="157" w:lineRule="exact"/>
              <w:rPr>
                <w:sz w:val="20"/>
                <w:szCs w:val="20"/>
                <w:color w:val="auto"/>
              </w:rPr>
            </w:pPr>
            <w:r>
              <w:rPr>
                <w:rFonts w:ascii="Arial" w:cs="Arial" w:eastAsia="Arial" w:hAnsi="Arial"/>
                <w:sz w:val="13"/>
                <w:szCs w:val="13"/>
                <w:b w:val="1"/>
                <w:bCs w:val="1"/>
                <w:color w:val="0A9E50"/>
              </w:rPr>
              <w:t>Compensation</w:t>
            </w:r>
            <w:r>
              <w:rPr>
                <w:rFonts w:ascii="Arial" w:cs="Arial" w:eastAsia="Arial" w:hAnsi="Arial"/>
                <w:sz w:val="18"/>
                <w:szCs w:val="18"/>
                <w:b w:val="1"/>
                <w:bCs w:val="1"/>
                <w:color w:val="0A9E50"/>
                <w:vertAlign w:val="superscript"/>
              </w:rPr>
              <w:t>(4)(5)(6)</w:t>
            </w:r>
          </w:p>
        </w:tc>
        <w:tc>
          <w:tcPr>
            <w:tcW w:w="680" w:type="dxa"/>
            <w:vAlign w:val="bottom"/>
          </w:tcPr>
          <w:p>
            <w:pPr>
              <w:ind w:left="200"/>
              <w:spacing w:after="0" w:line="156" w:lineRule="exact"/>
              <w:rPr>
                <w:sz w:val="20"/>
                <w:szCs w:val="20"/>
                <w:color w:val="auto"/>
              </w:rPr>
            </w:pPr>
            <w:r>
              <w:rPr>
                <w:rFonts w:ascii="Arial" w:cs="Arial" w:eastAsia="Arial" w:hAnsi="Arial"/>
                <w:sz w:val="14"/>
                <w:szCs w:val="14"/>
                <w:b w:val="1"/>
                <w:bCs w:val="1"/>
                <w:color w:val="0A9E50"/>
              </w:rPr>
              <w:t>Total</w:t>
            </w:r>
          </w:p>
        </w:tc>
        <w:tc>
          <w:tcPr>
            <w:tcW w:w="0" w:type="dxa"/>
            <w:vAlign w:val="bottom"/>
          </w:tcPr>
          <w:p>
            <w:pPr>
              <w:spacing w:after="0"/>
              <w:rPr>
                <w:sz w:val="1"/>
                <w:szCs w:val="1"/>
                <w:color w:val="auto"/>
              </w:rPr>
            </w:pPr>
          </w:p>
        </w:tc>
      </w:tr>
      <w:tr>
        <w:trPr>
          <w:trHeight w:val="205"/>
        </w:trPr>
        <w:tc>
          <w:tcPr>
            <w:tcW w:w="2660" w:type="dxa"/>
            <w:vAlign w:val="bottom"/>
          </w:tcPr>
          <w:p>
            <w:pPr>
              <w:spacing w:after="0"/>
              <w:rPr>
                <w:sz w:val="20"/>
                <w:szCs w:val="20"/>
                <w:color w:val="auto"/>
              </w:rPr>
            </w:pPr>
            <w:r>
              <w:rPr>
                <w:rFonts w:ascii="Arial" w:cs="Arial" w:eastAsia="Arial" w:hAnsi="Arial"/>
                <w:sz w:val="14"/>
                <w:szCs w:val="14"/>
                <w:b w:val="1"/>
                <w:bCs w:val="1"/>
                <w:color w:val="0A9E50"/>
              </w:rPr>
              <w:t>Name and Principal Position</w:t>
            </w:r>
          </w:p>
        </w:tc>
        <w:tc>
          <w:tcPr>
            <w:tcW w:w="1120" w:type="dxa"/>
            <w:vAlign w:val="bottom"/>
          </w:tcPr>
          <w:p>
            <w:pPr>
              <w:ind w:left="780"/>
              <w:spacing w:after="0"/>
              <w:rPr>
                <w:sz w:val="20"/>
                <w:szCs w:val="20"/>
                <w:color w:val="auto"/>
              </w:rPr>
            </w:pPr>
            <w:r>
              <w:rPr>
                <w:rFonts w:ascii="Arial" w:cs="Arial" w:eastAsia="Arial" w:hAnsi="Arial"/>
                <w:sz w:val="14"/>
                <w:szCs w:val="14"/>
                <w:b w:val="1"/>
                <w:bCs w:val="1"/>
                <w:color w:val="0A9E50"/>
              </w:rPr>
              <w:t>Year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0A9E50"/>
                <w:w w:val="93"/>
              </w:rPr>
              <w: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A9E50"/>
                <w:w w:val="93"/>
              </w:rPr>
              <w: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A9E50"/>
                <w:w w:val="93"/>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A9E50"/>
                <w:w w:val="93"/>
              </w:rPr>
              <w:t>($)</w:t>
            </w:r>
          </w:p>
        </w:tc>
        <w:tc>
          <w:tcPr>
            <w:tcW w:w="0" w:type="dxa"/>
            <w:vAlign w:val="bottom"/>
          </w:tcPr>
          <w:p>
            <w:pPr>
              <w:spacing w:after="0"/>
              <w:rPr>
                <w:sz w:val="1"/>
                <w:szCs w:val="1"/>
                <w:color w:val="auto"/>
              </w:rPr>
            </w:pPr>
          </w:p>
        </w:tc>
      </w:tr>
      <w:tr>
        <w:trPr>
          <w:trHeight w:val="39"/>
        </w:trPr>
        <w:tc>
          <w:tcPr>
            <w:tcW w:w="2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660" w:type="dxa"/>
            <w:vAlign w:val="bottom"/>
          </w:tcPr>
          <w:p>
            <w:pPr>
              <w:ind w:left="60"/>
              <w:spacing w:after="0"/>
              <w:rPr>
                <w:sz w:val="20"/>
                <w:szCs w:val="20"/>
                <w:color w:val="auto"/>
              </w:rPr>
            </w:pPr>
            <w:r>
              <w:rPr>
                <w:rFonts w:ascii="Arial" w:cs="Arial" w:eastAsia="Arial" w:hAnsi="Arial"/>
                <w:sz w:val="14"/>
                <w:szCs w:val="14"/>
                <w:color w:val="auto"/>
              </w:rPr>
              <w:t>Peter W. Quigley</w:t>
            </w:r>
          </w:p>
        </w:tc>
        <w:tc>
          <w:tcPr>
            <w:tcW w:w="1120" w:type="dxa"/>
            <w:vAlign w:val="bottom"/>
          </w:tcPr>
          <w:p>
            <w:pPr>
              <w:ind w:left="780"/>
              <w:spacing w:after="0"/>
              <w:rPr>
                <w:sz w:val="20"/>
                <w:szCs w:val="20"/>
                <w:color w:val="auto"/>
              </w:rPr>
            </w:pPr>
            <w:r>
              <w:rPr>
                <w:rFonts w:ascii="Arial" w:cs="Arial" w:eastAsia="Arial" w:hAnsi="Arial"/>
                <w:sz w:val="14"/>
                <w:szCs w:val="14"/>
                <w:color w:val="auto"/>
              </w:rPr>
              <w:t>2023</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900,000</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2,160,522</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1,015,200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87,702</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4,163,424</w:t>
            </w:r>
          </w:p>
        </w:tc>
        <w:tc>
          <w:tcPr>
            <w:tcW w:w="0" w:type="dxa"/>
            <w:vAlign w:val="bottom"/>
          </w:tcPr>
          <w:p>
            <w:pPr>
              <w:spacing w:after="0"/>
              <w:rPr>
                <w:sz w:val="1"/>
                <w:szCs w:val="1"/>
                <w:color w:val="auto"/>
              </w:rPr>
            </w:pPr>
          </w:p>
        </w:tc>
      </w:tr>
      <w:tr>
        <w:trPr>
          <w:trHeight w:val="182"/>
        </w:trPr>
        <w:tc>
          <w:tcPr>
            <w:tcW w:w="2660" w:type="dxa"/>
            <w:vAlign w:val="bottom"/>
          </w:tcPr>
          <w:p>
            <w:pPr>
              <w:ind w:left="60"/>
              <w:spacing w:after="0"/>
              <w:rPr>
                <w:sz w:val="20"/>
                <w:szCs w:val="20"/>
                <w:color w:val="auto"/>
              </w:rPr>
            </w:pPr>
            <w:r>
              <w:rPr>
                <w:rFonts w:ascii="Arial" w:cs="Arial" w:eastAsia="Arial" w:hAnsi="Arial"/>
                <w:sz w:val="14"/>
                <w:szCs w:val="14"/>
                <w:color w:val="auto"/>
              </w:rPr>
              <w:t>President and Chief</w:t>
            </w:r>
          </w:p>
        </w:tc>
        <w:tc>
          <w:tcPr>
            <w:tcW w:w="1120" w:type="dxa"/>
            <w:vAlign w:val="bottom"/>
          </w:tcPr>
          <w:p>
            <w:pPr>
              <w:ind w:left="780"/>
              <w:spacing w:after="0"/>
              <w:rPr>
                <w:sz w:val="20"/>
                <w:szCs w:val="20"/>
                <w:color w:val="auto"/>
              </w:rPr>
            </w:pPr>
            <w:r>
              <w:rPr>
                <w:rFonts w:ascii="Arial" w:cs="Arial" w:eastAsia="Arial" w:hAnsi="Arial"/>
                <w:sz w:val="14"/>
                <w:szCs w:val="14"/>
                <w:color w:val="auto"/>
              </w:rPr>
              <w:t>2022</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884,077</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1,811,085</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777,988</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62,131</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3,535,281</w:t>
            </w:r>
          </w:p>
        </w:tc>
        <w:tc>
          <w:tcPr>
            <w:tcW w:w="0" w:type="dxa"/>
            <w:vAlign w:val="bottom"/>
          </w:tcPr>
          <w:p>
            <w:pPr>
              <w:spacing w:after="0"/>
              <w:rPr>
                <w:sz w:val="1"/>
                <w:szCs w:val="1"/>
                <w:color w:val="auto"/>
              </w:rPr>
            </w:pPr>
          </w:p>
        </w:tc>
      </w:tr>
      <w:tr>
        <w:trPr>
          <w:trHeight w:val="184"/>
        </w:trPr>
        <w:tc>
          <w:tcPr>
            <w:tcW w:w="2660" w:type="dxa"/>
            <w:vAlign w:val="bottom"/>
          </w:tcPr>
          <w:p>
            <w:pPr>
              <w:ind w:left="60"/>
              <w:spacing w:after="0"/>
              <w:rPr>
                <w:sz w:val="20"/>
                <w:szCs w:val="20"/>
                <w:color w:val="auto"/>
              </w:rPr>
            </w:pPr>
            <w:r>
              <w:rPr>
                <w:rFonts w:ascii="Arial" w:cs="Arial" w:eastAsia="Arial" w:hAnsi="Arial"/>
                <w:sz w:val="14"/>
                <w:szCs w:val="14"/>
                <w:color w:val="auto"/>
              </w:rPr>
              <w:t>Executive Officer</w:t>
            </w:r>
          </w:p>
        </w:tc>
        <w:tc>
          <w:tcPr>
            <w:tcW w:w="1120" w:type="dxa"/>
            <w:vAlign w:val="bottom"/>
          </w:tcPr>
          <w:p>
            <w:pPr>
              <w:ind w:left="780"/>
              <w:spacing w:after="0"/>
              <w:rPr>
                <w:sz w:val="20"/>
                <w:szCs w:val="20"/>
                <w:color w:val="auto"/>
              </w:rPr>
            </w:pPr>
            <w:r>
              <w:rPr>
                <w:rFonts w:ascii="Arial" w:cs="Arial" w:eastAsia="Arial" w:hAnsi="Arial"/>
                <w:sz w:val="14"/>
                <w:szCs w:val="14"/>
                <w:color w:val="auto"/>
              </w:rPr>
              <w:t>2021</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840,000</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2,734,149</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320,628</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43,831</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3,938,608</w:t>
            </w:r>
          </w:p>
        </w:tc>
        <w:tc>
          <w:tcPr>
            <w:tcW w:w="0" w:type="dxa"/>
            <w:vAlign w:val="bottom"/>
          </w:tcPr>
          <w:p>
            <w:pPr>
              <w:spacing w:after="0"/>
              <w:rPr>
                <w:sz w:val="1"/>
                <w:szCs w:val="1"/>
                <w:color w:val="auto"/>
              </w:rPr>
            </w:pPr>
          </w:p>
        </w:tc>
      </w:tr>
      <w:tr>
        <w:trPr>
          <w:trHeight w:val="47"/>
        </w:trPr>
        <w:tc>
          <w:tcPr>
            <w:tcW w:w="266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4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60" w:type="dxa"/>
            <w:vAlign w:val="bottom"/>
          </w:tcPr>
          <w:p>
            <w:pPr>
              <w:ind w:left="60"/>
              <w:spacing w:after="0"/>
              <w:rPr>
                <w:sz w:val="20"/>
                <w:szCs w:val="20"/>
                <w:color w:val="auto"/>
              </w:rPr>
            </w:pPr>
            <w:r>
              <w:rPr>
                <w:rFonts w:ascii="Arial" w:cs="Arial" w:eastAsia="Arial" w:hAnsi="Arial"/>
                <w:sz w:val="14"/>
                <w:szCs w:val="14"/>
                <w:color w:val="auto"/>
              </w:rPr>
              <w:t>Olivier G. Thirot</w:t>
            </w:r>
          </w:p>
        </w:tc>
        <w:tc>
          <w:tcPr>
            <w:tcW w:w="1120" w:type="dxa"/>
            <w:vAlign w:val="bottom"/>
          </w:tcPr>
          <w:p>
            <w:pPr>
              <w:ind w:left="780"/>
              <w:spacing w:after="0"/>
              <w:rPr>
                <w:sz w:val="20"/>
                <w:szCs w:val="20"/>
                <w:color w:val="auto"/>
              </w:rPr>
            </w:pPr>
            <w:r>
              <w:rPr>
                <w:rFonts w:ascii="Arial" w:cs="Arial" w:eastAsia="Arial" w:hAnsi="Arial"/>
                <w:sz w:val="14"/>
                <w:szCs w:val="14"/>
                <w:color w:val="auto"/>
              </w:rPr>
              <w:t>2023</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667,200</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897,770</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533,093</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88,086</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2,186,148</w:t>
            </w:r>
          </w:p>
        </w:tc>
        <w:tc>
          <w:tcPr>
            <w:tcW w:w="0" w:type="dxa"/>
            <w:vAlign w:val="bottom"/>
          </w:tcPr>
          <w:p>
            <w:pPr>
              <w:spacing w:after="0"/>
              <w:rPr>
                <w:sz w:val="1"/>
                <w:szCs w:val="1"/>
                <w:color w:val="auto"/>
              </w:rPr>
            </w:pPr>
          </w:p>
        </w:tc>
      </w:tr>
      <w:tr>
        <w:trPr>
          <w:trHeight w:val="182"/>
        </w:trPr>
        <w:tc>
          <w:tcPr>
            <w:tcW w:w="2660" w:type="dxa"/>
            <w:vAlign w:val="bottom"/>
          </w:tcPr>
          <w:p>
            <w:pPr>
              <w:ind w:left="60"/>
              <w:spacing w:after="0"/>
              <w:rPr>
                <w:sz w:val="20"/>
                <w:szCs w:val="20"/>
                <w:color w:val="auto"/>
              </w:rPr>
            </w:pPr>
            <w:r>
              <w:rPr>
                <w:rFonts w:ascii="Arial" w:cs="Arial" w:eastAsia="Arial" w:hAnsi="Arial"/>
                <w:sz w:val="14"/>
                <w:szCs w:val="14"/>
                <w:color w:val="auto"/>
              </w:rPr>
              <w:t>Executive Vice President</w:t>
            </w:r>
          </w:p>
        </w:tc>
        <w:tc>
          <w:tcPr>
            <w:tcW w:w="1120" w:type="dxa"/>
            <w:vAlign w:val="bottom"/>
          </w:tcPr>
          <w:p>
            <w:pPr>
              <w:ind w:left="780"/>
              <w:spacing w:after="0"/>
              <w:rPr>
                <w:sz w:val="20"/>
                <w:szCs w:val="20"/>
                <w:color w:val="auto"/>
              </w:rPr>
            </w:pPr>
            <w:r>
              <w:rPr>
                <w:rFonts w:ascii="Arial" w:cs="Arial" w:eastAsia="Arial" w:hAnsi="Arial"/>
                <w:sz w:val="14"/>
                <w:szCs w:val="14"/>
                <w:color w:val="auto"/>
              </w:rPr>
              <w:t>2022</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620,583</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864,388</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443,300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76,181</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2,004,451</w:t>
            </w:r>
          </w:p>
        </w:tc>
        <w:tc>
          <w:tcPr>
            <w:tcW w:w="0" w:type="dxa"/>
            <w:vAlign w:val="bottom"/>
          </w:tcPr>
          <w:p>
            <w:pPr>
              <w:spacing w:after="0"/>
              <w:rPr>
                <w:sz w:val="1"/>
                <w:szCs w:val="1"/>
                <w:color w:val="auto"/>
              </w:rPr>
            </w:pPr>
          </w:p>
        </w:tc>
      </w:tr>
      <w:tr>
        <w:trPr>
          <w:trHeight w:val="184"/>
        </w:trPr>
        <w:tc>
          <w:tcPr>
            <w:tcW w:w="2660" w:type="dxa"/>
            <w:vAlign w:val="bottom"/>
          </w:tcPr>
          <w:p>
            <w:pPr>
              <w:ind w:left="60"/>
              <w:spacing w:after="0"/>
              <w:rPr>
                <w:sz w:val="20"/>
                <w:szCs w:val="20"/>
                <w:color w:val="auto"/>
              </w:rPr>
            </w:pPr>
            <w:r>
              <w:rPr>
                <w:rFonts w:ascii="Arial" w:cs="Arial" w:eastAsia="Arial" w:hAnsi="Arial"/>
                <w:sz w:val="14"/>
                <w:szCs w:val="14"/>
                <w:color w:val="auto"/>
              </w:rPr>
              <w:t>and Chief Financial Officer</w:t>
            </w:r>
          </w:p>
        </w:tc>
        <w:tc>
          <w:tcPr>
            <w:tcW w:w="1120" w:type="dxa"/>
            <w:vAlign w:val="bottom"/>
          </w:tcPr>
          <w:p>
            <w:pPr>
              <w:ind w:left="780"/>
              <w:spacing w:after="0"/>
              <w:rPr>
                <w:sz w:val="20"/>
                <w:szCs w:val="20"/>
                <w:color w:val="auto"/>
              </w:rPr>
            </w:pPr>
            <w:r>
              <w:rPr>
                <w:rFonts w:ascii="Arial" w:cs="Arial" w:eastAsia="Arial" w:hAnsi="Arial"/>
                <w:sz w:val="14"/>
                <w:szCs w:val="14"/>
                <w:color w:val="auto"/>
              </w:rPr>
              <w:t>2021</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588,000</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1,732,281</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180,000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45,225</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2,545,506</w:t>
            </w:r>
          </w:p>
        </w:tc>
        <w:tc>
          <w:tcPr>
            <w:tcW w:w="0" w:type="dxa"/>
            <w:vAlign w:val="bottom"/>
          </w:tcPr>
          <w:p>
            <w:pPr>
              <w:spacing w:after="0"/>
              <w:rPr>
                <w:sz w:val="1"/>
                <w:szCs w:val="1"/>
                <w:color w:val="auto"/>
              </w:rPr>
            </w:pPr>
          </w:p>
        </w:tc>
      </w:tr>
      <w:tr>
        <w:trPr>
          <w:trHeight w:val="47"/>
        </w:trPr>
        <w:tc>
          <w:tcPr>
            <w:tcW w:w="266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4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60" w:type="dxa"/>
            <w:vAlign w:val="bottom"/>
          </w:tcPr>
          <w:p>
            <w:pPr>
              <w:ind w:left="60"/>
              <w:spacing w:after="0"/>
              <w:rPr>
                <w:sz w:val="20"/>
                <w:szCs w:val="20"/>
                <w:color w:val="auto"/>
              </w:rPr>
            </w:pPr>
            <w:r>
              <w:rPr>
                <w:rFonts w:ascii="Arial" w:cs="Arial" w:eastAsia="Arial" w:hAnsi="Arial"/>
                <w:sz w:val="14"/>
                <w:szCs w:val="14"/>
                <w:color w:val="auto"/>
              </w:rPr>
              <w:t>Daniel H. Malan</w:t>
            </w:r>
          </w:p>
        </w:tc>
        <w:tc>
          <w:tcPr>
            <w:tcW w:w="1120" w:type="dxa"/>
            <w:vAlign w:val="bottom"/>
          </w:tcPr>
          <w:p>
            <w:pPr>
              <w:ind w:left="780"/>
              <w:spacing w:after="0"/>
              <w:rPr>
                <w:sz w:val="20"/>
                <w:szCs w:val="20"/>
                <w:color w:val="auto"/>
              </w:rPr>
            </w:pPr>
            <w:r>
              <w:rPr>
                <w:rFonts w:ascii="Arial" w:cs="Arial" w:eastAsia="Arial" w:hAnsi="Arial"/>
                <w:sz w:val="14"/>
                <w:szCs w:val="14"/>
                <w:color w:val="auto"/>
              </w:rPr>
              <w:t>2023</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443,000</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571,681</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244,000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1,258,681</w:t>
            </w:r>
          </w:p>
        </w:tc>
        <w:tc>
          <w:tcPr>
            <w:tcW w:w="0" w:type="dxa"/>
            <w:vAlign w:val="bottom"/>
          </w:tcPr>
          <w:p>
            <w:pPr>
              <w:spacing w:after="0"/>
              <w:rPr>
                <w:sz w:val="1"/>
                <w:szCs w:val="1"/>
                <w:color w:val="auto"/>
              </w:rPr>
            </w:pPr>
          </w:p>
        </w:tc>
      </w:tr>
      <w:tr>
        <w:trPr>
          <w:trHeight w:val="182"/>
        </w:trPr>
        <w:tc>
          <w:tcPr>
            <w:tcW w:w="2660" w:type="dxa"/>
            <w:vAlign w:val="bottom"/>
          </w:tcPr>
          <w:p>
            <w:pPr>
              <w:ind w:left="60"/>
              <w:spacing w:after="0"/>
              <w:rPr>
                <w:sz w:val="20"/>
                <w:szCs w:val="20"/>
                <w:color w:val="auto"/>
              </w:rPr>
            </w:pPr>
            <w:r>
              <w:rPr>
                <w:rFonts w:ascii="Arial" w:cs="Arial" w:eastAsia="Arial" w:hAnsi="Arial"/>
                <w:sz w:val="14"/>
                <w:szCs w:val="14"/>
                <w:color w:val="auto"/>
              </w:rPr>
              <w:t>Senior Vice President and</w:t>
            </w:r>
          </w:p>
        </w:tc>
        <w:tc>
          <w:tcPr>
            <w:tcW w:w="1120" w:type="dxa"/>
            <w:vAlign w:val="bottom"/>
          </w:tcPr>
          <w:p>
            <w:pPr>
              <w:ind w:left="780"/>
              <w:spacing w:after="0"/>
              <w:rPr>
                <w:sz w:val="20"/>
                <w:szCs w:val="20"/>
                <w:color w:val="auto"/>
              </w:rPr>
            </w:pPr>
            <w:r>
              <w:rPr>
                <w:rFonts w:ascii="Arial" w:cs="Arial" w:eastAsia="Arial" w:hAnsi="Arial"/>
                <w:sz w:val="14"/>
                <w:szCs w:val="14"/>
                <w:color w:val="auto"/>
              </w:rPr>
              <w:t>2022</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82"/>
        </w:trPr>
        <w:tc>
          <w:tcPr>
            <w:tcW w:w="2660" w:type="dxa"/>
            <w:vAlign w:val="bottom"/>
          </w:tcPr>
          <w:p>
            <w:pPr>
              <w:ind w:left="60"/>
              <w:spacing w:after="0"/>
              <w:rPr>
                <w:sz w:val="20"/>
                <w:szCs w:val="20"/>
                <w:color w:val="auto"/>
              </w:rPr>
            </w:pPr>
            <w:r>
              <w:rPr>
                <w:rFonts w:ascii="Arial" w:cs="Arial" w:eastAsia="Arial" w:hAnsi="Arial"/>
                <w:sz w:val="14"/>
                <w:szCs w:val="14"/>
                <w:color w:val="auto"/>
              </w:rPr>
              <w:t>President Science,</w:t>
            </w:r>
          </w:p>
        </w:tc>
        <w:tc>
          <w:tcPr>
            <w:tcW w:w="1120" w:type="dxa"/>
            <w:vAlign w:val="bottom"/>
          </w:tcPr>
          <w:p>
            <w:pPr>
              <w:ind w:left="780"/>
              <w:spacing w:after="0"/>
              <w:rPr>
                <w:sz w:val="20"/>
                <w:szCs w:val="20"/>
                <w:color w:val="auto"/>
              </w:rPr>
            </w:pPr>
            <w:r>
              <w:rPr>
                <w:rFonts w:ascii="Arial" w:cs="Arial" w:eastAsia="Arial" w:hAnsi="Arial"/>
                <w:sz w:val="14"/>
                <w:szCs w:val="14"/>
                <w:color w:val="auto"/>
              </w:rPr>
              <w:t>2021</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84"/>
        </w:trPr>
        <w:tc>
          <w:tcPr>
            <w:tcW w:w="2660" w:type="dxa"/>
            <w:vAlign w:val="bottom"/>
          </w:tcPr>
          <w:p>
            <w:pPr>
              <w:ind w:left="60"/>
              <w:spacing w:after="0"/>
              <w:rPr>
                <w:sz w:val="20"/>
                <w:szCs w:val="20"/>
                <w:color w:val="auto"/>
              </w:rPr>
            </w:pPr>
            <w:r>
              <w:rPr>
                <w:rFonts w:ascii="Arial" w:cs="Arial" w:eastAsia="Arial" w:hAnsi="Arial"/>
                <w:sz w:val="14"/>
                <w:szCs w:val="14"/>
                <w:color w:val="auto"/>
              </w:rPr>
              <w:t>Engineering, &amp; Technology</w:t>
            </w: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66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4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60" w:type="dxa"/>
            <w:vAlign w:val="bottom"/>
          </w:tcPr>
          <w:p>
            <w:pPr>
              <w:ind w:left="60"/>
              <w:spacing w:after="0"/>
              <w:rPr>
                <w:sz w:val="20"/>
                <w:szCs w:val="20"/>
                <w:color w:val="auto"/>
              </w:rPr>
            </w:pPr>
            <w:r>
              <w:rPr>
                <w:rFonts w:ascii="Arial" w:cs="Arial" w:eastAsia="Arial" w:hAnsi="Arial"/>
                <w:sz w:val="14"/>
                <w:szCs w:val="14"/>
                <w:color w:val="auto"/>
              </w:rPr>
              <w:t>Vanessa P. Williams</w:t>
            </w:r>
          </w:p>
        </w:tc>
        <w:tc>
          <w:tcPr>
            <w:tcW w:w="1120" w:type="dxa"/>
            <w:vAlign w:val="bottom"/>
          </w:tcPr>
          <w:p>
            <w:pPr>
              <w:ind w:left="780"/>
              <w:spacing w:after="0"/>
              <w:rPr>
                <w:sz w:val="20"/>
                <w:szCs w:val="20"/>
                <w:color w:val="auto"/>
              </w:rPr>
            </w:pPr>
            <w:r>
              <w:rPr>
                <w:rFonts w:ascii="Arial" w:cs="Arial" w:eastAsia="Arial" w:hAnsi="Arial"/>
                <w:sz w:val="14"/>
                <w:szCs w:val="14"/>
                <w:color w:val="auto"/>
              </w:rPr>
              <w:t>2023</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473,827</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400,835</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325,000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26,122</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1,225,784</w:t>
            </w:r>
          </w:p>
        </w:tc>
        <w:tc>
          <w:tcPr>
            <w:tcW w:w="0" w:type="dxa"/>
            <w:vAlign w:val="bottom"/>
          </w:tcPr>
          <w:p>
            <w:pPr>
              <w:spacing w:after="0"/>
              <w:rPr>
                <w:sz w:val="1"/>
                <w:szCs w:val="1"/>
                <w:color w:val="auto"/>
              </w:rPr>
            </w:pPr>
          </w:p>
        </w:tc>
      </w:tr>
      <w:tr>
        <w:trPr>
          <w:trHeight w:val="182"/>
        </w:trPr>
        <w:tc>
          <w:tcPr>
            <w:tcW w:w="2660" w:type="dxa"/>
            <w:vAlign w:val="bottom"/>
          </w:tcPr>
          <w:p>
            <w:pPr>
              <w:ind w:left="60"/>
              <w:spacing w:after="0"/>
              <w:rPr>
                <w:sz w:val="20"/>
                <w:szCs w:val="20"/>
                <w:color w:val="auto"/>
              </w:rPr>
            </w:pPr>
            <w:r>
              <w:rPr>
                <w:rFonts w:ascii="Arial" w:cs="Arial" w:eastAsia="Arial" w:hAnsi="Arial"/>
                <w:sz w:val="14"/>
                <w:szCs w:val="14"/>
                <w:color w:val="auto"/>
              </w:rPr>
              <w:t>Senior Vice President and</w:t>
            </w:r>
          </w:p>
        </w:tc>
        <w:tc>
          <w:tcPr>
            <w:tcW w:w="1120" w:type="dxa"/>
            <w:vAlign w:val="bottom"/>
          </w:tcPr>
          <w:p>
            <w:pPr>
              <w:ind w:left="780"/>
              <w:spacing w:after="0"/>
              <w:rPr>
                <w:sz w:val="20"/>
                <w:szCs w:val="20"/>
                <w:color w:val="auto"/>
              </w:rPr>
            </w:pPr>
            <w:r>
              <w:rPr>
                <w:rFonts w:ascii="Arial" w:cs="Arial" w:eastAsia="Arial" w:hAnsi="Arial"/>
                <w:sz w:val="14"/>
                <w:szCs w:val="14"/>
                <w:color w:val="auto"/>
              </w:rPr>
              <w:t>2022</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413,115</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405,706</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225,600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20,666</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1,065,088</w:t>
            </w:r>
          </w:p>
        </w:tc>
        <w:tc>
          <w:tcPr>
            <w:tcW w:w="0" w:type="dxa"/>
            <w:vAlign w:val="bottom"/>
          </w:tcPr>
          <w:p>
            <w:pPr>
              <w:spacing w:after="0"/>
              <w:rPr>
                <w:sz w:val="1"/>
                <w:szCs w:val="1"/>
                <w:color w:val="auto"/>
              </w:rPr>
            </w:pPr>
          </w:p>
        </w:tc>
      </w:tr>
      <w:tr>
        <w:trPr>
          <w:trHeight w:val="184"/>
        </w:trPr>
        <w:tc>
          <w:tcPr>
            <w:tcW w:w="2660" w:type="dxa"/>
            <w:vAlign w:val="bottom"/>
          </w:tcPr>
          <w:p>
            <w:pPr>
              <w:ind w:left="60"/>
              <w:spacing w:after="0"/>
              <w:rPr>
                <w:sz w:val="20"/>
                <w:szCs w:val="20"/>
                <w:color w:val="auto"/>
              </w:rPr>
            </w:pPr>
            <w:r>
              <w:rPr>
                <w:rFonts w:ascii="Arial" w:cs="Arial" w:eastAsia="Arial" w:hAnsi="Arial"/>
                <w:sz w:val="14"/>
                <w:szCs w:val="14"/>
                <w:color w:val="auto"/>
              </w:rPr>
              <w:t>General Counsel</w:t>
            </w:r>
          </w:p>
        </w:tc>
        <w:tc>
          <w:tcPr>
            <w:tcW w:w="1120" w:type="dxa"/>
            <w:vAlign w:val="bottom"/>
          </w:tcPr>
          <w:p>
            <w:pPr>
              <w:ind w:left="780"/>
              <w:spacing w:after="0"/>
              <w:rPr>
                <w:sz w:val="20"/>
                <w:szCs w:val="20"/>
                <w:color w:val="auto"/>
              </w:rPr>
            </w:pPr>
            <w:r>
              <w:rPr>
                <w:rFonts w:ascii="Arial" w:cs="Arial" w:eastAsia="Arial" w:hAnsi="Arial"/>
                <w:sz w:val="14"/>
                <w:szCs w:val="14"/>
                <w:color w:val="auto"/>
              </w:rPr>
              <w:t>2021</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68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47"/>
        </w:trPr>
        <w:tc>
          <w:tcPr>
            <w:tcW w:w="266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4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660" w:type="dxa"/>
            <w:vAlign w:val="bottom"/>
          </w:tcPr>
          <w:p>
            <w:pPr>
              <w:ind w:left="60"/>
              <w:spacing w:after="0"/>
              <w:rPr>
                <w:sz w:val="20"/>
                <w:szCs w:val="20"/>
                <w:color w:val="auto"/>
              </w:rPr>
            </w:pPr>
            <w:r>
              <w:rPr>
                <w:rFonts w:ascii="Arial" w:cs="Arial" w:eastAsia="Arial" w:hAnsi="Arial"/>
                <w:sz w:val="14"/>
                <w:szCs w:val="14"/>
                <w:color w:val="auto"/>
              </w:rPr>
              <w:t>Dinette Koolhaas</w:t>
            </w:r>
          </w:p>
        </w:tc>
        <w:tc>
          <w:tcPr>
            <w:tcW w:w="1120" w:type="dxa"/>
            <w:vAlign w:val="bottom"/>
          </w:tcPr>
          <w:p>
            <w:pPr>
              <w:ind w:left="780"/>
              <w:spacing w:after="0"/>
              <w:rPr>
                <w:sz w:val="20"/>
                <w:szCs w:val="20"/>
                <w:color w:val="auto"/>
              </w:rPr>
            </w:pPr>
            <w:r>
              <w:rPr>
                <w:rFonts w:ascii="Arial" w:cs="Arial" w:eastAsia="Arial" w:hAnsi="Arial"/>
                <w:sz w:val="14"/>
                <w:szCs w:val="14"/>
                <w:color w:val="auto"/>
              </w:rPr>
              <w:t>2023</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557,668</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350,178</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50,020</w:t>
            </w:r>
          </w:p>
        </w:tc>
        <w:tc>
          <w:tcPr>
            <w:tcW w:w="680" w:type="dxa"/>
            <w:vAlign w:val="bottom"/>
          </w:tcPr>
          <w:p>
            <w:pPr>
              <w:jc w:val="center"/>
              <w:spacing w:after="0"/>
              <w:rPr>
                <w:sz w:val="20"/>
                <w:szCs w:val="20"/>
                <w:color w:val="auto"/>
              </w:rPr>
            </w:pPr>
            <w:r>
              <w:rPr>
                <w:rFonts w:ascii="Arial" w:cs="Arial" w:eastAsia="Arial" w:hAnsi="Arial"/>
                <w:sz w:val="14"/>
                <w:szCs w:val="14"/>
                <w:color w:val="auto"/>
              </w:rPr>
              <w:t>957,866</w:t>
            </w:r>
          </w:p>
        </w:tc>
        <w:tc>
          <w:tcPr>
            <w:tcW w:w="0" w:type="dxa"/>
            <w:vAlign w:val="bottom"/>
          </w:tcPr>
          <w:p>
            <w:pPr>
              <w:spacing w:after="0"/>
              <w:rPr>
                <w:sz w:val="1"/>
                <w:szCs w:val="1"/>
                <w:color w:val="auto"/>
              </w:rPr>
            </w:pPr>
          </w:p>
        </w:tc>
      </w:tr>
      <w:tr>
        <w:trPr>
          <w:trHeight w:val="182"/>
        </w:trPr>
        <w:tc>
          <w:tcPr>
            <w:tcW w:w="2660" w:type="dxa"/>
            <w:vAlign w:val="bottom"/>
          </w:tcPr>
          <w:p>
            <w:pPr>
              <w:ind w:left="60"/>
              <w:spacing w:after="0"/>
              <w:rPr>
                <w:sz w:val="20"/>
                <w:szCs w:val="20"/>
                <w:color w:val="auto"/>
              </w:rPr>
            </w:pPr>
            <w:r>
              <w:rPr>
                <w:rFonts w:ascii="Arial" w:cs="Arial" w:eastAsia="Arial" w:hAnsi="Arial"/>
                <w:sz w:val="14"/>
                <w:szCs w:val="14"/>
                <w:color w:val="auto"/>
              </w:rPr>
              <w:t>Senior Vice President and</w:t>
            </w:r>
          </w:p>
        </w:tc>
        <w:tc>
          <w:tcPr>
            <w:tcW w:w="1120" w:type="dxa"/>
            <w:vAlign w:val="bottom"/>
          </w:tcPr>
          <w:p>
            <w:pPr>
              <w:ind w:left="780"/>
              <w:spacing w:after="0"/>
              <w:rPr>
                <w:sz w:val="20"/>
                <w:szCs w:val="20"/>
                <w:color w:val="auto"/>
              </w:rPr>
            </w:pPr>
            <w:r>
              <w:rPr>
                <w:rFonts w:ascii="Arial" w:cs="Arial" w:eastAsia="Arial" w:hAnsi="Arial"/>
                <w:sz w:val="14"/>
                <w:szCs w:val="14"/>
                <w:color w:val="auto"/>
              </w:rPr>
              <w:t>2022</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521,865</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368,498</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318,900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32,859</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1,242,122</w:t>
            </w:r>
          </w:p>
        </w:tc>
        <w:tc>
          <w:tcPr>
            <w:tcW w:w="0" w:type="dxa"/>
            <w:vAlign w:val="bottom"/>
          </w:tcPr>
          <w:p>
            <w:pPr>
              <w:spacing w:after="0"/>
              <w:rPr>
                <w:sz w:val="1"/>
                <w:szCs w:val="1"/>
                <w:color w:val="auto"/>
              </w:rPr>
            </w:pPr>
          </w:p>
        </w:tc>
      </w:tr>
      <w:tr>
        <w:trPr>
          <w:trHeight w:val="184"/>
        </w:trPr>
        <w:tc>
          <w:tcPr>
            <w:tcW w:w="2660" w:type="dxa"/>
            <w:vAlign w:val="bottom"/>
          </w:tcPr>
          <w:p>
            <w:pPr>
              <w:ind w:left="60"/>
              <w:spacing w:after="0"/>
              <w:rPr>
                <w:sz w:val="20"/>
                <w:szCs w:val="20"/>
                <w:color w:val="auto"/>
              </w:rPr>
            </w:pPr>
            <w:r>
              <w:rPr>
                <w:rFonts w:ascii="Arial" w:cs="Arial" w:eastAsia="Arial" w:hAnsi="Arial"/>
                <w:sz w:val="14"/>
                <w:szCs w:val="14"/>
                <w:color w:val="auto"/>
              </w:rPr>
              <w:t>President International</w:t>
            </w:r>
          </w:p>
        </w:tc>
        <w:tc>
          <w:tcPr>
            <w:tcW w:w="1120" w:type="dxa"/>
            <w:vAlign w:val="bottom"/>
          </w:tcPr>
          <w:p>
            <w:pPr>
              <w:ind w:left="780"/>
              <w:spacing w:after="0"/>
              <w:rPr>
                <w:sz w:val="20"/>
                <w:szCs w:val="20"/>
                <w:color w:val="auto"/>
              </w:rPr>
            </w:pPr>
            <w:r>
              <w:rPr>
                <w:rFonts w:ascii="Arial" w:cs="Arial" w:eastAsia="Arial" w:hAnsi="Arial"/>
                <w:sz w:val="14"/>
                <w:szCs w:val="14"/>
                <w:color w:val="auto"/>
              </w:rPr>
              <w:t>2021</w:t>
            </w:r>
          </w:p>
        </w:tc>
        <w:tc>
          <w:tcPr>
            <w:tcW w:w="620" w:type="dxa"/>
            <w:vAlign w:val="bottom"/>
          </w:tcPr>
          <w:p>
            <w:pPr>
              <w:jc w:val="center"/>
              <w:spacing w:after="0"/>
              <w:rPr>
                <w:sz w:val="20"/>
                <w:szCs w:val="20"/>
                <w:color w:val="auto"/>
              </w:rPr>
            </w:pPr>
            <w:r>
              <w:rPr>
                <w:rFonts w:ascii="Arial" w:cs="Arial" w:eastAsia="Arial" w:hAnsi="Arial"/>
                <w:sz w:val="14"/>
                <w:szCs w:val="14"/>
                <w:color w:val="auto"/>
                <w:w w:val="98"/>
              </w:rPr>
              <w:t>535,240</w:t>
            </w:r>
          </w:p>
        </w:tc>
        <w:tc>
          <w:tcPr>
            <w:tcW w:w="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505,786</w:t>
            </w:r>
          </w:p>
        </w:tc>
        <w:tc>
          <w:tcPr>
            <w:tcW w:w="6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198,000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rPr>
              <w:t>34,138</w:t>
            </w:r>
          </w:p>
        </w:tc>
        <w:tc>
          <w:tcPr>
            <w:tcW w:w="680" w:type="dxa"/>
            <w:vAlign w:val="bottom"/>
          </w:tcPr>
          <w:p>
            <w:pPr>
              <w:jc w:val="center"/>
              <w:spacing w:after="0"/>
              <w:rPr>
                <w:sz w:val="20"/>
                <w:szCs w:val="20"/>
                <w:color w:val="auto"/>
              </w:rPr>
            </w:pPr>
            <w:r>
              <w:rPr>
                <w:rFonts w:ascii="Arial" w:cs="Arial" w:eastAsia="Arial" w:hAnsi="Arial"/>
                <w:sz w:val="14"/>
                <w:szCs w:val="14"/>
                <w:color w:val="auto"/>
                <w:w w:val="96"/>
              </w:rPr>
              <w:t>1,273,163</w:t>
            </w:r>
          </w:p>
        </w:tc>
        <w:tc>
          <w:tcPr>
            <w:tcW w:w="0" w:type="dxa"/>
            <w:vAlign w:val="bottom"/>
          </w:tcPr>
          <w:p>
            <w:pPr>
              <w:spacing w:after="0"/>
              <w:rPr>
                <w:sz w:val="1"/>
                <w:szCs w:val="1"/>
                <w:color w:val="auto"/>
              </w:rPr>
            </w:pPr>
          </w:p>
        </w:tc>
      </w:tr>
      <w:tr>
        <w:trPr>
          <w:trHeight w:val="47"/>
        </w:trPr>
        <w:tc>
          <w:tcPr>
            <w:tcW w:w="266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4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04" w:hanging="304"/>
        <w:spacing w:after="0"/>
        <w:tabs>
          <w:tab w:leader="none" w:pos="304"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Represents 2023, 2022, and 2021 actual base salary earnings. Ms. Williams was not a named executive officer in 2021 and Mr. Malan was not a named executive officer in 2022 or 2021.</w:t>
      </w:r>
    </w:p>
    <w:p>
      <w:pPr>
        <w:spacing w:after="0" w:line="70" w:lineRule="exact"/>
        <w:rPr>
          <w:rFonts w:ascii="Arial" w:cs="Arial" w:eastAsia="Arial" w:hAnsi="Arial"/>
          <w:sz w:val="12"/>
          <w:szCs w:val="12"/>
          <w:color w:val="auto"/>
        </w:rPr>
      </w:pPr>
    </w:p>
    <w:p>
      <w:pPr>
        <w:ind w:left="304" w:right="20" w:hanging="304"/>
        <w:spacing w:after="0" w:line="239" w:lineRule="auto"/>
        <w:tabs>
          <w:tab w:leader="none" w:pos="304"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grant date fair values reported for 2023 are determined by multiplying the number of shares granted by the Market Value (“MV”) on the grant date. MV for Restricted Stock is determined by the closing price on the date of grant. MV for Performance Shares is determined by the closing stock price on the date of grant, discounted because these shares are not eligible for dividends. The MV for the Restricted Stock granted to Mr. Malan on February 14, 2023 is $17.93 and to all named officers on March 21, 2023 is $16.03. The MV for Performance Shares granted to all named officers on March 21, 2023 is $15.18.</w:t>
      </w:r>
    </w:p>
    <w:p>
      <w:pPr>
        <w:spacing w:after="0" w:line="48" w:lineRule="exact"/>
        <w:rPr>
          <w:rFonts w:ascii="Arial" w:cs="Arial" w:eastAsia="Arial" w:hAnsi="Arial"/>
          <w:sz w:val="12"/>
          <w:szCs w:val="12"/>
          <w:color w:val="auto"/>
        </w:rPr>
      </w:pPr>
    </w:p>
    <w:p>
      <w:pPr>
        <w:ind w:left="304" w:right="20" w:hanging="304"/>
        <w:spacing w:after="0" w:line="264" w:lineRule="auto"/>
        <w:tabs>
          <w:tab w:leader="none" w:pos="304"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maximum number of shares and award value for Performance Share awards for the 2023-2025 performance period is 200% of target shares granted. The table below shows the maximum number of shares and value for Performance Share awards based on achievement of financial measures using the values of $15.18 for shares granted March 21, 2023.</w:t>
      </w:r>
    </w:p>
    <w:p>
      <w:pPr>
        <w:spacing w:after="0" w:line="194" w:lineRule="exact"/>
        <w:rPr>
          <w:sz w:val="20"/>
          <w:szCs w:val="20"/>
          <w:color w:val="auto"/>
        </w:rPr>
      </w:pPr>
    </w:p>
    <w:tbl>
      <w:tblPr>
        <w:tblLayout w:type="fixed"/>
        <w:tblInd w:w="424"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160" w:type="dxa"/>
            <w:vAlign w:val="bottom"/>
          </w:tcPr>
          <w:p>
            <w:pPr>
              <w:jc w:val="right"/>
              <w:ind w:right="411"/>
              <w:spacing w:after="0"/>
              <w:rPr>
                <w:sz w:val="20"/>
                <w:szCs w:val="20"/>
                <w:color w:val="auto"/>
              </w:rPr>
            </w:pPr>
            <w:r>
              <w:rPr>
                <w:rFonts w:ascii="Arial" w:cs="Arial" w:eastAsia="Arial" w:hAnsi="Arial"/>
                <w:sz w:val="14"/>
                <w:szCs w:val="14"/>
                <w:b w:val="1"/>
                <w:bCs w:val="1"/>
                <w:color w:val="0A9E50"/>
              </w:rPr>
              <w:t>Maximum Number of</w:t>
            </w:r>
          </w:p>
        </w:tc>
        <w:tc>
          <w:tcPr>
            <w:tcW w:w="2340" w:type="dxa"/>
            <w:vAlign w:val="bottom"/>
          </w:tcPr>
          <w:p>
            <w:pPr>
              <w:jc w:val="right"/>
              <w:ind w:right="511"/>
              <w:spacing w:after="0"/>
              <w:rPr>
                <w:sz w:val="20"/>
                <w:szCs w:val="20"/>
                <w:color w:val="auto"/>
              </w:rPr>
            </w:pPr>
            <w:r>
              <w:rPr>
                <w:rFonts w:ascii="Arial" w:cs="Arial" w:eastAsia="Arial" w:hAnsi="Arial"/>
                <w:sz w:val="14"/>
                <w:szCs w:val="14"/>
                <w:b w:val="1"/>
                <w:bCs w:val="1"/>
                <w:color w:val="0A9E50"/>
              </w:rPr>
              <w:t>Maximum Value of</w:t>
            </w:r>
          </w:p>
        </w:tc>
      </w:tr>
      <w:tr>
        <w:trPr>
          <w:trHeight w:val="192"/>
        </w:trPr>
        <w:tc>
          <w:tcPr>
            <w:tcW w:w="3700" w:type="dxa"/>
            <w:vAlign w:val="bottom"/>
          </w:tcPr>
          <w:p>
            <w:pPr>
              <w:spacing w:after="0"/>
              <w:rPr>
                <w:sz w:val="20"/>
                <w:szCs w:val="20"/>
                <w:color w:val="auto"/>
              </w:rPr>
            </w:pPr>
            <w:r>
              <w:rPr>
                <w:rFonts w:ascii="Arial" w:cs="Arial" w:eastAsia="Arial" w:hAnsi="Arial"/>
                <w:sz w:val="14"/>
                <w:szCs w:val="14"/>
                <w:b w:val="1"/>
                <w:bCs w:val="1"/>
                <w:color w:val="0A9E50"/>
              </w:rPr>
              <w:t>Name</w:t>
            </w:r>
          </w:p>
        </w:tc>
        <w:tc>
          <w:tcPr>
            <w:tcW w:w="4160" w:type="dxa"/>
            <w:vAlign w:val="bottom"/>
          </w:tcPr>
          <w:p>
            <w:pPr>
              <w:jc w:val="right"/>
              <w:ind w:right="431"/>
              <w:spacing w:after="0"/>
              <w:rPr>
                <w:sz w:val="20"/>
                <w:szCs w:val="20"/>
                <w:color w:val="auto"/>
              </w:rPr>
            </w:pPr>
            <w:r>
              <w:rPr>
                <w:rFonts w:ascii="Arial" w:cs="Arial" w:eastAsia="Arial" w:hAnsi="Arial"/>
                <w:sz w:val="14"/>
                <w:szCs w:val="14"/>
                <w:b w:val="1"/>
                <w:bCs w:val="1"/>
                <w:color w:val="0A9E50"/>
              </w:rPr>
              <w:t>Performance Shares</w:t>
            </w:r>
          </w:p>
        </w:tc>
        <w:tc>
          <w:tcPr>
            <w:tcW w:w="2340" w:type="dxa"/>
            <w:vAlign w:val="bottom"/>
          </w:tcPr>
          <w:p>
            <w:pPr>
              <w:jc w:val="right"/>
              <w:ind w:right="451"/>
              <w:spacing w:after="0"/>
              <w:rPr>
                <w:sz w:val="20"/>
                <w:szCs w:val="20"/>
                <w:color w:val="auto"/>
              </w:rPr>
            </w:pPr>
            <w:r>
              <w:rPr>
                <w:rFonts w:ascii="Arial" w:cs="Arial" w:eastAsia="Arial" w:hAnsi="Arial"/>
                <w:sz w:val="14"/>
                <w:szCs w:val="14"/>
                <w:b w:val="1"/>
                <w:bCs w:val="1"/>
                <w:color w:val="0A9E50"/>
              </w:rPr>
              <w:t>Performance Shares</w:t>
            </w:r>
          </w:p>
        </w:tc>
      </w:tr>
      <w:tr>
        <w:trPr>
          <w:trHeight w:val="39"/>
        </w:trPr>
        <w:tc>
          <w:tcPr>
            <w:tcW w:w="3700" w:type="dxa"/>
            <w:vAlign w:val="bottom"/>
            <w:tcBorders>
              <w:bottom w:val="single" w:sz="8" w:color="auto"/>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r>
      <w:tr>
        <w:trPr>
          <w:trHeight w:val="227"/>
        </w:trPr>
        <w:tc>
          <w:tcPr>
            <w:tcW w:w="3700" w:type="dxa"/>
            <w:vAlign w:val="bottom"/>
          </w:tcPr>
          <w:p>
            <w:pPr>
              <w:ind w:left="80"/>
              <w:spacing w:after="0"/>
              <w:rPr>
                <w:sz w:val="20"/>
                <w:szCs w:val="20"/>
                <w:color w:val="auto"/>
              </w:rPr>
            </w:pPr>
            <w:r>
              <w:rPr>
                <w:rFonts w:ascii="Arial" w:cs="Arial" w:eastAsia="Arial" w:hAnsi="Arial"/>
                <w:sz w:val="14"/>
                <w:szCs w:val="14"/>
                <w:b w:val="1"/>
                <w:bCs w:val="1"/>
                <w:color w:val="auto"/>
              </w:rPr>
              <w:t>Peter W. Quigley</w:t>
            </w:r>
          </w:p>
        </w:tc>
        <w:tc>
          <w:tcPr>
            <w:tcW w:w="4160" w:type="dxa"/>
            <w:vAlign w:val="bottom"/>
          </w:tcPr>
          <w:p>
            <w:pPr>
              <w:jc w:val="right"/>
              <w:ind w:right="411"/>
              <w:spacing w:after="0"/>
              <w:rPr>
                <w:sz w:val="20"/>
                <w:szCs w:val="20"/>
                <w:color w:val="auto"/>
              </w:rPr>
            </w:pPr>
            <w:r>
              <w:rPr>
                <w:rFonts w:ascii="Arial" w:cs="Arial" w:eastAsia="Arial" w:hAnsi="Arial"/>
                <w:sz w:val="14"/>
                <w:szCs w:val="14"/>
                <w:color w:val="auto"/>
              </w:rPr>
              <w:t>210,544</w:t>
            </w:r>
          </w:p>
        </w:tc>
        <w:tc>
          <w:tcPr>
            <w:tcW w:w="2340" w:type="dxa"/>
            <w:vAlign w:val="bottom"/>
          </w:tcPr>
          <w:p>
            <w:pPr>
              <w:jc w:val="right"/>
              <w:ind w:right="451"/>
              <w:spacing w:after="0"/>
              <w:rPr>
                <w:sz w:val="20"/>
                <w:szCs w:val="20"/>
                <w:color w:val="auto"/>
              </w:rPr>
            </w:pPr>
            <w:r>
              <w:rPr>
                <w:rFonts w:ascii="Arial" w:cs="Arial" w:eastAsia="Arial" w:hAnsi="Arial"/>
                <w:sz w:val="14"/>
                <w:szCs w:val="14"/>
                <w:color w:val="auto"/>
              </w:rPr>
              <w:t>3,196,058</w:t>
            </w:r>
          </w:p>
        </w:tc>
      </w:tr>
      <w:tr>
        <w:trPr>
          <w:trHeight w:val="39"/>
        </w:trPr>
        <w:tc>
          <w:tcPr>
            <w:tcW w:w="370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c>
          <w:tcPr>
            <w:tcW w:w="2340" w:type="dxa"/>
            <w:vAlign w:val="bottom"/>
            <w:tcBorders>
              <w:bottom w:val="single" w:sz="8" w:color="7F7F7F"/>
            </w:tcBorders>
          </w:tcPr>
          <w:p>
            <w:pPr>
              <w:spacing w:after="0"/>
              <w:rPr>
                <w:sz w:val="3"/>
                <w:szCs w:val="3"/>
                <w:color w:val="auto"/>
              </w:rPr>
            </w:pPr>
          </w:p>
        </w:tc>
      </w:tr>
      <w:tr>
        <w:trPr>
          <w:trHeight w:val="227"/>
        </w:trPr>
        <w:tc>
          <w:tcPr>
            <w:tcW w:w="3700" w:type="dxa"/>
            <w:vAlign w:val="bottom"/>
          </w:tcPr>
          <w:p>
            <w:pPr>
              <w:ind w:left="80"/>
              <w:spacing w:after="0"/>
              <w:rPr>
                <w:sz w:val="20"/>
                <w:szCs w:val="20"/>
                <w:color w:val="auto"/>
              </w:rPr>
            </w:pPr>
            <w:r>
              <w:rPr>
                <w:rFonts w:ascii="Arial" w:cs="Arial" w:eastAsia="Arial" w:hAnsi="Arial"/>
                <w:sz w:val="14"/>
                <w:szCs w:val="14"/>
                <w:b w:val="1"/>
                <w:bCs w:val="1"/>
                <w:color w:val="auto"/>
              </w:rPr>
              <w:t>Olivier G. Thirot</w:t>
            </w:r>
          </w:p>
        </w:tc>
        <w:tc>
          <w:tcPr>
            <w:tcW w:w="4160" w:type="dxa"/>
            <w:vAlign w:val="bottom"/>
          </w:tcPr>
          <w:p>
            <w:pPr>
              <w:jc w:val="right"/>
              <w:ind w:right="411"/>
              <w:spacing w:after="0"/>
              <w:rPr>
                <w:sz w:val="20"/>
                <w:szCs w:val="20"/>
                <w:color w:val="auto"/>
              </w:rPr>
            </w:pPr>
            <w:r>
              <w:rPr>
                <w:rFonts w:ascii="Arial" w:cs="Arial" w:eastAsia="Arial" w:hAnsi="Arial"/>
                <w:sz w:val="14"/>
                <w:szCs w:val="14"/>
                <w:color w:val="auto"/>
              </w:rPr>
              <w:t>69,416</w:t>
            </w:r>
          </w:p>
        </w:tc>
        <w:tc>
          <w:tcPr>
            <w:tcW w:w="2340" w:type="dxa"/>
            <w:vAlign w:val="bottom"/>
          </w:tcPr>
          <w:p>
            <w:pPr>
              <w:jc w:val="right"/>
              <w:ind w:right="451"/>
              <w:spacing w:after="0"/>
              <w:rPr>
                <w:sz w:val="20"/>
                <w:szCs w:val="20"/>
                <w:color w:val="auto"/>
              </w:rPr>
            </w:pPr>
            <w:r>
              <w:rPr>
                <w:rFonts w:ascii="Arial" w:cs="Arial" w:eastAsia="Arial" w:hAnsi="Arial"/>
                <w:sz w:val="14"/>
                <w:szCs w:val="14"/>
                <w:color w:val="auto"/>
              </w:rPr>
              <w:t>1,053,735</w:t>
            </w:r>
          </w:p>
        </w:tc>
      </w:tr>
      <w:tr>
        <w:trPr>
          <w:trHeight w:val="39"/>
        </w:trPr>
        <w:tc>
          <w:tcPr>
            <w:tcW w:w="370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c>
          <w:tcPr>
            <w:tcW w:w="2340" w:type="dxa"/>
            <w:vAlign w:val="bottom"/>
            <w:tcBorders>
              <w:bottom w:val="single" w:sz="8" w:color="7F7F7F"/>
            </w:tcBorders>
          </w:tcPr>
          <w:p>
            <w:pPr>
              <w:spacing w:after="0"/>
              <w:rPr>
                <w:sz w:val="3"/>
                <w:szCs w:val="3"/>
                <w:color w:val="auto"/>
              </w:rPr>
            </w:pPr>
          </w:p>
        </w:tc>
      </w:tr>
      <w:tr>
        <w:trPr>
          <w:trHeight w:val="227"/>
        </w:trPr>
        <w:tc>
          <w:tcPr>
            <w:tcW w:w="3700" w:type="dxa"/>
            <w:vAlign w:val="bottom"/>
          </w:tcPr>
          <w:p>
            <w:pPr>
              <w:ind w:left="80"/>
              <w:spacing w:after="0"/>
              <w:rPr>
                <w:sz w:val="20"/>
                <w:szCs w:val="20"/>
                <w:color w:val="auto"/>
              </w:rPr>
            </w:pPr>
            <w:r>
              <w:rPr>
                <w:rFonts w:ascii="Arial" w:cs="Arial" w:eastAsia="Arial" w:hAnsi="Arial"/>
                <w:sz w:val="14"/>
                <w:szCs w:val="14"/>
                <w:b w:val="1"/>
                <w:bCs w:val="1"/>
                <w:color w:val="auto"/>
              </w:rPr>
              <w:t>Daniel H. Malan</w:t>
            </w:r>
          </w:p>
        </w:tc>
        <w:tc>
          <w:tcPr>
            <w:tcW w:w="4160" w:type="dxa"/>
            <w:vAlign w:val="bottom"/>
          </w:tcPr>
          <w:p>
            <w:pPr>
              <w:jc w:val="right"/>
              <w:ind w:right="411"/>
              <w:spacing w:after="0"/>
              <w:rPr>
                <w:sz w:val="20"/>
                <w:szCs w:val="20"/>
                <w:color w:val="auto"/>
              </w:rPr>
            </w:pPr>
            <w:r>
              <w:rPr>
                <w:rFonts w:ascii="Arial" w:cs="Arial" w:eastAsia="Arial" w:hAnsi="Arial"/>
                <w:sz w:val="14"/>
                <w:szCs w:val="14"/>
                <w:color w:val="auto"/>
              </w:rPr>
              <w:t>24,872</w:t>
            </w:r>
          </w:p>
        </w:tc>
        <w:tc>
          <w:tcPr>
            <w:tcW w:w="2340" w:type="dxa"/>
            <w:vAlign w:val="bottom"/>
          </w:tcPr>
          <w:p>
            <w:pPr>
              <w:jc w:val="right"/>
              <w:ind w:right="451"/>
              <w:spacing w:after="0"/>
              <w:rPr>
                <w:sz w:val="20"/>
                <w:szCs w:val="20"/>
                <w:color w:val="auto"/>
              </w:rPr>
            </w:pPr>
            <w:r>
              <w:rPr>
                <w:rFonts w:ascii="Arial" w:cs="Arial" w:eastAsia="Arial" w:hAnsi="Arial"/>
                <w:sz w:val="14"/>
                <w:szCs w:val="14"/>
                <w:color w:val="auto"/>
              </w:rPr>
              <w:t>377,557</w:t>
            </w:r>
          </w:p>
        </w:tc>
      </w:tr>
      <w:tr>
        <w:trPr>
          <w:trHeight w:val="39"/>
        </w:trPr>
        <w:tc>
          <w:tcPr>
            <w:tcW w:w="370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c>
          <w:tcPr>
            <w:tcW w:w="2340" w:type="dxa"/>
            <w:vAlign w:val="bottom"/>
            <w:tcBorders>
              <w:bottom w:val="single" w:sz="8" w:color="7F7F7F"/>
            </w:tcBorders>
          </w:tcPr>
          <w:p>
            <w:pPr>
              <w:spacing w:after="0"/>
              <w:rPr>
                <w:sz w:val="3"/>
                <w:szCs w:val="3"/>
                <w:color w:val="auto"/>
              </w:rPr>
            </w:pPr>
          </w:p>
        </w:tc>
      </w:tr>
      <w:tr>
        <w:trPr>
          <w:trHeight w:val="227"/>
        </w:trPr>
        <w:tc>
          <w:tcPr>
            <w:tcW w:w="3700" w:type="dxa"/>
            <w:vAlign w:val="bottom"/>
          </w:tcPr>
          <w:p>
            <w:pPr>
              <w:ind w:left="80"/>
              <w:spacing w:after="0"/>
              <w:rPr>
                <w:sz w:val="20"/>
                <w:szCs w:val="20"/>
                <w:color w:val="auto"/>
              </w:rPr>
            </w:pPr>
            <w:r>
              <w:rPr>
                <w:rFonts w:ascii="Arial" w:cs="Arial" w:eastAsia="Arial" w:hAnsi="Arial"/>
                <w:sz w:val="14"/>
                <w:szCs w:val="14"/>
                <w:b w:val="1"/>
                <w:bCs w:val="1"/>
                <w:color w:val="auto"/>
              </w:rPr>
              <w:t>Vanessa P. Williams</w:t>
            </w:r>
          </w:p>
        </w:tc>
        <w:tc>
          <w:tcPr>
            <w:tcW w:w="4160" w:type="dxa"/>
            <w:vAlign w:val="bottom"/>
          </w:tcPr>
          <w:p>
            <w:pPr>
              <w:jc w:val="right"/>
              <w:ind w:right="411"/>
              <w:spacing w:after="0"/>
              <w:rPr>
                <w:sz w:val="20"/>
                <w:szCs w:val="20"/>
                <w:color w:val="auto"/>
              </w:rPr>
            </w:pPr>
            <w:r>
              <w:rPr>
                <w:rFonts w:ascii="Arial" w:cs="Arial" w:eastAsia="Arial" w:hAnsi="Arial"/>
                <w:sz w:val="14"/>
                <w:szCs w:val="14"/>
                <w:color w:val="auto"/>
              </w:rPr>
              <w:t>30,992</w:t>
            </w:r>
          </w:p>
        </w:tc>
        <w:tc>
          <w:tcPr>
            <w:tcW w:w="2340" w:type="dxa"/>
            <w:vAlign w:val="bottom"/>
          </w:tcPr>
          <w:p>
            <w:pPr>
              <w:jc w:val="right"/>
              <w:ind w:right="451"/>
              <w:spacing w:after="0"/>
              <w:rPr>
                <w:sz w:val="20"/>
                <w:szCs w:val="20"/>
                <w:color w:val="auto"/>
              </w:rPr>
            </w:pPr>
            <w:r>
              <w:rPr>
                <w:rFonts w:ascii="Arial" w:cs="Arial" w:eastAsia="Arial" w:hAnsi="Arial"/>
                <w:sz w:val="14"/>
                <w:szCs w:val="14"/>
                <w:color w:val="auto"/>
              </w:rPr>
              <w:t>470,459</w:t>
            </w:r>
          </w:p>
        </w:tc>
      </w:tr>
      <w:tr>
        <w:trPr>
          <w:trHeight w:val="39"/>
        </w:trPr>
        <w:tc>
          <w:tcPr>
            <w:tcW w:w="370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c>
          <w:tcPr>
            <w:tcW w:w="2340" w:type="dxa"/>
            <w:vAlign w:val="bottom"/>
            <w:tcBorders>
              <w:bottom w:val="single" w:sz="8" w:color="7F7F7F"/>
            </w:tcBorders>
          </w:tcPr>
          <w:p>
            <w:pPr>
              <w:spacing w:after="0"/>
              <w:rPr>
                <w:sz w:val="3"/>
                <w:szCs w:val="3"/>
                <w:color w:val="auto"/>
              </w:rPr>
            </w:pPr>
          </w:p>
        </w:tc>
      </w:tr>
      <w:tr>
        <w:trPr>
          <w:trHeight w:val="227"/>
        </w:trPr>
        <w:tc>
          <w:tcPr>
            <w:tcW w:w="3700" w:type="dxa"/>
            <w:vAlign w:val="bottom"/>
          </w:tcPr>
          <w:p>
            <w:pPr>
              <w:ind w:left="80"/>
              <w:spacing w:after="0"/>
              <w:rPr>
                <w:sz w:val="20"/>
                <w:szCs w:val="20"/>
                <w:color w:val="auto"/>
              </w:rPr>
            </w:pPr>
            <w:r>
              <w:rPr>
                <w:rFonts w:ascii="Arial" w:cs="Arial" w:eastAsia="Arial" w:hAnsi="Arial"/>
                <w:sz w:val="14"/>
                <w:szCs w:val="14"/>
                <w:b w:val="1"/>
                <w:bCs w:val="1"/>
                <w:color w:val="auto"/>
              </w:rPr>
              <w:t>Dinette Koolhaas</w:t>
            </w:r>
          </w:p>
        </w:tc>
        <w:tc>
          <w:tcPr>
            <w:tcW w:w="4160" w:type="dxa"/>
            <w:vAlign w:val="bottom"/>
          </w:tcPr>
          <w:p>
            <w:pPr>
              <w:jc w:val="right"/>
              <w:ind w:right="411"/>
              <w:spacing w:after="0"/>
              <w:rPr>
                <w:sz w:val="20"/>
                <w:szCs w:val="20"/>
                <w:color w:val="auto"/>
              </w:rPr>
            </w:pPr>
            <w:r>
              <w:rPr>
                <w:rFonts w:ascii="Arial" w:cs="Arial" w:eastAsia="Arial" w:hAnsi="Arial"/>
                <w:sz w:val="14"/>
                <w:szCs w:val="14"/>
                <w:color w:val="auto"/>
              </w:rPr>
              <w:t>27,076</w:t>
            </w:r>
          </w:p>
        </w:tc>
        <w:tc>
          <w:tcPr>
            <w:tcW w:w="2340" w:type="dxa"/>
            <w:vAlign w:val="bottom"/>
          </w:tcPr>
          <w:p>
            <w:pPr>
              <w:jc w:val="right"/>
              <w:ind w:right="451"/>
              <w:spacing w:after="0"/>
              <w:rPr>
                <w:sz w:val="20"/>
                <w:szCs w:val="20"/>
                <w:color w:val="auto"/>
              </w:rPr>
            </w:pPr>
            <w:r>
              <w:rPr>
                <w:rFonts w:ascii="Arial" w:cs="Arial" w:eastAsia="Arial" w:hAnsi="Arial"/>
                <w:sz w:val="14"/>
                <w:szCs w:val="14"/>
                <w:color w:val="auto"/>
              </w:rPr>
              <w:t>411,014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24765</wp:posOffset>
            </wp:positionV>
            <wp:extent cx="646811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468110" cy="8255"/>
                    </a:xfrm>
                    <a:prstGeom prst="rect">
                      <a:avLst/>
                    </a:prstGeom>
                    <a:noFill/>
                  </pic:spPr>
                </pic:pic>
              </a:graphicData>
            </a:graphic>
          </wp:anchor>
        </w:drawing>
      </w:r>
    </w:p>
    <w:p>
      <w:pPr>
        <w:spacing w:after="0" w:line="92" w:lineRule="exact"/>
        <w:rPr>
          <w:sz w:val="20"/>
          <w:szCs w:val="20"/>
          <w:color w:val="auto"/>
        </w:rPr>
      </w:pPr>
    </w:p>
    <w:p>
      <w:pPr>
        <w:ind w:left="304" w:right="100" w:hanging="304"/>
        <w:spacing w:after="0" w:line="245" w:lineRule="auto"/>
        <w:tabs>
          <w:tab w:leader="none" w:pos="304" w:val="left"/>
        </w:tabs>
        <w:numPr>
          <w:ilvl w:val="0"/>
          <w:numId w:val="40"/>
        </w:numPr>
        <w:rPr>
          <w:rFonts w:ascii="Arial" w:cs="Arial" w:eastAsia="Arial" w:hAnsi="Arial"/>
          <w:sz w:val="12"/>
          <w:szCs w:val="12"/>
          <w:color w:val="auto"/>
        </w:rPr>
      </w:pPr>
      <w:r>
        <w:rPr>
          <w:rFonts w:ascii="Arial" w:cs="Arial" w:eastAsia="Arial" w:hAnsi="Arial"/>
          <w:sz w:val="12"/>
          <w:szCs w:val="12"/>
          <w:color w:val="auto"/>
        </w:rPr>
        <w:t>Amounts for named executive officers include company matching contributions to the Management Retirement Plan (“MRP”), and Medicare tax gross-ups on those MRP contributions. (See table below.) The total value of perquisites provided to each named executive officer (other than Mr. Thirot and further below, Ms. Koolhaas) in 2023 was less than $10,000 and, in accordance with reporting regulations, were not required to be included in this table.</w:t>
      </w:r>
    </w:p>
    <w:p>
      <w:pPr>
        <w:spacing w:after="0" w:line="205" w:lineRule="exact"/>
        <w:rPr>
          <w:sz w:val="20"/>
          <w:szCs w:val="20"/>
          <w:color w:val="auto"/>
        </w:rPr>
      </w:pPr>
    </w:p>
    <w:tbl>
      <w:tblPr>
        <w:tblLayout w:type="fixed"/>
        <w:tblInd w:w="424"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760" w:type="dxa"/>
            <w:vAlign w:val="bottom"/>
          </w:tcPr>
          <w:p>
            <w:pPr>
              <w:jc w:val="right"/>
              <w:ind w:right="371"/>
              <w:spacing w:after="0"/>
              <w:rPr>
                <w:sz w:val="20"/>
                <w:szCs w:val="20"/>
                <w:color w:val="auto"/>
              </w:rPr>
            </w:pPr>
            <w:r>
              <w:rPr>
                <w:rFonts w:ascii="Arial" w:cs="Arial" w:eastAsia="Arial" w:hAnsi="Arial"/>
                <w:sz w:val="14"/>
                <w:szCs w:val="14"/>
                <w:b w:val="1"/>
                <w:bCs w:val="1"/>
                <w:color w:val="0A9E50"/>
              </w:rPr>
              <w:t>Company</w:t>
            </w:r>
          </w:p>
        </w:tc>
        <w:tc>
          <w:tcPr>
            <w:tcW w:w="1260" w:type="dxa"/>
            <w:vAlign w:val="bottom"/>
          </w:tcPr>
          <w:p>
            <w:pPr>
              <w:jc w:val="right"/>
              <w:ind w:right="406"/>
              <w:spacing w:after="0"/>
              <w:rPr>
                <w:sz w:val="20"/>
                <w:szCs w:val="20"/>
                <w:color w:val="auto"/>
              </w:rPr>
            </w:pPr>
            <w:r>
              <w:rPr>
                <w:rFonts w:ascii="Arial" w:cs="Arial" w:eastAsia="Arial" w:hAnsi="Arial"/>
                <w:sz w:val="14"/>
                <w:szCs w:val="14"/>
                <w:b w:val="1"/>
                <w:bCs w:val="1"/>
                <w:color w:val="0A9E50"/>
              </w:rPr>
              <w:t>MRP</w:t>
            </w:r>
          </w:p>
        </w:tc>
        <w:tc>
          <w:tcPr>
            <w:tcW w:w="480" w:type="dxa"/>
            <w:vAlign w:val="bottom"/>
          </w:tcPr>
          <w:p>
            <w:pPr>
              <w:spacing w:after="0"/>
              <w:rPr>
                <w:sz w:val="14"/>
                <w:szCs w:val="14"/>
                <w:color w:val="auto"/>
              </w:rPr>
            </w:pPr>
          </w:p>
        </w:tc>
        <w:tc>
          <w:tcPr>
            <w:tcW w:w="82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0A9E50"/>
                <w:w w:val="97"/>
              </w:rPr>
              <w:t>Total All</w:t>
            </w: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3760" w:type="dxa"/>
            <w:vAlign w:val="bottom"/>
          </w:tcPr>
          <w:p>
            <w:pPr>
              <w:jc w:val="right"/>
              <w:ind w:right="211"/>
              <w:spacing w:after="0" w:line="156" w:lineRule="exact"/>
              <w:rPr>
                <w:sz w:val="20"/>
                <w:szCs w:val="20"/>
                <w:color w:val="auto"/>
              </w:rPr>
            </w:pPr>
            <w:r>
              <w:rPr>
                <w:rFonts w:ascii="Arial" w:cs="Arial" w:eastAsia="Arial" w:hAnsi="Arial"/>
                <w:sz w:val="14"/>
                <w:szCs w:val="14"/>
                <w:b w:val="1"/>
                <w:bCs w:val="1"/>
                <w:color w:val="0A9E50"/>
              </w:rPr>
              <w:t>Matching MRP</w:t>
            </w:r>
          </w:p>
        </w:tc>
        <w:tc>
          <w:tcPr>
            <w:tcW w:w="1260" w:type="dxa"/>
            <w:vAlign w:val="bottom"/>
          </w:tcPr>
          <w:p>
            <w:pPr>
              <w:jc w:val="right"/>
              <w:ind w:right="266"/>
              <w:spacing w:after="0" w:line="156" w:lineRule="exact"/>
              <w:rPr>
                <w:sz w:val="20"/>
                <w:szCs w:val="20"/>
                <w:color w:val="auto"/>
              </w:rPr>
            </w:pPr>
            <w:r>
              <w:rPr>
                <w:rFonts w:ascii="Arial" w:cs="Arial" w:eastAsia="Arial" w:hAnsi="Arial"/>
                <w:sz w:val="14"/>
                <w:szCs w:val="14"/>
                <w:b w:val="1"/>
                <w:bCs w:val="1"/>
                <w:color w:val="0A9E50"/>
              </w:rPr>
              <w:t>Medicare</w:t>
            </w:r>
          </w:p>
        </w:tc>
        <w:tc>
          <w:tcPr>
            <w:tcW w:w="480" w:type="dxa"/>
            <w:vAlign w:val="bottom"/>
          </w:tcPr>
          <w:p>
            <w:pPr>
              <w:spacing w:after="0"/>
              <w:rPr>
                <w:sz w:val="13"/>
                <w:szCs w:val="13"/>
                <w:color w:val="auto"/>
              </w:rPr>
            </w:pPr>
          </w:p>
        </w:tc>
        <w:tc>
          <w:tcPr>
            <w:tcW w:w="820" w:type="dxa"/>
            <w:vAlign w:val="bottom"/>
            <w:gridSpan w:val="2"/>
          </w:tcPr>
          <w:p>
            <w:pPr>
              <w:jc w:val="right"/>
              <w:ind w:right="273"/>
              <w:spacing w:after="0" w:line="156" w:lineRule="exact"/>
              <w:rPr>
                <w:sz w:val="20"/>
                <w:szCs w:val="20"/>
                <w:color w:val="auto"/>
              </w:rPr>
            </w:pPr>
            <w:r>
              <w:rPr>
                <w:rFonts w:ascii="Arial" w:cs="Arial" w:eastAsia="Arial" w:hAnsi="Arial"/>
                <w:sz w:val="14"/>
                <w:szCs w:val="14"/>
                <w:b w:val="1"/>
                <w:bCs w:val="1"/>
                <w:color w:val="0A9E50"/>
              </w:rPr>
              <w:t>Other</w:t>
            </w:r>
          </w:p>
        </w:tc>
        <w:tc>
          <w:tcPr>
            <w:tcW w:w="0" w:type="dxa"/>
            <w:vAlign w:val="bottom"/>
          </w:tcPr>
          <w:p>
            <w:pPr>
              <w:spacing w:after="0"/>
              <w:rPr>
                <w:sz w:val="1"/>
                <w:szCs w:val="1"/>
                <w:color w:val="auto"/>
              </w:rPr>
            </w:pPr>
          </w:p>
        </w:tc>
      </w:tr>
      <w:tr>
        <w:trPr>
          <w:trHeight w:val="166"/>
        </w:trPr>
        <w:tc>
          <w:tcPr>
            <w:tcW w:w="3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9E50"/>
              </w:rPr>
              <w:t>Name</w:t>
            </w:r>
          </w:p>
        </w:tc>
        <w:tc>
          <w:tcPr>
            <w:tcW w:w="3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0A9E50"/>
              </w:rPr>
              <w:t>Contributions</w:t>
            </w:r>
          </w:p>
        </w:tc>
        <w:tc>
          <w:tcPr>
            <w:tcW w:w="126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0A9E50"/>
              </w:rPr>
              <w:t>Gross-ups</w:t>
            </w: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0A9E50"/>
              </w:rPr>
              <w:t>Compensation</w:t>
            </w:r>
          </w:p>
        </w:tc>
        <w:tc>
          <w:tcPr>
            <w:tcW w:w="0" w:type="dxa"/>
            <w:vAlign w:val="bottom"/>
          </w:tcPr>
          <w:p>
            <w:pPr>
              <w:spacing w:after="0"/>
              <w:rPr>
                <w:sz w:val="1"/>
                <w:szCs w:val="1"/>
                <w:color w:val="auto"/>
              </w:rPr>
            </w:pPr>
          </w:p>
        </w:tc>
      </w:tr>
      <w:tr>
        <w:trPr>
          <w:trHeight w:val="227"/>
        </w:trPr>
        <w:tc>
          <w:tcPr>
            <w:tcW w:w="3880" w:type="dxa"/>
            <w:vAlign w:val="bottom"/>
          </w:tcPr>
          <w:p>
            <w:pPr>
              <w:ind w:left="80"/>
              <w:spacing w:after="0"/>
              <w:rPr>
                <w:sz w:val="20"/>
                <w:szCs w:val="20"/>
                <w:color w:val="auto"/>
              </w:rPr>
            </w:pPr>
            <w:r>
              <w:rPr>
                <w:rFonts w:ascii="Arial" w:cs="Arial" w:eastAsia="Arial" w:hAnsi="Arial"/>
                <w:sz w:val="14"/>
                <w:szCs w:val="14"/>
                <w:b w:val="1"/>
                <w:bCs w:val="1"/>
                <w:color w:val="auto"/>
              </w:rPr>
              <w:t>Peter W Quigley</w:t>
            </w:r>
          </w:p>
        </w:tc>
        <w:tc>
          <w:tcPr>
            <w:tcW w:w="3760" w:type="dxa"/>
            <w:vAlign w:val="bottom"/>
          </w:tcPr>
          <w:p>
            <w:pPr>
              <w:jc w:val="right"/>
              <w:ind w:right="211"/>
              <w:spacing w:after="0"/>
              <w:rPr>
                <w:sz w:val="20"/>
                <w:szCs w:val="20"/>
                <w:color w:val="auto"/>
              </w:rPr>
            </w:pPr>
            <w:r>
              <w:rPr>
                <w:rFonts w:ascii="Arial" w:cs="Arial" w:eastAsia="Arial" w:hAnsi="Arial"/>
                <w:sz w:val="14"/>
                <w:szCs w:val="14"/>
                <w:color w:val="auto"/>
              </w:rPr>
              <w:t>83,899</w:t>
            </w:r>
          </w:p>
        </w:tc>
        <w:tc>
          <w:tcPr>
            <w:tcW w:w="1260" w:type="dxa"/>
            <w:vAlign w:val="bottom"/>
          </w:tcPr>
          <w:p>
            <w:pPr>
              <w:jc w:val="right"/>
              <w:ind w:right="206"/>
              <w:spacing w:after="0"/>
              <w:rPr>
                <w:sz w:val="20"/>
                <w:szCs w:val="20"/>
                <w:color w:val="auto"/>
              </w:rPr>
            </w:pPr>
            <w:r>
              <w:rPr>
                <w:rFonts w:ascii="Arial" w:cs="Arial" w:eastAsia="Arial" w:hAnsi="Arial"/>
                <w:sz w:val="14"/>
                <w:szCs w:val="14"/>
                <w:color w:val="auto"/>
              </w:rPr>
              <w:t>3,803</w:t>
            </w:r>
          </w:p>
        </w:tc>
        <w:tc>
          <w:tcPr>
            <w:tcW w:w="4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87,702</w:t>
            </w:r>
          </w:p>
        </w:tc>
        <w:tc>
          <w:tcPr>
            <w:tcW w:w="0" w:type="dxa"/>
            <w:vAlign w:val="bottom"/>
          </w:tcPr>
          <w:p>
            <w:pPr>
              <w:spacing w:after="0"/>
              <w:rPr>
                <w:sz w:val="1"/>
                <w:szCs w:val="1"/>
                <w:color w:val="auto"/>
              </w:rPr>
            </w:pPr>
          </w:p>
        </w:tc>
      </w:tr>
      <w:tr>
        <w:trPr>
          <w:trHeight w:val="39"/>
        </w:trPr>
        <w:tc>
          <w:tcPr>
            <w:tcW w:w="3880" w:type="dxa"/>
            <w:vAlign w:val="bottom"/>
            <w:tcBorders>
              <w:bottom w:val="single" w:sz="8" w:color="7F7F7F"/>
            </w:tcBorders>
          </w:tcPr>
          <w:p>
            <w:pPr>
              <w:spacing w:after="0"/>
              <w:rPr>
                <w:sz w:val="3"/>
                <w:szCs w:val="3"/>
                <w:color w:val="auto"/>
              </w:rPr>
            </w:pPr>
          </w:p>
        </w:tc>
        <w:tc>
          <w:tcPr>
            <w:tcW w:w="376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48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880" w:type="dxa"/>
            <w:vAlign w:val="bottom"/>
          </w:tcPr>
          <w:p>
            <w:pPr>
              <w:ind w:left="80"/>
              <w:spacing w:after="0"/>
              <w:rPr>
                <w:sz w:val="20"/>
                <w:szCs w:val="20"/>
                <w:color w:val="auto"/>
              </w:rPr>
            </w:pPr>
            <w:r>
              <w:rPr>
                <w:rFonts w:ascii="Arial" w:cs="Arial" w:eastAsia="Arial" w:hAnsi="Arial"/>
                <w:sz w:val="14"/>
                <w:szCs w:val="14"/>
                <w:b w:val="1"/>
                <w:bCs w:val="1"/>
                <w:color w:val="auto"/>
              </w:rPr>
              <w:t>Daniel H. Malan</w:t>
            </w:r>
          </w:p>
        </w:tc>
        <w:tc>
          <w:tcPr>
            <w:tcW w:w="3760" w:type="dxa"/>
            <w:vAlign w:val="bottom"/>
          </w:tcPr>
          <w:p>
            <w:pPr>
              <w:jc w:val="right"/>
              <w:ind w:right="591"/>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66"/>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37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3880" w:type="dxa"/>
            <w:vAlign w:val="bottom"/>
            <w:tcBorders>
              <w:bottom w:val="single" w:sz="8" w:color="7F7F7F"/>
            </w:tcBorders>
          </w:tcPr>
          <w:p>
            <w:pPr>
              <w:spacing w:after="0"/>
              <w:rPr>
                <w:sz w:val="3"/>
                <w:szCs w:val="3"/>
                <w:color w:val="auto"/>
              </w:rPr>
            </w:pPr>
          </w:p>
        </w:tc>
        <w:tc>
          <w:tcPr>
            <w:tcW w:w="376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48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880" w:type="dxa"/>
            <w:vAlign w:val="bottom"/>
          </w:tcPr>
          <w:p>
            <w:pPr>
              <w:ind w:left="80"/>
              <w:spacing w:after="0"/>
              <w:rPr>
                <w:sz w:val="20"/>
                <w:szCs w:val="20"/>
                <w:color w:val="auto"/>
              </w:rPr>
            </w:pPr>
            <w:r>
              <w:rPr>
                <w:rFonts w:ascii="Arial" w:cs="Arial" w:eastAsia="Arial" w:hAnsi="Arial"/>
                <w:sz w:val="14"/>
                <w:szCs w:val="14"/>
                <w:b w:val="1"/>
                <w:bCs w:val="1"/>
                <w:color w:val="auto"/>
              </w:rPr>
              <w:t>Vanessa P. Williams</w:t>
            </w:r>
          </w:p>
        </w:tc>
        <w:tc>
          <w:tcPr>
            <w:tcW w:w="3760" w:type="dxa"/>
            <w:vAlign w:val="bottom"/>
          </w:tcPr>
          <w:p>
            <w:pPr>
              <w:jc w:val="right"/>
              <w:ind w:right="211"/>
              <w:spacing w:after="0"/>
              <w:rPr>
                <w:sz w:val="20"/>
                <w:szCs w:val="20"/>
                <w:color w:val="auto"/>
              </w:rPr>
            </w:pPr>
            <w:r>
              <w:rPr>
                <w:rFonts w:ascii="Arial" w:cs="Arial" w:eastAsia="Arial" w:hAnsi="Arial"/>
                <w:sz w:val="14"/>
                <w:szCs w:val="14"/>
                <w:color w:val="auto"/>
              </w:rPr>
              <w:t>23,691</w:t>
            </w:r>
          </w:p>
        </w:tc>
        <w:tc>
          <w:tcPr>
            <w:tcW w:w="1260" w:type="dxa"/>
            <w:vAlign w:val="bottom"/>
          </w:tcPr>
          <w:p>
            <w:pPr>
              <w:jc w:val="right"/>
              <w:ind w:right="206"/>
              <w:spacing w:after="0"/>
              <w:rPr>
                <w:sz w:val="20"/>
                <w:szCs w:val="20"/>
                <w:color w:val="auto"/>
              </w:rPr>
            </w:pPr>
            <w:r>
              <w:rPr>
                <w:rFonts w:ascii="Arial" w:cs="Arial" w:eastAsia="Arial" w:hAnsi="Arial"/>
                <w:sz w:val="14"/>
                <w:szCs w:val="14"/>
                <w:color w:val="auto"/>
              </w:rPr>
              <w:t>2,431</w:t>
            </w:r>
          </w:p>
        </w:tc>
        <w:tc>
          <w:tcPr>
            <w:tcW w:w="4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26,122</w:t>
            </w:r>
          </w:p>
        </w:tc>
        <w:tc>
          <w:tcPr>
            <w:tcW w:w="0" w:type="dxa"/>
            <w:vAlign w:val="bottom"/>
          </w:tcPr>
          <w:p>
            <w:pPr>
              <w:spacing w:after="0"/>
              <w:rPr>
                <w:sz w:val="1"/>
                <w:szCs w:val="1"/>
                <w:color w:val="auto"/>
              </w:rPr>
            </w:pPr>
          </w:p>
        </w:tc>
      </w:tr>
      <w:tr>
        <w:trPr>
          <w:trHeight w:val="39"/>
        </w:trPr>
        <w:tc>
          <w:tcPr>
            <w:tcW w:w="3880" w:type="dxa"/>
            <w:vAlign w:val="bottom"/>
            <w:tcBorders>
              <w:bottom w:val="single" w:sz="8" w:color="7F7F7F"/>
            </w:tcBorders>
          </w:tcPr>
          <w:p>
            <w:pPr>
              <w:spacing w:after="0"/>
              <w:rPr>
                <w:sz w:val="3"/>
                <w:szCs w:val="3"/>
                <w:color w:val="auto"/>
              </w:rPr>
            </w:pPr>
          </w:p>
        </w:tc>
        <w:tc>
          <w:tcPr>
            <w:tcW w:w="376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48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60" w:type="dxa"/>
            <w:vAlign w:val="bottom"/>
            <w:vMerge w:val="restart"/>
          </w:tcPr>
          <w:p>
            <w:pPr>
              <w:jc w:val="right"/>
              <w:ind w:right="406"/>
              <w:spacing w:after="0"/>
              <w:rPr>
                <w:sz w:val="20"/>
                <w:szCs w:val="20"/>
                <w:color w:val="auto"/>
              </w:rPr>
            </w:pPr>
            <w:r>
              <w:rPr>
                <w:rFonts w:ascii="Arial" w:cs="Arial" w:eastAsia="Arial" w:hAnsi="Arial"/>
                <w:sz w:val="21"/>
                <w:szCs w:val="21"/>
                <w:color w:val="auto"/>
              </w:rPr>
              <w:t> </w:t>
            </w:r>
          </w:p>
        </w:tc>
        <w:tc>
          <w:tcPr>
            <w:tcW w:w="480" w:type="dxa"/>
            <w:vAlign w:val="bottom"/>
            <w:vMerge w:val="restart"/>
          </w:tcPr>
          <w:p>
            <w:pPr>
              <w:ind w:left="340"/>
              <w:spacing w:after="0"/>
              <w:rPr>
                <w:sz w:val="20"/>
                <w:szCs w:val="20"/>
                <w:color w:val="auto"/>
              </w:rPr>
            </w:pPr>
            <w:r>
              <w:rPr>
                <w:rFonts w:ascii="Arial" w:cs="Arial" w:eastAsia="Arial" w:hAnsi="Arial"/>
                <w:sz w:val="12"/>
                <w:szCs w:val="12"/>
                <w:color w:val="auto"/>
                <w:w w:val="77"/>
              </w:rPr>
              <w:t xml:space="preserve">  </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21"/>
                <w:szCs w:val="21"/>
                <w:color w:val="auto"/>
                <w:w w:val="90"/>
              </w:rPr>
              <w:t>    65</w:t>
            </w:r>
          </w:p>
        </w:tc>
        <w:tc>
          <w:tcPr>
            <w:tcW w:w="0" w:type="dxa"/>
            <w:vAlign w:val="bottom"/>
          </w:tcPr>
          <w:p>
            <w:pPr>
              <w:spacing w:after="0"/>
              <w:rPr>
                <w:sz w:val="1"/>
                <w:szCs w:val="1"/>
                <w:color w:val="auto"/>
              </w:rPr>
            </w:pPr>
          </w:p>
        </w:tc>
      </w:tr>
      <w:tr>
        <w:trPr>
          <w:trHeight w:val="248"/>
        </w:trPr>
        <w:tc>
          <w:tcPr>
            <w:tcW w:w="38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38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5749290</wp:posOffset>
            </wp:positionH>
            <wp:positionV relativeFrom="paragraph">
              <wp:posOffset>-222250</wp:posOffset>
            </wp:positionV>
            <wp:extent cx="396240" cy="1898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96240" cy="189865"/>
                    </a:xfrm>
                    <a:prstGeom prst="rect">
                      <a:avLst/>
                    </a:prstGeom>
                    <a:noFill/>
                  </pic:spPr>
                </pic:pic>
              </a:graphicData>
            </a:graphic>
          </wp:anchor>
        </w:drawing>
      </w:r>
    </w:p>
    <w:p>
      <w:pPr>
        <w:sectPr>
          <w:pgSz w:w="11900" w:h="16838" w:orient="portrait"/>
          <w:cols w:equalWidth="0" w:num="1">
            <w:col w:w="10624"/>
          </w:cols>
          <w:pgMar w:left="636" w:top="423" w:right="639" w:bottom="1440" w:gutter="0" w:footer="0" w:header="0"/>
        </w:sectPr>
      </w:pPr>
    </w:p>
    <w:bookmarkStart w:id="67" w:name="page68"/>
    <w:bookmarkEnd w:id="67"/>
    <w:p>
      <w:pPr>
        <w:ind w:left="4"/>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2023 Executive Compensation Tables</w:t>
      </w:r>
    </w:p>
    <w:p>
      <w:pPr>
        <w:spacing w:after="0" w:line="132" w:lineRule="exact"/>
        <w:rPr>
          <w:sz w:val="20"/>
          <w:szCs w:val="20"/>
          <w:color w:val="auto"/>
        </w:rPr>
      </w:pPr>
    </w:p>
    <w:p>
      <w:pPr>
        <w:ind w:left="304" w:right="200" w:hanging="304"/>
        <w:spacing w:after="0" w:line="239" w:lineRule="auto"/>
        <w:tabs>
          <w:tab w:leader="none" w:pos="304"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amount reported for Mr. Thirot includes carryover costs associated with his international assignment from Switzerland to the U.S.: fee’s related to U.S. tax preparation of $6,415, fee’s related to Switzerland tax preparation of $19,884, and additional administrative expenses of $1,315, car allowance, and supplemental contribution to the government-mandated occupational pension benefit program paid through Swiss payroll. The amount reported for Ms. Koolhaas includes her representation allowance, supplemental health care allowance, and supplemental contribution to the government-mandated occupational pension benefit program paid through Swiss payroll.</w:t>
      </w:r>
    </w:p>
    <w:p>
      <w:pPr>
        <w:spacing w:after="0" w:line="208" w:lineRule="exact"/>
        <w:rPr>
          <w:sz w:val="20"/>
          <w:szCs w:val="20"/>
          <w:color w:val="auto"/>
        </w:rPr>
      </w:pPr>
    </w:p>
    <w:tbl>
      <w:tblPr>
        <w:tblLayout w:type="fixed"/>
        <w:tblInd w:w="324"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760" w:type="dxa"/>
            <w:vAlign w:val="bottom"/>
          </w:tcPr>
          <w:p>
            <w:pPr>
              <w:ind w:left="1460"/>
              <w:spacing w:after="0"/>
              <w:rPr>
                <w:sz w:val="20"/>
                <w:szCs w:val="20"/>
                <w:color w:val="auto"/>
              </w:rPr>
            </w:pPr>
            <w:r>
              <w:rPr>
                <w:rFonts w:ascii="Arial" w:cs="Arial" w:eastAsia="Arial" w:hAnsi="Arial"/>
                <w:sz w:val="14"/>
                <w:szCs w:val="14"/>
                <w:b w:val="1"/>
                <w:bCs w:val="1"/>
                <w:color w:val="0A9E50"/>
              </w:rPr>
              <w:t>International</w:t>
            </w:r>
          </w:p>
        </w:tc>
        <w:tc>
          <w:tcPr>
            <w:tcW w:w="1600" w:type="dxa"/>
            <w:vAlign w:val="bottom"/>
          </w:tcPr>
          <w:p>
            <w:pPr>
              <w:spacing w:after="0"/>
              <w:rPr>
                <w:sz w:val="14"/>
                <w:szCs w:val="14"/>
                <w:color w:val="auto"/>
              </w:rPr>
            </w:pPr>
          </w:p>
        </w:tc>
        <w:tc>
          <w:tcPr>
            <w:tcW w:w="1640" w:type="dxa"/>
            <w:vAlign w:val="bottom"/>
          </w:tcPr>
          <w:p>
            <w:pPr>
              <w:jc w:val="right"/>
              <w:ind w:right="311"/>
              <w:spacing w:after="0"/>
              <w:rPr>
                <w:sz w:val="20"/>
                <w:szCs w:val="20"/>
                <w:color w:val="auto"/>
              </w:rPr>
            </w:pPr>
            <w:r>
              <w:rPr>
                <w:rFonts w:ascii="Arial" w:cs="Arial" w:eastAsia="Arial" w:hAnsi="Arial"/>
                <w:sz w:val="14"/>
                <w:szCs w:val="14"/>
                <w:b w:val="1"/>
                <w:bCs w:val="1"/>
                <w:color w:val="0A9E50"/>
              </w:rPr>
              <w:t>Supplemental</w:t>
            </w:r>
          </w:p>
        </w:tc>
        <w:tc>
          <w:tcPr>
            <w:tcW w:w="1740" w:type="dxa"/>
            <w:vAlign w:val="bottom"/>
          </w:tcPr>
          <w:p>
            <w:pPr>
              <w:spacing w:after="0"/>
              <w:rPr>
                <w:sz w:val="14"/>
                <w:szCs w:val="14"/>
                <w:color w:val="auto"/>
              </w:rPr>
            </w:pPr>
          </w:p>
        </w:tc>
      </w:tr>
      <w:tr>
        <w:trPr>
          <w:trHeight w:val="156"/>
        </w:trPr>
        <w:tc>
          <w:tcPr>
            <w:tcW w:w="2560" w:type="dxa"/>
            <w:vAlign w:val="bottom"/>
          </w:tcPr>
          <w:p>
            <w:pPr>
              <w:spacing w:after="0"/>
              <w:rPr>
                <w:sz w:val="13"/>
                <w:szCs w:val="13"/>
                <w:color w:val="auto"/>
              </w:rPr>
            </w:pPr>
          </w:p>
        </w:tc>
        <w:tc>
          <w:tcPr>
            <w:tcW w:w="2760" w:type="dxa"/>
            <w:vAlign w:val="bottom"/>
          </w:tcPr>
          <w:p>
            <w:pPr>
              <w:ind w:left="1480"/>
              <w:spacing w:after="0" w:line="156" w:lineRule="exact"/>
              <w:rPr>
                <w:sz w:val="20"/>
                <w:szCs w:val="20"/>
                <w:color w:val="auto"/>
              </w:rPr>
            </w:pPr>
            <w:r>
              <w:rPr>
                <w:rFonts w:ascii="Arial" w:cs="Arial" w:eastAsia="Arial" w:hAnsi="Arial"/>
                <w:sz w:val="14"/>
                <w:szCs w:val="14"/>
                <w:b w:val="1"/>
                <w:bCs w:val="1"/>
                <w:color w:val="0A9E50"/>
              </w:rPr>
              <w:t>Assignment</w:t>
            </w:r>
          </w:p>
        </w:tc>
        <w:tc>
          <w:tcPr>
            <w:tcW w:w="1600" w:type="dxa"/>
            <w:vAlign w:val="bottom"/>
          </w:tcPr>
          <w:p>
            <w:pPr>
              <w:spacing w:after="0"/>
              <w:rPr>
                <w:sz w:val="13"/>
                <w:szCs w:val="13"/>
                <w:color w:val="auto"/>
              </w:rPr>
            </w:pPr>
          </w:p>
        </w:tc>
        <w:tc>
          <w:tcPr>
            <w:tcW w:w="1640" w:type="dxa"/>
            <w:vAlign w:val="bottom"/>
          </w:tcPr>
          <w:p>
            <w:pPr>
              <w:jc w:val="right"/>
              <w:ind w:right="491"/>
              <w:spacing w:after="0" w:line="156" w:lineRule="exact"/>
              <w:rPr>
                <w:sz w:val="20"/>
                <w:szCs w:val="20"/>
                <w:color w:val="auto"/>
              </w:rPr>
            </w:pPr>
            <w:r>
              <w:rPr>
                <w:rFonts w:ascii="Arial" w:cs="Arial" w:eastAsia="Arial" w:hAnsi="Arial"/>
                <w:sz w:val="14"/>
                <w:szCs w:val="14"/>
                <w:b w:val="1"/>
                <w:bCs w:val="1"/>
                <w:color w:val="0A9E50"/>
              </w:rPr>
              <w:t>Pension</w:t>
            </w:r>
          </w:p>
        </w:tc>
        <w:tc>
          <w:tcPr>
            <w:tcW w:w="1740" w:type="dxa"/>
            <w:vAlign w:val="bottom"/>
          </w:tcPr>
          <w:p>
            <w:pPr>
              <w:ind w:left="360"/>
              <w:spacing w:after="0" w:line="156" w:lineRule="exact"/>
              <w:rPr>
                <w:sz w:val="20"/>
                <w:szCs w:val="20"/>
                <w:color w:val="auto"/>
              </w:rPr>
            </w:pPr>
            <w:r>
              <w:rPr>
                <w:rFonts w:ascii="Arial" w:cs="Arial" w:eastAsia="Arial" w:hAnsi="Arial"/>
                <w:sz w:val="14"/>
                <w:szCs w:val="14"/>
                <w:b w:val="1"/>
                <w:bCs w:val="1"/>
                <w:color w:val="0A9E50"/>
              </w:rPr>
              <w:t>Total All Other</w:t>
            </w:r>
          </w:p>
        </w:tc>
      </w:tr>
      <w:tr>
        <w:trPr>
          <w:trHeight w:val="166"/>
        </w:trPr>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9E50"/>
              </w:rPr>
              <w:t>Name</w:t>
            </w:r>
          </w:p>
        </w:tc>
        <w:tc>
          <w:tcPr>
            <w:tcW w:w="27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0A9E50"/>
              </w:rPr>
              <w:t>Carryover Cost</w:t>
            </w:r>
          </w:p>
        </w:tc>
        <w:tc>
          <w:tcPr>
            <w:tcW w:w="16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0A9E50"/>
              </w:rPr>
              <w:t>Car Allowance</w:t>
            </w:r>
          </w:p>
        </w:tc>
        <w:tc>
          <w:tcPr>
            <w:tcW w:w="16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0A9E50"/>
              </w:rPr>
              <w:t>Contributions</w:t>
            </w:r>
          </w:p>
        </w:tc>
        <w:tc>
          <w:tcPr>
            <w:tcW w:w="17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0A9E50"/>
              </w:rPr>
              <w:t>Compensation</w:t>
            </w:r>
          </w:p>
        </w:tc>
      </w:tr>
      <w:tr>
        <w:trPr>
          <w:trHeight w:val="227"/>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Olivier G. Thirot</w:t>
            </w:r>
          </w:p>
        </w:tc>
        <w:tc>
          <w:tcPr>
            <w:tcW w:w="2760" w:type="dxa"/>
            <w:vAlign w:val="bottom"/>
          </w:tcPr>
          <w:p>
            <w:pPr>
              <w:jc w:val="right"/>
              <w:ind w:right="311"/>
              <w:spacing w:after="0"/>
              <w:rPr>
                <w:sz w:val="20"/>
                <w:szCs w:val="20"/>
                <w:color w:val="auto"/>
              </w:rPr>
            </w:pPr>
            <w:r>
              <w:rPr>
                <w:rFonts w:ascii="Arial" w:cs="Arial" w:eastAsia="Arial" w:hAnsi="Arial"/>
                <w:sz w:val="14"/>
                <w:szCs w:val="14"/>
                <w:color w:val="auto"/>
              </w:rPr>
              <w:t>27,614</w:t>
            </w:r>
          </w:p>
        </w:tc>
        <w:tc>
          <w:tcPr>
            <w:tcW w:w="1600" w:type="dxa"/>
            <w:vAlign w:val="bottom"/>
          </w:tcPr>
          <w:p>
            <w:pPr>
              <w:jc w:val="right"/>
              <w:ind w:right="311"/>
              <w:spacing w:after="0"/>
              <w:rPr>
                <w:sz w:val="20"/>
                <w:szCs w:val="20"/>
                <w:color w:val="auto"/>
              </w:rPr>
            </w:pPr>
            <w:r>
              <w:rPr>
                <w:rFonts w:ascii="Arial" w:cs="Arial" w:eastAsia="Arial" w:hAnsi="Arial"/>
                <w:sz w:val="14"/>
                <w:szCs w:val="14"/>
                <w:color w:val="auto"/>
              </w:rPr>
              <w:t>22,685</w:t>
            </w:r>
          </w:p>
        </w:tc>
        <w:tc>
          <w:tcPr>
            <w:tcW w:w="1640" w:type="dxa"/>
            <w:vAlign w:val="bottom"/>
          </w:tcPr>
          <w:p>
            <w:pPr>
              <w:jc w:val="right"/>
              <w:ind w:right="311"/>
              <w:spacing w:after="0"/>
              <w:rPr>
                <w:sz w:val="20"/>
                <w:szCs w:val="20"/>
                <w:color w:val="auto"/>
              </w:rPr>
            </w:pPr>
            <w:r>
              <w:rPr>
                <w:rFonts w:ascii="Arial" w:cs="Arial" w:eastAsia="Arial" w:hAnsi="Arial"/>
                <w:sz w:val="14"/>
                <w:szCs w:val="14"/>
                <w:color w:val="auto"/>
              </w:rPr>
              <w:t>37,787</w:t>
            </w:r>
          </w:p>
        </w:tc>
        <w:tc>
          <w:tcPr>
            <w:tcW w:w="1740" w:type="dxa"/>
            <w:vAlign w:val="bottom"/>
          </w:tcPr>
          <w:p>
            <w:pPr>
              <w:ind w:left="900"/>
              <w:spacing w:after="0"/>
              <w:rPr>
                <w:sz w:val="20"/>
                <w:szCs w:val="20"/>
                <w:color w:val="auto"/>
              </w:rPr>
            </w:pPr>
            <w:r>
              <w:rPr>
                <w:rFonts w:ascii="Arial" w:cs="Arial" w:eastAsia="Arial" w:hAnsi="Arial"/>
                <w:sz w:val="14"/>
                <w:szCs w:val="14"/>
                <w:color w:val="auto"/>
              </w:rPr>
              <w:t>88,086</w:t>
            </w:r>
          </w:p>
        </w:tc>
      </w:tr>
      <w:tr>
        <w:trPr>
          <w:trHeight w:val="39"/>
        </w:trPr>
        <w:tc>
          <w:tcPr>
            <w:tcW w:w="2560" w:type="dxa"/>
            <w:vAlign w:val="bottom"/>
            <w:tcBorders>
              <w:bottom w:val="single" w:sz="8" w:color="7F7F7F"/>
            </w:tcBorders>
          </w:tcPr>
          <w:p>
            <w:pPr>
              <w:spacing w:after="0"/>
              <w:rPr>
                <w:sz w:val="3"/>
                <w:szCs w:val="3"/>
                <w:color w:val="auto"/>
              </w:rPr>
            </w:pPr>
          </w:p>
        </w:tc>
        <w:tc>
          <w:tcPr>
            <w:tcW w:w="2760" w:type="dxa"/>
            <w:vAlign w:val="bottom"/>
            <w:tcBorders>
              <w:bottom w:val="single" w:sz="8" w:color="7F7F7F"/>
            </w:tcBorders>
          </w:tcPr>
          <w:p>
            <w:pPr>
              <w:spacing w:after="0"/>
              <w:rPr>
                <w:sz w:val="3"/>
                <w:szCs w:val="3"/>
                <w:color w:val="auto"/>
              </w:rPr>
            </w:pPr>
          </w:p>
        </w:tc>
        <w:tc>
          <w:tcPr>
            <w:tcW w:w="1600" w:type="dxa"/>
            <w:vAlign w:val="bottom"/>
            <w:tcBorders>
              <w:bottom w:val="single" w:sz="8" w:color="7F7F7F"/>
            </w:tcBorders>
          </w:tcPr>
          <w:p>
            <w:pPr>
              <w:spacing w:after="0"/>
              <w:rPr>
                <w:sz w:val="3"/>
                <w:szCs w:val="3"/>
                <w:color w:val="auto"/>
              </w:rPr>
            </w:pPr>
          </w:p>
        </w:tc>
        <w:tc>
          <w:tcPr>
            <w:tcW w:w="1640" w:type="dxa"/>
            <w:vAlign w:val="bottom"/>
            <w:tcBorders>
              <w:bottom w:val="single" w:sz="8" w:color="7F7F7F"/>
            </w:tcBorders>
          </w:tcPr>
          <w:p>
            <w:pPr>
              <w:spacing w:after="0"/>
              <w:rPr>
                <w:sz w:val="3"/>
                <w:szCs w:val="3"/>
                <w:color w:val="auto"/>
              </w:rPr>
            </w:pPr>
          </w:p>
        </w:tc>
        <w:tc>
          <w:tcPr>
            <w:tcW w:w="1740" w:type="dxa"/>
            <w:vAlign w:val="bottom"/>
            <w:tcBorders>
              <w:bottom w:val="single" w:sz="8" w:color="7F7F7F"/>
            </w:tcBorders>
          </w:tcPr>
          <w:p>
            <w:pPr>
              <w:spacing w:after="0"/>
              <w:rPr>
                <w:sz w:val="3"/>
                <w:szCs w:val="3"/>
                <w:color w:val="auto"/>
              </w:rPr>
            </w:pPr>
          </w:p>
        </w:tc>
      </w:tr>
      <w:tr>
        <w:trPr>
          <w:trHeight w:val="374"/>
        </w:trPr>
        <w:tc>
          <w:tcPr>
            <w:tcW w:w="2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tcPr>
          <w:p>
            <w:pPr>
              <w:jc w:val="right"/>
              <w:ind w:right="291"/>
              <w:spacing w:after="0"/>
              <w:rPr>
                <w:sz w:val="20"/>
                <w:szCs w:val="20"/>
                <w:color w:val="auto"/>
              </w:rPr>
            </w:pPr>
            <w:r>
              <w:rPr>
                <w:rFonts w:ascii="Arial" w:cs="Arial" w:eastAsia="Arial" w:hAnsi="Arial"/>
                <w:sz w:val="14"/>
                <w:szCs w:val="14"/>
                <w:b w:val="1"/>
                <w:bCs w:val="1"/>
                <w:color w:val="0A9E50"/>
              </w:rPr>
              <w:t>Supplemental</w:t>
            </w:r>
          </w:p>
        </w:tc>
        <w:tc>
          <w:tcPr>
            <w:tcW w:w="1740" w:type="dxa"/>
            <w:vAlign w:val="bottom"/>
          </w:tcPr>
          <w:p>
            <w:pPr>
              <w:spacing w:after="0"/>
              <w:rPr>
                <w:sz w:val="24"/>
                <w:szCs w:val="24"/>
                <w:color w:val="auto"/>
              </w:rPr>
            </w:pPr>
          </w:p>
        </w:tc>
      </w:tr>
      <w:tr>
        <w:trPr>
          <w:trHeight w:val="156"/>
        </w:trPr>
        <w:tc>
          <w:tcPr>
            <w:tcW w:w="2560" w:type="dxa"/>
            <w:vAlign w:val="bottom"/>
          </w:tcPr>
          <w:p>
            <w:pPr>
              <w:spacing w:after="0"/>
              <w:rPr>
                <w:sz w:val="13"/>
                <w:szCs w:val="13"/>
                <w:color w:val="auto"/>
              </w:rPr>
            </w:pPr>
          </w:p>
        </w:tc>
        <w:tc>
          <w:tcPr>
            <w:tcW w:w="2760" w:type="dxa"/>
            <w:vAlign w:val="bottom"/>
          </w:tcPr>
          <w:p>
            <w:pPr>
              <w:ind w:left="1460"/>
              <w:spacing w:after="0" w:line="156" w:lineRule="exact"/>
              <w:rPr>
                <w:sz w:val="20"/>
                <w:szCs w:val="20"/>
                <w:color w:val="auto"/>
              </w:rPr>
            </w:pPr>
            <w:r>
              <w:rPr>
                <w:rFonts w:ascii="Arial" w:cs="Arial" w:eastAsia="Arial" w:hAnsi="Arial"/>
                <w:sz w:val="14"/>
                <w:szCs w:val="14"/>
                <w:b w:val="1"/>
                <w:bCs w:val="1"/>
                <w:color w:val="0A9E50"/>
              </w:rPr>
              <w:t>Representation</w:t>
            </w:r>
          </w:p>
        </w:tc>
        <w:tc>
          <w:tcPr>
            <w:tcW w:w="1600" w:type="dxa"/>
            <w:vAlign w:val="bottom"/>
          </w:tcPr>
          <w:p>
            <w:pPr>
              <w:jc w:val="right"/>
              <w:ind w:right="271"/>
              <w:spacing w:after="0" w:line="156" w:lineRule="exact"/>
              <w:rPr>
                <w:sz w:val="20"/>
                <w:szCs w:val="20"/>
                <w:color w:val="auto"/>
              </w:rPr>
            </w:pPr>
            <w:r>
              <w:rPr>
                <w:rFonts w:ascii="Arial" w:cs="Arial" w:eastAsia="Arial" w:hAnsi="Arial"/>
                <w:sz w:val="14"/>
                <w:szCs w:val="14"/>
                <w:b w:val="1"/>
                <w:bCs w:val="1"/>
                <w:color w:val="0A9E50"/>
              </w:rPr>
              <w:t>Supplemental</w:t>
            </w:r>
          </w:p>
        </w:tc>
        <w:tc>
          <w:tcPr>
            <w:tcW w:w="1640" w:type="dxa"/>
            <w:vAlign w:val="bottom"/>
          </w:tcPr>
          <w:p>
            <w:pPr>
              <w:jc w:val="right"/>
              <w:ind w:right="471"/>
              <w:spacing w:after="0" w:line="156" w:lineRule="exact"/>
              <w:rPr>
                <w:sz w:val="20"/>
                <w:szCs w:val="20"/>
                <w:color w:val="auto"/>
              </w:rPr>
            </w:pPr>
            <w:r>
              <w:rPr>
                <w:rFonts w:ascii="Arial" w:cs="Arial" w:eastAsia="Arial" w:hAnsi="Arial"/>
                <w:sz w:val="14"/>
                <w:szCs w:val="14"/>
                <w:b w:val="1"/>
                <w:bCs w:val="1"/>
                <w:color w:val="0A9E50"/>
              </w:rPr>
              <w:t>Pension</w:t>
            </w:r>
          </w:p>
        </w:tc>
        <w:tc>
          <w:tcPr>
            <w:tcW w:w="1740" w:type="dxa"/>
            <w:vAlign w:val="bottom"/>
          </w:tcPr>
          <w:p>
            <w:pPr>
              <w:ind w:left="380"/>
              <w:spacing w:after="0" w:line="156" w:lineRule="exact"/>
              <w:rPr>
                <w:sz w:val="20"/>
                <w:szCs w:val="20"/>
                <w:color w:val="auto"/>
              </w:rPr>
            </w:pPr>
            <w:r>
              <w:rPr>
                <w:rFonts w:ascii="Arial" w:cs="Arial" w:eastAsia="Arial" w:hAnsi="Arial"/>
                <w:sz w:val="14"/>
                <w:szCs w:val="14"/>
                <w:b w:val="1"/>
                <w:bCs w:val="1"/>
                <w:color w:val="0A9E50"/>
              </w:rPr>
              <w:t>Total All Other</w:t>
            </w:r>
          </w:p>
        </w:tc>
      </w:tr>
      <w:tr>
        <w:trPr>
          <w:trHeight w:val="166"/>
        </w:trPr>
        <w:tc>
          <w:tcPr>
            <w:tcW w:w="2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9E50"/>
              </w:rPr>
              <w:t>Name</w:t>
            </w:r>
          </w:p>
        </w:tc>
        <w:tc>
          <w:tcPr>
            <w:tcW w:w="276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0A9E50"/>
              </w:rPr>
              <w:t>Allowance</w:t>
            </w:r>
          </w:p>
        </w:tc>
        <w:tc>
          <w:tcPr>
            <w:tcW w:w="16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0A9E50"/>
              </w:rPr>
              <w:t>Health Care</w:t>
            </w:r>
          </w:p>
        </w:tc>
        <w:tc>
          <w:tcPr>
            <w:tcW w:w="16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0A9E50"/>
              </w:rPr>
              <w:t>Contributions</w:t>
            </w:r>
          </w:p>
        </w:tc>
        <w:tc>
          <w:tcPr>
            <w:tcW w:w="17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0A9E50"/>
              </w:rPr>
              <w:t>Compensation</w:t>
            </w:r>
          </w:p>
        </w:tc>
      </w:tr>
      <w:tr>
        <w:trPr>
          <w:trHeight w:val="227"/>
        </w:trPr>
        <w:tc>
          <w:tcPr>
            <w:tcW w:w="2560" w:type="dxa"/>
            <w:vAlign w:val="bottom"/>
          </w:tcPr>
          <w:p>
            <w:pPr>
              <w:ind w:left="80"/>
              <w:spacing w:after="0"/>
              <w:rPr>
                <w:sz w:val="20"/>
                <w:szCs w:val="20"/>
                <w:color w:val="auto"/>
              </w:rPr>
            </w:pPr>
            <w:r>
              <w:rPr>
                <w:rFonts w:ascii="Arial" w:cs="Arial" w:eastAsia="Arial" w:hAnsi="Arial"/>
                <w:sz w:val="14"/>
                <w:szCs w:val="14"/>
                <w:b w:val="1"/>
                <w:bCs w:val="1"/>
                <w:color w:val="auto"/>
              </w:rPr>
              <w:t>Dinette Koolhaas</w:t>
            </w:r>
          </w:p>
        </w:tc>
        <w:tc>
          <w:tcPr>
            <w:tcW w:w="2760" w:type="dxa"/>
            <w:vAlign w:val="bottom"/>
          </w:tcPr>
          <w:p>
            <w:pPr>
              <w:jc w:val="right"/>
              <w:ind w:right="211"/>
              <w:spacing w:after="0"/>
              <w:rPr>
                <w:sz w:val="20"/>
                <w:szCs w:val="20"/>
                <w:color w:val="auto"/>
              </w:rPr>
            </w:pPr>
            <w:r>
              <w:rPr>
                <w:rFonts w:ascii="Arial" w:cs="Arial" w:eastAsia="Arial" w:hAnsi="Arial"/>
                <w:sz w:val="14"/>
                <w:szCs w:val="14"/>
                <w:color w:val="auto"/>
              </w:rPr>
              <w:t>20,016</w:t>
            </w:r>
          </w:p>
        </w:tc>
        <w:tc>
          <w:tcPr>
            <w:tcW w:w="1600" w:type="dxa"/>
            <w:vAlign w:val="bottom"/>
          </w:tcPr>
          <w:p>
            <w:pPr>
              <w:jc w:val="right"/>
              <w:ind w:right="271"/>
              <w:spacing w:after="0"/>
              <w:rPr>
                <w:sz w:val="20"/>
                <w:szCs w:val="20"/>
                <w:color w:val="auto"/>
              </w:rPr>
            </w:pPr>
            <w:r>
              <w:rPr>
                <w:rFonts w:ascii="Arial" w:cs="Arial" w:eastAsia="Arial" w:hAnsi="Arial"/>
                <w:sz w:val="14"/>
                <w:szCs w:val="14"/>
                <w:color w:val="auto"/>
              </w:rPr>
              <w:t>6,305</w:t>
            </w:r>
          </w:p>
        </w:tc>
        <w:tc>
          <w:tcPr>
            <w:tcW w:w="1640" w:type="dxa"/>
            <w:vAlign w:val="bottom"/>
          </w:tcPr>
          <w:p>
            <w:pPr>
              <w:jc w:val="right"/>
              <w:ind w:right="271"/>
              <w:spacing w:after="0"/>
              <w:rPr>
                <w:sz w:val="20"/>
                <w:szCs w:val="20"/>
                <w:color w:val="auto"/>
              </w:rPr>
            </w:pPr>
            <w:r>
              <w:rPr>
                <w:rFonts w:ascii="Arial" w:cs="Arial" w:eastAsia="Arial" w:hAnsi="Arial"/>
                <w:sz w:val="14"/>
                <w:szCs w:val="14"/>
                <w:color w:val="auto"/>
              </w:rPr>
              <w:t>23,699</w:t>
            </w:r>
          </w:p>
        </w:tc>
        <w:tc>
          <w:tcPr>
            <w:tcW w:w="1740" w:type="dxa"/>
            <w:vAlign w:val="bottom"/>
          </w:tcPr>
          <w:p>
            <w:pPr>
              <w:ind w:left="920"/>
              <w:spacing w:after="0"/>
              <w:rPr>
                <w:sz w:val="20"/>
                <w:szCs w:val="20"/>
                <w:color w:val="auto"/>
              </w:rPr>
            </w:pPr>
            <w:r>
              <w:rPr>
                <w:rFonts w:ascii="Arial" w:cs="Arial" w:eastAsia="Arial" w:hAnsi="Arial"/>
                <w:sz w:val="14"/>
                <w:szCs w:val="14"/>
                <w:color w:val="auto"/>
              </w:rPr>
              <w:t>50,020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24765</wp:posOffset>
            </wp:positionV>
            <wp:extent cx="653415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534150" cy="8255"/>
                    </a:xfrm>
                    <a:prstGeom prst="rect">
                      <a:avLst/>
                    </a:prstGeom>
                    <a:noFill/>
                  </pic:spPr>
                </pic:pic>
              </a:graphicData>
            </a:graphic>
          </wp:anchor>
        </w:drawing>
      </w:r>
    </w:p>
    <w:p>
      <w:pPr>
        <w:spacing w:after="0" w:line="92" w:lineRule="exact"/>
        <w:rPr>
          <w:sz w:val="20"/>
          <w:szCs w:val="20"/>
          <w:color w:val="auto"/>
        </w:rPr>
      </w:pPr>
    </w:p>
    <w:p>
      <w:pPr>
        <w:ind w:left="304" w:right="40" w:hanging="304"/>
        <w:spacing w:after="0" w:line="264" w:lineRule="auto"/>
        <w:tabs>
          <w:tab w:leader="none" w:pos="304" w:val="left"/>
        </w:tabs>
        <w:numPr>
          <w:ilvl w:val="0"/>
          <w:numId w:val="42"/>
        </w:numPr>
        <w:rPr>
          <w:rFonts w:ascii="Arial" w:cs="Arial" w:eastAsia="Arial" w:hAnsi="Arial"/>
          <w:sz w:val="12"/>
          <w:szCs w:val="12"/>
          <w:color w:val="auto"/>
        </w:rPr>
      </w:pPr>
      <w:r>
        <w:rPr>
          <w:rFonts w:ascii="Arial" w:cs="Arial" w:eastAsia="Arial" w:hAnsi="Arial"/>
          <w:sz w:val="12"/>
          <w:szCs w:val="12"/>
          <w:color w:val="auto"/>
        </w:rPr>
        <w:t>Amounts reported for Mr. Thirot and Ms. Koolhaas are converted from Swiss Francs to U.S. Dollars at an exchange rate of 1 CHF = 1.112 USD. This is calculated using the IRS Yearly Average Currency Exchange Rate for Switzerland for 2023 of 0.899 (1 CHF ÷ 0.899 = $1.112).</w:t>
      </w:r>
    </w:p>
    <w:p>
      <w:pPr>
        <w:spacing w:after="0" w:line="260"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Grants of Plan-Based Awards 2023</w:t>
      </w:r>
      <w:r>
        <w:rPr>
          <w:rFonts w:ascii="Arial" w:cs="Arial" w:eastAsia="Arial" w:hAnsi="Arial"/>
          <w:sz w:val="15"/>
          <w:szCs w:val="15"/>
          <w:b w:val="1"/>
          <w:bCs w:val="1"/>
          <w:color w:val="auto"/>
        </w:rPr>
        <w:t>(1)</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A9E50"/>
                <w:w w:val="99"/>
              </w:rPr>
              <w:t>Estimated Future Payouts</w:t>
            </w:r>
          </w:p>
        </w:tc>
        <w:tc>
          <w:tcPr>
            <w:tcW w:w="20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A9E50"/>
                <w:w w:val="98"/>
              </w:rPr>
              <w:t>Estimated Future Payouts</w:t>
            </w:r>
          </w:p>
        </w:tc>
        <w:tc>
          <w:tcPr>
            <w:tcW w:w="1000" w:type="dxa"/>
            <w:vAlign w:val="bottom"/>
          </w:tcPr>
          <w:p>
            <w:pPr>
              <w:jc w:val="center"/>
              <w:ind w:left="72"/>
              <w:spacing w:after="0"/>
              <w:rPr>
                <w:sz w:val="20"/>
                <w:szCs w:val="20"/>
                <w:color w:val="auto"/>
              </w:rPr>
            </w:pPr>
            <w:r>
              <w:rPr>
                <w:rFonts w:ascii="Arial" w:cs="Arial" w:eastAsia="Arial" w:hAnsi="Arial"/>
                <w:sz w:val="14"/>
                <w:szCs w:val="14"/>
                <w:b w:val="1"/>
                <w:bCs w:val="1"/>
                <w:color w:val="0A9E50"/>
                <w:w w:val="98"/>
              </w:rPr>
              <w:t>All Other</w:t>
            </w:r>
          </w:p>
        </w:tc>
        <w:tc>
          <w:tcPr>
            <w:tcW w:w="760" w:type="dxa"/>
            <w:vAlign w:val="bottom"/>
          </w:tcPr>
          <w:p>
            <w:pPr>
              <w:jc w:val="center"/>
              <w:ind w:left="11"/>
              <w:spacing w:after="0"/>
              <w:rPr>
                <w:sz w:val="20"/>
                <w:szCs w:val="20"/>
                <w:color w:val="auto"/>
              </w:rPr>
            </w:pPr>
            <w:r>
              <w:rPr>
                <w:rFonts w:ascii="Arial" w:cs="Arial" w:eastAsia="Arial" w:hAnsi="Arial"/>
                <w:sz w:val="14"/>
                <w:szCs w:val="14"/>
                <w:b w:val="1"/>
                <w:bCs w:val="1"/>
                <w:color w:val="0A9E50"/>
                <w:w w:val="96"/>
              </w:rPr>
              <w:t>Grant</w:t>
            </w:r>
          </w:p>
        </w:tc>
        <w:tc>
          <w:tcPr>
            <w:tcW w:w="0" w:type="dxa"/>
            <w:vAlign w:val="bottom"/>
          </w:tcPr>
          <w:p>
            <w:pPr>
              <w:spacing w:after="0"/>
              <w:rPr>
                <w:sz w:val="1"/>
                <w:szCs w:val="1"/>
                <w:color w:val="auto"/>
              </w:rPr>
            </w:pPr>
          </w:p>
        </w:tc>
      </w:tr>
      <w:tr>
        <w:trPr>
          <w:trHeight w:val="140"/>
        </w:trPr>
        <w:tc>
          <w:tcPr>
            <w:tcW w:w="2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760" w:type="dxa"/>
            <w:vAlign w:val="bottom"/>
            <w:gridSpan w:val="2"/>
          </w:tcPr>
          <w:p>
            <w:pPr>
              <w:ind w:left="100"/>
              <w:spacing w:after="0" w:line="139" w:lineRule="exact"/>
              <w:rPr>
                <w:sz w:val="20"/>
                <w:szCs w:val="20"/>
                <w:color w:val="auto"/>
              </w:rPr>
            </w:pPr>
            <w:r>
              <w:rPr>
                <w:rFonts w:ascii="Arial" w:cs="Arial" w:eastAsia="Arial" w:hAnsi="Arial"/>
                <w:sz w:val="14"/>
                <w:szCs w:val="14"/>
                <w:b w:val="1"/>
                <w:bCs w:val="1"/>
                <w:color w:val="0A9E50"/>
              </w:rPr>
              <w:t>Stock Awards: Date Fair</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80" w:type="dxa"/>
            <w:vAlign w:val="bottom"/>
            <w:gridSpan w:val="3"/>
          </w:tcPr>
          <w:p>
            <w:pPr>
              <w:jc w:val="center"/>
              <w:spacing w:after="0" w:line="156" w:lineRule="exact"/>
              <w:rPr>
                <w:sz w:val="20"/>
                <w:szCs w:val="20"/>
                <w:color w:val="auto"/>
              </w:rPr>
            </w:pPr>
            <w:r>
              <w:rPr>
                <w:rFonts w:ascii="Arial" w:cs="Arial" w:eastAsia="Arial" w:hAnsi="Arial"/>
                <w:sz w:val="14"/>
                <w:szCs w:val="14"/>
                <w:b w:val="1"/>
                <w:bCs w:val="1"/>
                <w:color w:val="0A9E50"/>
                <w:w w:val="99"/>
              </w:rPr>
              <w:t>Under Non-Equity Incentive</w:t>
            </w:r>
          </w:p>
        </w:tc>
        <w:tc>
          <w:tcPr>
            <w:tcW w:w="2060" w:type="dxa"/>
            <w:vAlign w:val="bottom"/>
            <w:gridSpan w:val="3"/>
          </w:tcPr>
          <w:p>
            <w:pPr>
              <w:jc w:val="center"/>
              <w:spacing w:after="0" w:line="156" w:lineRule="exact"/>
              <w:rPr>
                <w:sz w:val="20"/>
                <w:szCs w:val="20"/>
                <w:color w:val="auto"/>
              </w:rPr>
            </w:pPr>
            <w:r>
              <w:rPr>
                <w:rFonts w:ascii="Arial" w:cs="Arial" w:eastAsia="Arial" w:hAnsi="Arial"/>
                <w:sz w:val="14"/>
                <w:szCs w:val="14"/>
                <w:b w:val="1"/>
                <w:bCs w:val="1"/>
                <w:color w:val="0A9E50"/>
                <w:w w:val="98"/>
              </w:rPr>
              <w:t>Under Equity Incentive Plan</w:t>
            </w:r>
          </w:p>
        </w:tc>
        <w:tc>
          <w:tcPr>
            <w:tcW w:w="1000" w:type="dxa"/>
            <w:vAlign w:val="bottom"/>
          </w:tcPr>
          <w:p>
            <w:pPr>
              <w:jc w:val="center"/>
              <w:ind w:left="72"/>
              <w:spacing w:after="0" w:line="156" w:lineRule="exact"/>
              <w:rPr>
                <w:sz w:val="20"/>
                <w:szCs w:val="20"/>
                <w:color w:val="auto"/>
              </w:rPr>
            </w:pPr>
            <w:r>
              <w:rPr>
                <w:rFonts w:ascii="Arial" w:cs="Arial" w:eastAsia="Arial" w:hAnsi="Arial"/>
                <w:sz w:val="14"/>
                <w:szCs w:val="14"/>
                <w:b w:val="1"/>
                <w:bCs w:val="1"/>
                <w:color w:val="0A9E50"/>
                <w:w w:val="99"/>
              </w:rPr>
              <w:t>Number of</w:t>
            </w:r>
          </w:p>
        </w:tc>
        <w:tc>
          <w:tcPr>
            <w:tcW w:w="76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0A9E50"/>
                <w:w w:val="95"/>
              </w:rPr>
              <w:t>Value of</w:t>
            </w: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80" w:type="dxa"/>
            <w:vAlign w:val="bottom"/>
            <w:gridSpan w:val="3"/>
          </w:tcPr>
          <w:p>
            <w:pPr>
              <w:jc w:val="center"/>
              <w:spacing w:after="0" w:line="173" w:lineRule="exact"/>
              <w:rPr>
                <w:sz w:val="20"/>
                <w:szCs w:val="20"/>
                <w:color w:val="auto"/>
              </w:rPr>
            </w:pPr>
            <w:r>
              <w:rPr>
                <w:rFonts w:ascii="Arial" w:cs="Arial" w:eastAsia="Arial" w:hAnsi="Arial"/>
                <w:sz w:val="14"/>
                <w:szCs w:val="14"/>
                <w:b w:val="1"/>
                <w:bCs w:val="1"/>
                <w:color w:val="0A9E50"/>
                <w:w w:val="95"/>
              </w:rPr>
              <w:t>Plan Awards</w:t>
            </w:r>
            <w:r>
              <w:rPr>
                <w:rFonts w:ascii="Arial" w:cs="Arial" w:eastAsia="Arial" w:hAnsi="Arial"/>
                <w:sz w:val="20"/>
                <w:szCs w:val="20"/>
                <w:b w:val="1"/>
                <w:bCs w:val="1"/>
                <w:color w:val="0A9E50"/>
                <w:w w:val="95"/>
                <w:vertAlign w:val="superscript"/>
              </w:rPr>
              <w:t>(3)</w:t>
            </w:r>
          </w:p>
        </w:tc>
        <w:tc>
          <w:tcPr>
            <w:tcW w:w="720" w:type="dxa"/>
            <w:vAlign w:val="bottom"/>
          </w:tcPr>
          <w:p>
            <w:pPr>
              <w:spacing w:after="0"/>
              <w:rPr>
                <w:sz w:val="15"/>
                <w:szCs w:val="15"/>
                <w:color w:val="auto"/>
              </w:rPr>
            </w:pPr>
          </w:p>
        </w:tc>
        <w:tc>
          <w:tcPr>
            <w:tcW w:w="660" w:type="dxa"/>
            <w:vAlign w:val="bottom"/>
          </w:tcPr>
          <w:p>
            <w:pPr>
              <w:jc w:val="center"/>
              <w:spacing w:after="0" w:line="173" w:lineRule="exact"/>
              <w:rPr>
                <w:sz w:val="20"/>
                <w:szCs w:val="20"/>
                <w:color w:val="auto"/>
              </w:rPr>
            </w:pPr>
            <w:r>
              <w:rPr>
                <w:rFonts w:ascii="Arial" w:cs="Arial" w:eastAsia="Arial" w:hAnsi="Arial"/>
                <w:sz w:val="14"/>
                <w:szCs w:val="14"/>
                <w:b w:val="1"/>
                <w:bCs w:val="1"/>
                <w:color w:val="0A9E50"/>
                <w:w w:val="92"/>
              </w:rPr>
              <w:t>Awards</w:t>
            </w:r>
            <w:r>
              <w:rPr>
                <w:rFonts w:ascii="Arial" w:cs="Arial" w:eastAsia="Arial" w:hAnsi="Arial"/>
                <w:sz w:val="20"/>
                <w:szCs w:val="20"/>
                <w:b w:val="1"/>
                <w:bCs w:val="1"/>
                <w:color w:val="0A9E50"/>
                <w:w w:val="92"/>
                <w:vertAlign w:val="superscript"/>
              </w:rPr>
              <w:t>(4)</w:t>
            </w:r>
          </w:p>
        </w:tc>
        <w:tc>
          <w:tcPr>
            <w:tcW w:w="680" w:type="dxa"/>
            <w:vAlign w:val="bottom"/>
          </w:tcPr>
          <w:p>
            <w:pPr>
              <w:spacing w:after="0"/>
              <w:rPr>
                <w:sz w:val="15"/>
                <w:szCs w:val="15"/>
                <w:color w:val="auto"/>
              </w:rPr>
            </w:pPr>
          </w:p>
        </w:tc>
        <w:tc>
          <w:tcPr>
            <w:tcW w:w="1000" w:type="dxa"/>
            <w:vAlign w:val="bottom"/>
          </w:tcPr>
          <w:p>
            <w:pPr>
              <w:jc w:val="center"/>
              <w:ind w:left="72"/>
              <w:spacing w:after="0"/>
              <w:rPr>
                <w:sz w:val="20"/>
                <w:szCs w:val="20"/>
                <w:color w:val="auto"/>
              </w:rPr>
            </w:pPr>
            <w:r>
              <w:rPr>
                <w:rFonts w:ascii="Arial" w:cs="Arial" w:eastAsia="Arial" w:hAnsi="Arial"/>
                <w:sz w:val="14"/>
                <w:szCs w:val="14"/>
                <w:b w:val="1"/>
                <w:bCs w:val="1"/>
                <w:color w:val="0A9E50"/>
                <w:w w:val="97"/>
              </w:rPr>
              <w:t>Shares of</w:t>
            </w:r>
          </w:p>
        </w:tc>
        <w:tc>
          <w:tcPr>
            <w:tcW w:w="760" w:type="dxa"/>
            <w:vAlign w:val="bottom"/>
          </w:tcPr>
          <w:p>
            <w:pPr>
              <w:jc w:val="center"/>
              <w:ind w:left="11"/>
              <w:spacing w:after="0"/>
              <w:rPr>
                <w:sz w:val="20"/>
                <w:szCs w:val="20"/>
                <w:color w:val="auto"/>
              </w:rPr>
            </w:pPr>
            <w:r>
              <w:rPr>
                <w:rFonts w:ascii="Arial" w:cs="Arial" w:eastAsia="Arial" w:hAnsi="Arial"/>
                <w:sz w:val="14"/>
                <w:szCs w:val="14"/>
                <w:b w:val="1"/>
                <w:bCs w:val="1"/>
                <w:color w:val="0A9E50"/>
              </w:rPr>
              <w:t>Stock and</w:t>
            </w:r>
          </w:p>
        </w:tc>
        <w:tc>
          <w:tcPr>
            <w:tcW w:w="0" w:type="dxa"/>
            <w:vAlign w:val="bottom"/>
          </w:tcPr>
          <w:p>
            <w:pPr>
              <w:spacing w:after="0"/>
              <w:rPr>
                <w:sz w:val="1"/>
                <w:szCs w:val="1"/>
                <w:color w:val="auto"/>
              </w:rPr>
            </w:pPr>
          </w:p>
        </w:tc>
      </w:tr>
      <w:tr>
        <w:trPr>
          <w:trHeight w:val="48"/>
        </w:trPr>
        <w:tc>
          <w:tcPr>
            <w:tcW w:w="2280" w:type="dxa"/>
            <w:vAlign w:val="bottom"/>
          </w:tcPr>
          <w:p>
            <w:pPr>
              <w:spacing w:after="0"/>
              <w:rPr>
                <w:sz w:val="4"/>
                <w:szCs w:val="4"/>
                <w:color w:val="auto"/>
              </w:rPr>
            </w:pPr>
          </w:p>
        </w:tc>
        <w:tc>
          <w:tcPr>
            <w:tcW w:w="1580" w:type="dxa"/>
            <w:vAlign w:val="bottom"/>
            <w:vMerge w:val="restart"/>
          </w:tcPr>
          <w:p>
            <w:pPr>
              <w:jc w:val="center"/>
              <w:ind w:left="811"/>
              <w:spacing w:after="0"/>
              <w:rPr>
                <w:sz w:val="20"/>
                <w:szCs w:val="20"/>
                <w:color w:val="auto"/>
              </w:rPr>
            </w:pPr>
            <w:r>
              <w:rPr>
                <w:rFonts w:ascii="Arial" w:cs="Arial" w:eastAsia="Arial" w:hAnsi="Arial"/>
                <w:sz w:val="14"/>
                <w:szCs w:val="14"/>
                <w:b w:val="1"/>
                <w:bCs w:val="1"/>
                <w:color w:val="0A9E50"/>
              </w:rPr>
              <w:t>Grant</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0A9E50"/>
                <w:w w:val="98"/>
              </w:rPr>
              <w:t>Approval</w:t>
            </w: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vMerge w:val="restart"/>
          </w:tcPr>
          <w:p>
            <w:pPr>
              <w:jc w:val="center"/>
              <w:ind w:left="72"/>
              <w:spacing w:after="0" w:line="153" w:lineRule="exact"/>
              <w:rPr>
                <w:sz w:val="20"/>
                <w:szCs w:val="20"/>
                <w:color w:val="auto"/>
              </w:rPr>
            </w:pPr>
            <w:r>
              <w:rPr>
                <w:rFonts w:ascii="Arial" w:cs="Arial" w:eastAsia="Arial" w:hAnsi="Arial"/>
                <w:sz w:val="14"/>
                <w:szCs w:val="14"/>
                <w:b w:val="1"/>
                <w:bCs w:val="1"/>
                <w:color w:val="0A9E50"/>
                <w:w w:val="96"/>
              </w:rPr>
              <w:t>Stock or</w:t>
            </w:r>
          </w:p>
        </w:tc>
        <w:tc>
          <w:tcPr>
            <w:tcW w:w="760" w:type="dxa"/>
            <w:vAlign w:val="bottom"/>
            <w:vMerge w:val="restart"/>
          </w:tcPr>
          <w:p>
            <w:pPr>
              <w:jc w:val="center"/>
              <w:ind w:left="11"/>
              <w:spacing w:after="0" w:line="153" w:lineRule="exact"/>
              <w:rPr>
                <w:sz w:val="20"/>
                <w:szCs w:val="20"/>
                <w:color w:val="auto"/>
              </w:rPr>
            </w:pPr>
            <w:r>
              <w:rPr>
                <w:rFonts w:ascii="Arial" w:cs="Arial" w:eastAsia="Arial" w:hAnsi="Arial"/>
                <w:sz w:val="14"/>
                <w:szCs w:val="14"/>
                <w:b w:val="1"/>
                <w:bCs w:val="1"/>
                <w:color w:val="0A9E50"/>
                <w:w w:val="97"/>
              </w:rPr>
              <w:t>Option</w:t>
            </w:r>
          </w:p>
        </w:tc>
        <w:tc>
          <w:tcPr>
            <w:tcW w:w="0" w:type="dxa"/>
            <w:vAlign w:val="bottom"/>
          </w:tcPr>
          <w:p>
            <w:pPr>
              <w:spacing w:after="0"/>
              <w:rPr>
                <w:sz w:val="1"/>
                <w:szCs w:val="1"/>
                <w:color w:val="auto"/>
              </w:rPr>
            </w:pPr>
          </w:p>
        </w:tc>
      </w:tr>
      <w:tr>
        <w:trPr>
          <w:trHeight w:val="84"/>
        </w:trPr>
        <w:tc>
          <w:tcPr>
            <w:tcW w:w="228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22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20" w:type="dxa"/>
            <w:vAlign w:val="bottom"/>
          </w:tcPr>
          <w:p>
            <w:pPr>
              <w:ind w:left="100"/>
              <w:spacing w:after="0" w:line="143" w:lineRule="exact"/>
              <w:rPr>
                <w:sz w:val="20"/>
                <w:szCs w:val="20"/>
                <w:color w:val="auto"/>
              </w:rPr>
            </w:pPr>
            <w:r>
              <w:rPr>
                <w:rFonts w:ascii="Arial" w:cs="Arial" w:eastAsia="Arial" w:hAnsi="Arial"/>
                <w:sz w:val="14"/>
                <w:szCs w:val="14"/>
                <w:b w:val="1"/>
                <w:bCs w:val="1"/>
                <w:color w:val="0A9E50"/>
              </w:rPr>
              <w:t>Threshold</w:t>
            </w:r>
          </w:p>
        </w:tc>
        <w:tc>
          <w:tcPr>
            <w:tcW w:w="720" w:type="dxa"/>
            <w:vAlign w:val="bottom"/>
          </w:tcPr>
          <w:p>
            <w:pPr>
              <w:jc w:val="center"/>
              <w:spacing w:after="0" w:line="143" w:lineRule="exact"/>
              <w:rPr>
                <w:sz w:val="20"/>
                <w:szCs w:val="20"/>
                <w:color w:val="auto"/>
              </w:rPr>
            </w:pPr>
            <w:r>
              <w:rPr>
                <w:rFonts w:ascii="Arial" w:cs="Arial" w:eastAsia="Arial" w:hAnsi="Arial"/>
                <w:sz w:val="14"/>
                <w:szCs w:val="14"/>
                <w:b w:val="1"/>
                <w:bCs w:val="1"/>
                <w:color w:val="0A9E50"/>
                <w:w w:val="98"/>
              </w:rPr>
              <w:t>Target</w:t>
            </w:r>
          </w:p>
        </w:tc>
        <w:tc>
          <w:tcPr>
            <w:tcW w:w="740" w:type="dxa"/>
            <w:vAlign w:val="bottom"/>
          </w:tcPr>
          <w:p>
            <w:pPr>
              <w:ind w:left="40"/>
              <w:spacing w:after="0" w:line="143" w:lineRule="exact"/>
              <w:rPr>
                <w:sz w:val="20"/>
                <w:szCs w:val="20"/>
                <w:color w:val="auto"/>
              </w:rPr>
            </w:pPr>
            <w:r>
              <w:rPr>
                <w:rFonts w:ascii="Arial" w:cs="Arial" w:eastAsia="Arial" w:hAnsi="Arial"/>
                <w:sz w:val="14"/>
                <w:szCs w:val="14"/>
                <w:b w:val="1"/>
                <w:bCs w:val="1"/>
                <w:color w:val="0A9E50"/>
              </w:rPr>
              <w:t>Maximum</w:t>
            </w:r>
          </w:p>
        </w:tc>
        <w:tc>
          <w:tcPr>
            <w:tcW w:w="720" w:type="dxa"/>
            <w:vAlign w:val="bottom"/>
          </w:tcPr>
          <w:p>
            <w:pPr>
              <w:ind w:left="40"/>
              <w:spacing w:after="0" w:line="143" w:lineRule="exact"/>
              <w:rPr>
                <w:sz w:val="20"/>
                <w:szCs w:val="20"/>
                <w:color w:val="auto"/>
              </w:rPr>
            </w:pPr>
            <w:r>
              <w:rPr>
                <w:rFonts w:ascii="Arial" w:cs="Arial" w:eastAsia="Arial" w:hAnsi="Arial"/>
                <w:sz w:val="14"/>
                <w:szCs w:val="14"/>
                <w:b w:val="1"/>
                <w:bCs w:val="1"/>
                <w:color w:val="0A9E50"/>
                <w:w w:val="97"/>
              </w:rPr>
              <w:t>Threshold</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0A9E50"/>
                <w:w w:val="93"/>
              </w:rPr>
              <w:t>Target</w:t>
            </w:r>
          </w:p>
        </w:tc>
        <w:tc>
          <w:tcPr>
            <w:tcW w:w="680" w:type="dxa"/>
            <w:vAlign w:val="bottom"/>
          </w:tcPr>
          <w:p>
            <w:pPr>
              <w:ind w:left="40"/>
              <w:spacing w:after="0" w:line="143" w:lineRule="exact"/>
              <w:rPr>
                <w:sz w:val="20"/>
                <w:szCs w:val="20"/>
                <w:color w:val="auto"/>
              </w:rPr>
            </w:pPr>
            <w:r>
              <w:rPr>
                <w:rFonts w:ascii="Arial" w:cs="Arial" w:eastAsia="Arial" w:hAnsi="Arial"/>
                <w:sz w:val="14"/>
                <w:szCs w:val="14"/>
                <w:b w:val="1"/>
                <w:bCs w:val="1"/>
                <w:color w:val="0A9E50"/>
                <w:w w:val="95"/>
              </w:rPr>
              <w:t>Maximum</w:t>
            </w:r>
          </w:p>
        </w:tc>
        <w:tc>
          <w:tcPr>
            <w:tcW w:w="1000" w:type="dxa"/>
            <w:vAlign w:val="bottom"/>
          </w:tcPr>
          <w:p>
            <w:pPr>
              <w:jc w:val="center"/>
              <w:ind w:left="72"/>
              <w:spacing w:after="0" w:line="143" w:lineRule="exact"/>
              <w:rPr>
                <w:sz w:val="20"/>
                <w:szCs w:val="20"/>
                <w:color w:val="auto"/>
              </w:rPr>
            </w:pPr>
            <w:r>
              <w:rPr>
                <w:rFonts w:ascii="Arial" w:cs="Arial" w:eastAsia="Arial" w:hAnsi="Arial"/>
                <w:sz w:val="11"/>
                <w:szCs w:val="11"/>
                <w:b w:val="1"/>
                <w:bCs w:val="1"/>
                <w:color w:val="0A9E50"/>
              </w:rPr>
              <w:t>Units</w:t>
            </w:r>
            <w:r>
              <w:rPr>
                <w:rFonts w:ascii="Arial" w:cs="Arial" w:eastAsia="Arial" w:hAnsi="Arial"/>
                <w:sz w:val="16"/>
                <w:szCs w:val="16"/>
                <w:b w:val="1"/>
                <w:bCs w:val="1"/>
                <w:color w:val="0A9E50"/>
                <w:vertAlign w:val="superscript"/>
              </w:rPr>
              <w:t>(5)</w:t>
            </w:r>
          </w:p>
        </w:tc>
        <w:tc>
          <w:tcPr>
            <w:tcW w:w="760" w:type="dxa"/>
            <w:vAlign w:val="bottom"/>
          </w:tcPr>
          <w:p>
            <w:pPr>
              <w:jc w:val="center"/>
              <w:ind w:left="11"/>
              <w:spacing w:after="0" w:line="143" w:lineRule="exact"/>
              <w:rPr>
                <w:sz w:val="20"/>
                <w:szCs w:val="20"/>
                <w:color w:val="auto"/>
              </w:rPr>
            </w:pPr>
            <w:r>
              <w:rPr>
                <w:rFonts w:ascii="Arial" w:cs="Arial" w:eastAsia="Arial" w:hAnsi="Arial"/>
                <w:sz w:val="11"/>
                <w:szCs w:val="11"/>
                <w:b w:val="1"/>
                <w:bCs w:val="1"/>
                <w:color w:val="0A9E50"/>
              </w:rPr>
              <w:t>Awards</w:t>
            </w:r>
            <w:r>
              <w:rPr>
                <w:rFonts w:ascii="Arial" w:cs="Arial" w:eastAsia="Arial" w:hAnsi="Arial"/>
                <w:sz w:val="16"/>
                <w:szCs w:val="16"/>
                <w:b w:val="1"/>
                <w:bCs w:val="1"/>
                <w:color w:val="0A9E50"/>
                <w:vertAlign w:val="superscript"/>
              </w:rPr>
              <w:t>(6)</w:t>
            </w:r>
          </w:p>
        </w:tc>
        <w:tc>
          <w:tcPr>
            <w:tcW w:w="0" w:type="dxa"/>
            <w:vAlign w:val="bottom"/>
          </w:tcPr>
          <w:p>
            <w:pPr>
              <w:spacing w:after="0"/>
              <w:rPr>
                <w:sz w:val="1"/>
                <w:szCs w:val="1"/>
                <w:color w:val="auto"/>
              </w:rPr>
            </w:pPr>
          </w:p>
        </w:tc>
      </w:tr>
      <w:tr>
        <w:trPr>
          <w:trHeight w:val="247"/>
        </w:trPr>
        <w:tc>
          <w:tcPr>
            <w:tcW w:w="2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center"/>
              <w:ind w:left="811"/>
              <w:spacing w:after="0"/>
              <w:rPr>
                <w:sz w:val="20"/>
                <w:szCs w:val="20"/>
                <w:color w:val="auto"/>
              </w:rPr>
            </w:pPr>
            <w:r>
              <w:rPr>
                <w:rFonts w:ascii="Arial" w:cs="Arial" w:eastAsia="Arial" w:hAnsi="Arial"/>
                <w:sz w:val="14"/>
                <w:szCs w:val="14"/>
                <w:b w:val="1"/>
                <w:bCs w:val="1"/>
                <w:color w:val="0A9E50"/>
                <w:w w:val="89"/>
              </w:rPr>
              <w:t>Date</w:t>
            </w:r>
            <w:r>
              <w:rPr>
                <w:rFonts w:ascii="Arial" w:cs="Arial" w:eastAsia="Arial" w:hAnsi="Arial"/>
                <w:sz w:val="20"/>
                <w:szCs w:val="20"/>
                <w:b w:val="1"/>
                <w:bCs w:val="1"/>
                <w:color w:val="0A9E50"/>
                <w:w w:val="89"/>
                <w:vertAlign w:val="superscript"/>
              </w:rPr>
              <w:t>(2)</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w w:val="98"/>
              </w:rPr>
              <w:t>Date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rPr>
              <w:t>($)</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w w:val="93"/>
              </w:rPr>
              <w:t>($)</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w w:val="93"/>
              </w:rPr>
              <w: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w w:val="93"/>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rPr>
              <w:t>(#)</w:t>
            </w:r>
          </w:p>
        </w:tc>
        <w:tc>
          <w:tcPr>
            <w:tcW w:w="100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0A9E50"/>
              </w:rPr>
              <w:t>(#)</w:t>
            </w:r>
          </w:p>
        </w:tc>
        <w:tc>
          <w:tcPr>
            <w:tcW w:w="76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0A9E50"/>
                <w:w w:val="93"/>
              </w:rPr>
              <w:t>($)</w:t>
            </w:r>
          </w:p>
        </w:tc>
        <w:tc>
          <w:tcPr>
            <w:tcW w:w="0" w:type="dxa"/>
            <w:vAlign w:val="bottom"/>
          </w:tcPr>
          <w:p>
            <w:pPr>
              <w:spacing w:after="0"/>
              <w:rPr>
                <w:sz w:val="1"/>
                <w:szCs w:val="1"/>
                <w:color w:val="auto"/>
              </w:rPr>
            </w:pPr>
          </w:p>
        </w:tc>
      </w:tr>
      <w:tr>
        <w:trPr>
          <w:trHeight w:val="192"/>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Peter W. Quigley</w:t>
            </w: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6"/>
              </w:rPr>
              <w:t>STIP</w:t>
            </w:r>
          </w:p>
        </w:tc>
        <w:tc>
          <w:tcPr>
            <w:tcW w:w="6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8"/>
              </w:rPr>
              <w:t>540,000</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1,080,000</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2,160,000</w:t>
            </w: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7"/>
              </w:rPr>
              <w:t>52,636</w:t>
            </w:r>
          </w:p>
        </w:tc>
        <w:tc>
          <w:tcPr>
            <w:tcW w:w="660" w:type="dxa"/>
            <w:vAlign w:val="bottom"/>
          </w:tcPr>
          <w:p>
            <w:pPr>
              <w:jc w:val="center"/>
              <w:spacing w:after="0"/>
              <w:rPr>
                <w:sz w:val="20"/>
                <w:szCs w:val="20"/>
                <w:color w:val="auto"/>
              </w:rPr>
            </w:pPr>
            <w:r>
              <w:rPr>
                <w:rFonts w:ascii="Arial" w:cs="Arial" w:eastAsia="Arial" w:hAnsi="Arial"/>
                <w:sz w:val="14"/>
                <w:szCs w:val="14"/>
                <w:color w:val="auto"/>
              </w:rPr>
              <w:t>105,272</w:t>
            </w:r>
          </w:p>
        </w:tc>
        <w:tc>
          <w:tcPr>
            <w:tcW w:w="680" w:type="dxa"/>
            <w:vAlign w:val="bottom"/>
          </w:tcPr>
          <w:p>
            <w:pPr>
              <w:jc w:val="center"/>
              <w:spacing w:after="0"/>
              <w:rPr>
                <w:sz w:val="20"/>
                <w:szCs w:val="20"/>
                <w:color w:val="auto"/>
              </w:rPr>
            </w:pPr>
            <w:r>
              <w:rPr>
                <w:rFonts w:ascii="Arial" w:cs="Arial" w:eastAsia="Arial" w:hAnsi="Arial"/>
                <w:sz w:val="14"/>
                <w:szCs w:val="14"/>
                <w:color w:val="auto"/>
                <w:w w:val="98"/>
              </w:rPr>
              <w:t>210,544</w:t>
            </w:r>
          </w:p>
        </w:tc>
        <w:tc>
          <w:tcPr>
            <w:tcW w:w="1000" w:type="dxa"/>
            <w:vAlign w:val="bottom"/>
          </w:tcPr>
          <w:p>
            <w:pPr>
              <w:spacing w:after="0"/>
              <w:rPr>
                <w:sz w:val="15"/>
                <w:szCs w:val="15"/>
                <w:color w:val="auto"/>
              </w:rPr>
            </w:pPr>
          </w:p>
        </w:tc>
        <w:tc>
          <w:tcPr>
            <w:tcW w:w="760" w:type="dxa"/>
            <w:vAlign w:val="bottom"/>
          </w:tcPr>
          <w:p>
            <w:pPr>
              <w:jc w:val="center"/>
              <w:ind w:left="11"/>
              <w:spacing w:after="0"/>
              <w:rPr>
                <w:sz w:val="20"/>
                <w:szCs w:val="20"/>
                <w:color w:val="auto"/>
              </w:rPr>
            </w:pPr>
            <w:r>
              <w:rPr>
                <w:rFonts w:ascii="Arial" w:cs="Arial" w:eastAsia="Arial" w:hAnsi="Arial"/>
                <w:sz w:val="14"/>
                <w:szCs w:val="14"/>
                <w:color w:val="auto"/>
                <w:w w:val="96"/>
              </w:rPr>
              <w:t>1,598,029</w:t>
            </w: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center"/>
              <w:ind w:left="72"/>
              <w:spacing w:after="0"/>
              <w:rPr>
                <w:sz w:val="20"/>
                <w:szCs w:val="20"/>
                <w:color w:val="auto"/>
              </w:rPr>
            </w:pPr>
            <w:r>
              <w:rPr>
                <w:rFonts w:ascii="Arial" w:cs="Arial" w:eastAsia="Arial" w:hAnsi="Arial"/>
                <w:sz w:val="14"/>
                <w:szCs w:val="14"/>
                <w:color w:val="auto"/>
                <w:w w:val="97"/>
              </w:rPr>
              <w:t>35,090</w:t>
            </w: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562,493</w:t>
            </w:r>
          </w:p>
        </w:tc>
        <w:tc>
          <w:tcPr>
            <w:tcW w:w="0" w:type="dxa"/>
            <w:vAlign w:val="bottom"/>
          </w:tcPr>
          <w:p>
            <w:pPr>
              <w:spacing w:after="0"/>
              <w:rPr>
                <w:sz w:val="1"/>
                <w:szCs w:val="1"/>
                <w:color w:val="auto"/>
              </w:rPr>
            </w:pPr>
          </w:p>
        </w:tc>
      </w:tr>
      <w:tr>
        <w:trPr>
          <w:trHeight w:val="47"/>
        </w:trPr>
        <w:tc>
          <w:tcPr>
            <w:tcW w:w="2280" w:type="dxa"/>
            <w:vAlign w:val="bottom"/>
            <w:tcBorders>
              <w:bottom w:val="single" w:sz="8" w:color="7F7F7F"/>
            </w:tcBorders>
          </w:tcPr>
          <w:p>
            <w:pPr>
              <w:spacing w:after="0"/>
              <w:rPr>
                <w:sz w:val="4"/>
                <w:szCs w:val="4"/>
                <w:color w:val="auto"/>
              </w:rPr>
            </w:pPr>
          </w:p>
        </w:tc>
        <w:tc>
          <w:tcPr>
            <w:tcW w:w="158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Olivier G. Thirot</w:t>
            </w: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6"/>
              </w:rPr>
              <w:t>STIP</w:t>
            </w:r>
          </w:p>
        </w:tc>
        <w:tc>
          <w:tcPr>
            <w:tcW w:w="6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8"/>
              </w:rPr>
              <w:t>283,560</w:t>
            </w:r>
          </w:p>
        </w:tc>
        <w:tc>
          <w:tcPr>
            <w:tcW w:w="720" w:type="dxa"/>
            <w:vAlign w:val="bottom"/>
          </w:tcPr>
          <w:p>
            <w:pPr>
              <w:jc w:val="center"/>
              <w:spacing w:after="0"/>
              <w:rPr>
                <w:sz w:val="20"/>
                <w:szCs w:val="20"/>
                <w:color w:val="auto"/>
              </w:rPr>
            </w:pPr>
            <w:r>
              <w:rPr>
                <w:rFonts w:ascii="Arial" w:cs="Arial" w:eastAsia="Arial" w:hAnsi="Arial"/>
                <w:sz w:val="14"/>
                <w:szCs w:val="14"/>
                <w:color w:val="auto"/>
                <w:w w:val="98"/>
              </w:rPr>
              <w:t>567,120</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1,134,240</w:t>
            </w: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7"/>
              </w:rPr>
              <w:t>17,354</w:t>
            </w:r>
          </w:p>
        </w:tc>
        <w:tc>
          <w:tcPr>
            <w:tcW w:w="660" w:type="dxa"/>
            <w:vAlign w:val="bottom"/>
          </w:tcPr>
          <w:p>
            <w:pPr>
              <w:jc w:val="center"/>
              <w:spacing w:after="0"/>
              <w:rPr>
                <w:sz w:val="20"/>
                <w:szCs w:val="20"/>
                <w:color w:val="auto"/>
              </w:rPr>
            </w:pPr>
            <w:r>
              <w:rPr>
                <w:rFonts w:ascii="Arial" w:cs="Arial" w:eastAsia="Arial" w:hAnsi="Arial"/>
                <w:sz w:val="14"/>
                <w:szCs w:val="14"/>
                <w:color w:val="auto"/>
              </w:rPr>
              <w:t>34,708</w:t>
            </w: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69,416</w:t>
            </w:r>
          </w:p>
        </w:tc>
        <w:tc>
          <w:tcPr>
            <w:tcW w:w="1000" w:type="dxa"/>
            <w:vAlign w:val="bottom"/>
          </w:tcPr>
          <w:p>
            <w:pPr>
              <w:spacing w:after="0"/>
              <w:rPr>
                <w:sz w:val="15"/>
                <w:szCs w:val="15"/>
                <w:color w:val="auto"/>
              </w:rPr>
            </w:pP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526,867</w:t>
            </w: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center"/>
              <w:ind w:left="72"/>
              <w:spacing w:after="0"/>
              <w:rPr>
                <w:sz w:val="20"/>
                <w:szCs w:val="20"/>
                <w:color w:val="auto"/>
              </w:rPr>
            </w:pPr>
            <w:r>
              <w:rPr>
                <w:rFonts w:ascii="Arial" w:cs="Arial" w:eastAsia="Arial" w:hAnsi="Arial"/>
                <w:sz w:val="14"/>
                <w:szCs w:val="14"/>
                <w:color w:val="auto"/>
                <w:w w:val="97"/>
              </w:rPr>
              <w:t>23,138</w:t>
            </w: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370,902</w:t>
            </w:r>
          </w:p>
        </w:tc>
        <w:tc>
          <w:tcPr>
            <w:tcW w:w="0" w:type="dxa"/>
            <w:vAlign w:val="bottom"/>
          </w:tcPr>
          <w:p>
            <w:pPr>
              <w:spacing w:after="0"/>
              <w:rPr>
                <w:sz w:val="1"/>
                <w:szCs w:val="1"/>
                <w:color w:val="auto"/>
              </w:rPr>
            </w:pPr>
          </w:p>
        </w:tc>
      </w:tr>
      <w:tr>
        <w:trPr>
          <w:trHeight w:val="47"/>
        </w:trPr>
        <w:tc>
          <w:tcPr>
            <w:tcW w:w="2280" w:type="dxa"/>
            <w:vAlign w:val="bottom"/>
            <w:tcBorders>
              <w:bottom w:val="single" w:sz="8" w:color="7F7F7F"/>
            </w:tcBorders>
          </w:tcPr>
          <w:p>
            <w:pPr>
              <w:spacing w:after="0"/>
              <w:rPr>
                <w:sz w:val="4"/>
                <w:szCs w:val="4"/>
                <w:color w:val="auto"/>
              </w:rPr>
            </w:pPr>
          </w:p>
        </w:tc>
        <w:tc>
          <w:tcPr>
            <w:tcW w:w="158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Daniel H. Malan</w:t>
            </w: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6"/>
              </w:rPr>
              <w:t>STIP</w:t>
            </w:r>
          </w:p>
        </w:tc>
        <w:tc>
          <w:tcPr>
            <w:tcW w:w="6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8"/>
              </w:rPr>
              <w:t>121,825</w:t>
            </w:r>
          </w:p>
        </w:tc>
        <w:tc>
          <w:tcPr>
            <w:tcW w:w="720" w:type="dxa"/>
            <w:vAlign w:val="bottom"/>
          </w:tcPr>
          <w:p>
            <w:pPr>
              <w:jc w:val="center"/>
              <w:spacing w:after="0"/>
              <w:rPr>
                <w:sz w:val="20"/>
                <w:szCs w:val="20"/>
                <w:color w:val="auto"/>
              </w:rPr>
            </w:pPr>
            <w:r>
              <w:rPr>
                <w:rFonts w:ascii="Arial" w:cs="Arial" w:eastAsia="Arial" w:hAnsi="Arial"/>
                <w:sz w:val="14"/>
                <w:szCs w:val="14"/>
                <w:color w:val="auto"/>
                <w:w w:val="98"/>
              </w:rPr>
              <w:t>243,650</w:t>
            </w:r>
          </w:p>
        </w:tc>
        <w:tc>
          <w:tcPr>
            <w:tcW w:w="740" w:type="dxa"/>
            <w:vAlign w:val="bottom"/>
          </w:tcPr>
          <w:p>
            <w:pPr>
              <w:jc w:val="center"/>
              <w:spacing w:after="0"/>
              <w:rPr>
                <w:sz w:val="20"/>
                <w:szCs w:val="20"/>
                <w:color w:val="auto"/>
              </w:rPr>
            </w:pPr>
            <w:r>
              <w:rPr>
                <w:rFonts w:ascii="Arial" w:cs="Arial" w:eastAsia="Arial" w:hAnsi="Arial"/>
                <w:sz w:val="14"/>
                <w:szCs w:val="14"/>
                <w:color w:val="auto"/>
                <w:w w:val="98"/>
              </w:rPr>
              <w:t>487,300</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2/14/2023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center"/>
              <w:ind w:left="72"/>
              <w:spacing w:after="0"/>
              <w:rPr>
                <w:sz w:val="20"/>
                <w:szCs w:val="20"/>
                <w:color w:val="auto"/>
              </w:rPr>
            </w:pPr>
            <w:r>
              <w:rPr>
                <w:rFonts w:ascii="Arial" w:cs="Arial" w:eastAsia="Arial" w:hAnsi="Arial"/>
                <w:sz w:val="14"/>
                <w:szCs w:val="14"/>
                <w:color w:val="auto"/>
                <w:w w:val="97"/>
              </w:rPr>
              <w:t>13,943</w:t>
            </w: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249,998</w:t>
            </w: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6,218</w:t>
            </w:r>
          </w:p>
        </w:tc>
        <w:tc>
          <w:tcPr>
            <w:tcW w:w="660" w:type="dxa"/>
            <w:vAlign w:val="bottom"/>
          </w:tcPr>
          <w:p>
            <w:pPr>
              <w:jc w:val="center"/>
              <w:spacing w:after="0"/>
              <w:rPr>
                <w:sz w:val="20"/>
                <w:szCs w:val="20"/>
                <w:color w:val="auto"/>
              </w:rPr>
            </w:pPr>
            <w:r>
              <w:rPr>
                <w:rFonts w:ascii="Arial" w:cs="Arial" w:eastAsia="Arial" w:hAnsi="Arial"/>
                <w:sz w:val="14"/>
                <w:szCs w:val="14"/>
                <w:color w:val="auto"/>
              </w:rPr>
              <w:t>12,436</w:t>
            </w: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24,872</w:t>
            </w:r>
          </w:p>
        </w:tc>
        <w:tc>
          <w:tcPr>
            <w:tcW w:w="1000" w:type="dxa"/>
            <w:vAlign w:val="bottom"/>
          </w:tcPr>
          <w:p>
            <w:pPr>
              <w:spacing w:after="0"/>
              <w:rPr>
                <w:sz w:val="15"/>
                <w:szCs w:val="15"/>
                <w:color w:val="auto"/>
              </w:rPr>
            </w:pP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188,778</w:t>
            </w: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center"/>
              <w:ind w:left="72"/>
              <w:spacing w:after="0"/>
              <w:rPr>
                <w:sz w:val="20"/>
                <w:szCs w:val="20"/>
                <w:color w:val="auto"/>
              </w:rPr>
            </w:pPr>
            <w:r>
              <w:rPr>
                <w:rFonts w:ascii="Arial" w:cs="Arial" w:eastAsia="Arial" w:hAnsi="Arial"/>
                <w:sz w:val="14"/>
                <w:szCs w:val="14"/>
                <w:color w:val="auto"/>
                <w:w w:val="96"/>
              </w:rPr>
              <w:t>8,291</w:t>
            </w: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132,905</w:t>
            </w:r>
          </w:p>
        </w:tc>
        <w:tc>
          <w:tcPr>
            <w:tcW w:w="0" w:type="dxa"/>
            <w:vAlign w:val="bottom"/>
          </w:tcPr>
          <w:p>
            <w:pPr>
              <w:spacing w:after="0"/>
              <w:rPr>
                <w:sz w:val="1"/>
                <w:szCs w:val="1"/>
                <w:color w:val="auto"/>
              </w:rPr>
            </w:pPr>
          </w:p>
        </w:tc>
      </w:tr>
      <w:tr>
        <w:trPr>
          <w:trHeight w:val="47"/>
        </w:trPr>
        <w:tc>
          <w:tcPr>
            <w:tcW w:w="2280" w:type="dxa"/>
            <w:vAlign w:val="bottom"/>
            <w:tcBorders>
              <w:bottom w:val="single" w:sz="8" w:color="7F7F7F"/>
            </w:tcBorders>
          </w:tcPr>
          <w:p>
            <w:pPr>
              <w:spacing w:after="0"/>
              <w:rPr>
                <w:sz w:val="4"/>
                <w:szCs w:val="4"/>
                <w:color w:val="auto"/>
              </w:rPr>
            </w:pPr>
          </w:p>
        </w:tc>
        <w:tc>
          <w:tcPr>
            <w:tcW w:w="158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Vanessa P. Williams</w:t>
            </w: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6"/>
              </w:rPr>
              <w:t>STIP</w:t>
            </w:r>
          </w:p>
        </w:tc>
        <w:tc>
          <w:tcPr>
            <w:tcW w:w="6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8"/>
              </w:rPr>
              <w:t>153,994</w:t>
            </w:r>
          </w:p>
        </w:tc>
        <w:tc>
          <w:tcPr>
            <w:tcW w:w="720" w:type="dxa"/>
            <w:vAlign w:val="bottom"/>
          </w:tcPr>
          <w:p>
            <w:pPr>
              <w:jc w:val="center"/>
              <w:spacing w:after="0"/>
              <w:rPr>
                <w:sz w:val="20"/>
                <w:szCs w:val="20"/>
                <w:color w:val="auto"/>
              </w:rPr>
            </w:pPr>
            <w:r>
              <w:rPr>
                <w:rFonts w:ascii="Arial" w:cs="Arial" w:eastAsia="Arial" w:hAnsi="Arial"/>
                <w:sz w:val="14"/>
                <w:szCs w:val="14"/>
                <w:color w:val="auto"/>
                <w:w w:val="98"/>
              </w:rPr>
              <w:t>307,987</w:t>
            </w:r>
          </w:p>
        </w:tc>
        <w:tc>
          <w:tcPr>
            <w:tcW w:w="740" w:type="dxa"/>
            <w:vAlign w:val="bottom"/>
          </w:tcPr>
          <w:p>
            <w:pPr>
              <w:jc w:val="center"/>
              <w:spacing w:after="0"/>
              <w:rPr>
                <w:sz w:val="20"/>
                <w:szCs w:val="20"/>
                <w:color w:val="auto"/>
              </w:rPr>
            </w:pPr>
            <w:r>
              <w:rPr>
                <w:rFonts w:ascii="Arial" w:cs="Arial" w:eastAsia="Arial" w:hAnsi="Arial"/>
                <w:sz w:val="14"/>
                <w:szCs w:val="14"/>
                <w:color w:val="auto"/>
                <w:w w:val="98"/>
              </w:rPr>
              <w:t>615,975</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7,748</w:t>
            </w:r>
          </w:p>
        </w:tc>
        <w:tc>
          <w:tcPr>
            <w:tcW w:w="660" w:type="dxa"/>
            <w:vAlign w:val="bottom"/>
          </w:tcPr>
          <w:p>
            <w:pPr>
              <w:jc w:val="center"/>
              <w:spacing w:after="0"/>
              <w:rPr>
                <w:sz w:val="20"/>
                <w:szCs w:val="20"/>
                <w:color w:val="auto"/>
              </w:rPr>
            </w:pPr>
            <w:r>
              <w:rPr>
                <w:rFonts w:ascii="Arial" w:cs="Arial" w:eastAsia="Arial" w:hAnsi="Arial"/>
                <w:sz w:val="14"/>
                <w:szCs w:val="14"/>
                <w:color w:val="auto"/>
              </w:rPr>
              <w:t>15,496</w:t>
            </w: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30,992</w:t>
            </w:r>
          </w:p>
        </w:tc>
        <w:tc>
          <w:tcPr>
            <w:tcW w:w="1000" w:type="dxa"/>
            <w:vAlign w:val="bottom"/>
          </w:tcPr>
          <w:p>
            <w:pPr>
              <w:spacing w:after="0"/>
              <w:rPr>
                <w:sz w:val="15"/>
                <w:szCs w:val="15"/>
                <w:color w:val="auto"/>
              </w:rPr>
            </w:pP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235,229</w:t>
            </w: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center"/>
              <w:ind w:left="72"/>
              <w:spacing w:after="0"/>
              <w:rPr>
                <w:sz w:val="20"/>
                <w:szCs w:val="20"/>
                <w:color w:val="auto"/>
              </w:rPr>
            </w:pPr>
            <w:r>
              <w:rPr>
                <w:rFonts w:ascii="Arial" w:cs="Arial" w:eastAsia="Arial" w:hAnsi="Arial"/>
                <w:sz w:val="14"/>
                <w:szCs w:val="14"/>
                <w:color w:val="auto"/>
                <w:w w:val="97"/>
              </w:rPr>
              <w:t>10,331</w:t>
            </w: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165,606</w:t>
            </w:r>
          </w:p>
        </w:tc>
        <w:tc>
          <w:tcPr>
            <w:tcW w:w="0" w:type="dxa"/>
            <w:vAlign w:val="bottom"/>
          </w:tcPr>
          <w:p>
            <w:pPr>
              <w:spacing w:after="0"/>
              <w:rPr>
                <w:sz w:val="1"/>
                <w:szCs w:val="1"/>
                <w:color w:val="auto"/>
              </w:rPr>
            </w:pPr>
          </w:p>
        </w:tc>
      </w:tr>
      <w:tr>
        <w:trPr>
          <w:trHeight w:val="47"/>
        </w:trPr>
        <w:tc>
          <w:tcPr>
            <w:tcW w:w="2280" w:type="dxa"/>
            <w:vAlign w:val="bottom"/>
            <w:tcBorders>
              <w:bottom w:val="single" w:sz="8" w:color="7F7F7F"/>
            </w:tcBorders>
          </w:tcPr>
          <w:p>
            <w:pPr>
              <w:spacing w:after="0"/>
              <w:rPr>
                <w:sz w:val="4"/>
                <w:szCs w:val="4"/>
                <w:color w:val="auto"/>
              </w:rPr>
            </w:pPr>
          </w:p>
        </w:tc>
        <w:tc>
          <w:tcPr>
            <w:tcW w:w="158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280" w:type="dxa"/>
            <w:vAlign w:val="bottom"/>
          </w:tcPr>
          <w:p>
            <w:pPr>
              <w:ind w:left="60"/>
              <w:spacing w:after="0"/>
              <w:rPr>
                <w:sz w:val="20"/>
                <w:szCs w:val="20"/>
                <w:color w:val="auto"/>
              </w:rPr>
            </w:pPr>
            <w:r>
              <w:rPr>
                <w:rFonts w:ascii="Arial" w:cs="Arial" w:eastAsia="Arial" w:hAnsi="Arial"/>
                <w:sz w:val="14"/>
                <w:szCs w:val="14"/>
                <w:b w:val="1"/>
                <w:bCs w:val="1"/>
                <w:color w:val="auto"/>
              </w:rPr>
              <w:t>Dinette Koolhaas</w:t>
            </w: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6"/>
              </w:rPr>
              <w:t>STIP</w:t>
            </w:r>
          </w:p>
        </w:tc>
        <w:tc>
          <w:tcPr>
            <w:tcW w:w="6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8"/>
              </w:rPr>
              <w:t>158,000</w:t>
            </w:r>
          </w:p>
        </w:tc>
        <w:tc>
          <w:tcPr>
            <w:tcW w:w="720" w:type="dxa"/>
            <w:vAlign w:val="bottom"/>
          </w:tcPr>
          <w:p>
            <w:pPr>
              <w:jc w:val="center"/>
              <w:spacing w:after="0"/>
              <w:rPr>
                <w:sz w:val="20"/>
                <w:szCs w:val="20"/>
                <w:color w:val="auto"/>
              </w:rPr>
            </w:pPr>
            <w:r>
              <w:rPr>
                <w:rFonts w:ascii="Arial" w:cs="Arial" w:eastAsia="Arial" w:hAnsi="Arial"/>
                <w:sz w:val="14"/>
                <w:szCs w:val="14"/>
                <w:color w:val="auto"/>
                <w:w w:val="98"/>
              </w:rPr>
              <w:t>316,000</w:t>
            </w:r>
          </w:p>
        </w:tc>
        <w:tc>
          <w:tcPr>
            <w:tcW w:w="740" w:type="dxa"/>
            <w:vAlign w:val="bottom"/>
          </w:tcPr>
          <w:p>
            <w:pPr>
              <w:jc w:val="center"/>
              <w:spacing w:after="0"/>
              <w:rPr>
                <w:sz w:val="20"/>
                <w:szCs w:val="20"/>
                <w:color w:val="auto"/>
              </w:rPr>
            </w:pPr>
            <w:r>
              <w:rPr>
                <w:rFonts w:ascii="Arial" w:cs="Arial" w:eastAsia="Arial" w:hAnsi="Arial"/>
                <w:sz w:val="14"/>
                <w:szCs w:val="14"/>
                <w:color w:val="auto"/>
                <w:w w:val="98"/>
              </w:rPr>
              <w:t>632,000</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6,769</w:t>
            </w:r>
          </w:p>
        </w:tc>
        <w:tc>
          <w:tcPr>
            <w:tcW w:w="660" w:type="dxa"/>
            <w:vAlign w:val="bottom"/>
          </w:tcPr>
          <w:p>
            <w:pPr>
              <w:jc w:val="center"/>
              <w:spacing w:after="0"/>
              <w:rPr>
                <w:sz w:val="20"/>
                <w:szCs w:val="20"/>
                <w:color w:val="auto"/>
              </w:rPr>
            </w:pPr>
            <w:r>
              <w:rPr>
                <w:rFonts w:ascii="Arial" w:cs="Arial" w:eastAsia="Arial" w:hAnsi="Arial"/>
                <w:sz w:val="14"/>
                <w:szCs w:val="14"/>
                <w:color w:val="auto"/>
              </w:rPr>
              <w:t>13,538</w:t>
            </w:r>
          </w:p>
        </w:tc>
        <w:tc>
          <w:tcPr>
            <w:tcW w:w="680" w:type="dxa"/>
            <w:vAlign w:val="bottom"/>
          </w:tcPr>
          <w:p>
            <w:pPr>
              <w:jc w:val="center"/>
              <w:spacing w:after="0"/>
              <w:rPr>
                <w:sz w:val="20"/>
                <w:szCs w:val="20"/>
                <w:color w:val="auto"/>
              </w:rPr>
            </w:pPr>
            <w:r>
              <w:rPr>
                <w:rFonts w:ascii="Arial" w:cs="Arial" w:eastAsia="Arial" w:hAnsi="Arial"/>
                <w:sz w:val="14"/>
                <w:szCs w:val="14"/>
                <w:color w:val="auto"/>
                <w:w w:val="97"/>
              </w:rPr>
              <w:t>27,076</w:t>
            </w:r>
          </w:p>
        </w:tc>
        <w:tc>
          <w:tcPr>
            <w:tcW w:w="1000" w:type="dxa"/>
            <w:vAlign w:val="bottom"/>
          </w:tcPr>
          <w:p>
            <w:pPr>
              <w:spacing w:after="0"/>
              <w:rPr>
                <w:sz w:val="15"/>
                <w:szCs w:val="15"/>
                <w:color w:val="auto"/>
              </w:rPr>
            </w:pP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205,507</w:t>
            </w: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5"/>
                <w:szCs w:val="15"/>
                <w:color w:val="auto"/>
              </w:rPr>
            </w:pPr>
          </w:p>
        </w:tc>
        <w:tc>
          <w:tcPr>
            <w:tcW w:w="1580" w:type="dxa"/>
            <w:vAlign w:val="bottom"/>
          </w:tcPr>
          <w:p>
            <w:pPr>
              <w:jc w:val="center"/>
              <w:ind w:left="811"/>
              <w:spacing w:after="0"/>
              <w:rPr>
                <w:sz w:val="20"/>
                <w:szCs w:val="20"/>
                <w:color w:val="auto"/>
              </w:rPr>
            </w:pPr>
            <w:r>
              <w:rPr>
                <w:rFonts w:ascii="Arial" w:cs="Arial" w:eastAsia="Arial" w:hAnsi="Arial"/>
                <w:sz w:val="14"/>
                <w:szCs w:val="14"/>
                <w:color w:val="auto"/>
                <w:w w:val="99"/>
              </w:rPr>
              <w:t>3/21/2023</w:t>
            </w: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jc w:val="center"/>
              <w:ind w:left="72"/>
              <w:spacing w:after="0"/>
              <w:rPr>
                <w:sz w:val="20"/>
                <w:szCs w:val="20"/>
                <w:color w:val="auto"/>
              </w:rPr>
            </w:pPr>
            <w:r>
              <w:rPr>
                <w:rFonts w:ascii="Arial" w:cs="Arial" w:eastAsia="Arial" w:hAnsi="Arial"/>
                <w:sz w:val="14"/>
                <w:szCs w:val="14"/>
                <w:color w:val="auto"/>
                <w:w w:val="96"/>
              </w:rPr>
              <w:t>9,025</w:t>
            </w:r>
          </w:p>
        </w:tc>
        <w:tc>
          <w:tcPr>
            <w:tcW w:w="760" w:type="dxa"/>
            <w:vAlign w:val="bottom"/>
          </w:tcPr>
          <w:p>
            <w:pPr>
              <w:jc w:val="center"/>
              <w:ind w:left="11"/>
              <w:spacing w:after="0"/>
              <w:rPr>
                <w:sz w:val="20"/>
                <w:szCs w:val="20"/>
                <w:color w:val="auto"/>
              </w:rPr>
            </w:pPr>
            <w:r>
              <w:rPr>
                <w:rFonts w:ascii="Arial" w:cs="Arial" w:eastAsia="Arial" w:hAnsi="Arial"/>
                <w:sz w:val="14"/>
                <w:szCs w:val="14"/>
                <w:color w:val="auto"/>
              </w:rPr>
              <w:t>144,671</w:t>
            </w:r>
          </w:p>
        </w:tc>
        <w:tc>
          <w:tcPr>
            <w:tcW w:w="0" w:type="dxa"/>
            <w:vAlign w:val="bottom"/>
          </w:tcPr>
          <w:p>
            <w:pPr>
              <w:spacing w:after="0"/>
              <w:rPr>
                <w:sz w:val="1"/>
                <w:szCs w:val="1"/>
                <w:color w:val="auto"/>
              </w:rPr>
            </w:pPr>
          </w:p>
        </w:tc>
      </w:tr>
      <w:tr>
        <w:trPr>
          <w:trHeight w:val="47"/>
        </w:trPr>
        <w:tc>
          <w:tcPr>
            <w:tcW w:w="2280" w:type="dxa"/>
            <w:vAlign w:val="bottom"/>
            <w:tcBorders>
              <w:bottom w:val="single" w:sz="8" w:color="7F7F7F"/>
            </w:tcBorders>
          </w:tcPr>
          <w:p>
            <w:pPr>
              <w:spacing w:after="0"/>
              <w:rPr>
                <w:sz w:val="4"/>
                <w:szCs w:val="4"/>
                <w:color w:val="auto"/>
              </w:rPr>
            </w:pPr>
          </w:p>
        </w:tc>
        <w:tc>
          <w:tcPr>
            <w:tcW w:w="158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04" w:hanging="304"/>
        <w:spacing w:after="0"/>
        <w:tabs>
          <w:tab w:leader="none" w:pos="304"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Company has not granted stock options since 2004, including 2023. Accordingly, this column has been eliminated from the table.</w:t>
      </w:r>
    </w:p>
    <w:p>
      <w:pPr>
        <w:spacing w:after="0" w:line="70" w:lineRule="exact"/>
        <w:rPr>
          <w:rFonts w:ascii="Arial" w:cs="Arial" w:eastAsia="Arial" w:hAnsi="Arial"/>
          <w:sz w:val="12"/>
          <w:szCs w:val="12"/>
          <w:color w:val="auto"/>
        </w:rPr>
      </w:pPr>
    </w:p>
    <w:p>
      <w:pPr>
        <w:ind w:left="304" w:right="380" w:hanging="304"/>
        <w:spacing w:after="0" w:line="264" w:lineRule="auto"/>
        <w:tabs>
          <w:tab w:leader="none" w:pos="304" w:val="left"/>
        </w:tabs>
        <w:numPr>
          <w:ilvl w:val="0"/>
          <w:numId w:val="43"/>
        </w:numPr>
        <w:rPr>
          <w:rFonts w:ascii="Arial" w:cs="Arial" w:eastAsia="Arial" w:hAnsi="Arial"/>
          <w:sz w:val="12"/>
          <w:szCs w:val="12"/>
          <w:color w:val="auto"/>
        </w:rPr>
      </w:pPr>
      <w:r>
        <w:rPr>
          <w:rFonts w:ascii="Arial" w:cs="Arial" w:eastAsia="Arial" w:hAnsi="Arial"/>
          <w:sz w:val="12"/>
          <w:szCs w:val="12"/>
          <w:color w:val="auto"/>
        </w:rPr>
        <w:t>Long-term incentive grants to named executive officers, consisting of Restricted Stock Awards/Units and Performance Shares, were approved by the Committee at its February 14, 2023, meeting for Mr. Malan and its March 21, 2023, meeting for all named officers.</w:t>
      </w:r>
    </w:p>
    <w:p>
      <w:pPr>
        <w:spacing w:after="0" w:line="34" w:lineRule="exact"/>
        <w:rPr>
          <w:rFonts w:ascii="Arial" w:cs="Arial" w:eastAsia="Arial" w:hAnsi="Arial"/>
          <w:sz w:val="12"/>
          <w:szCs w:val="12"/>
          <w:color w:val="auto"/>
        </w:rPr>
      </w:pPr>
    </w:p>
    <w:p>
      <w:pPr>
        <w:ind w:left="304" w:right="20" w:hanging="304"/>
        <w:spacing w:after="0" w:line="245" w:lineRule="auto"/>
        <w:tabs>
          <w:tab w:leader="none" w:pos="304" w:val="left"/>
        </w:tabs>
        <w:numPr>
          <w:ilvl w:val="0"/>
          <w:numId w:val="43"/>
        </w:numPr>
        <w:rPr>
          <w:rFonts w:ascii="Arial" w:cs="Arial" w:eastAsia="Arial" w:hAnsi="Arial"/>
          <w:sz w:val="12"/>
          <w:szCs w:val="12"/>
          <w:color w:val="auto"/>
        </w:rPr>
      </w:pPr>
      <w:r>
        <w:rPr>
          <w:rFonts w:ascii="Arial" w:cs="Arial" w:eastAsia="Arial" w:hAnsi="Arial"/>
          <w:sz w:val="12"/>
          <w:szCs w:val="12"/>
          <w:color w:val="auto"/>
        </w:rPr>
        <w:t>Shown are the Threshold, Target, and Maximum payouts for which each executive was eligible under our STIP with respect to fiscal 2023 performance. Amounts actually earned with respect to these awards are included in the Summary Compensation Table as Non-Equity Incentive Plan compensation. Further detail regarding actual 2023 STIP awards appear in the Compensation Discussion &amp; Analysis.</w:t>
      </w:r>
    </w:p>
    <w:p>
      <w:pPr>
        <w:spacing w:after="0" w:line="45" w:lineRule="exact"/>
        <w:rPr>
          <w:rFonts w:ascii="Arial" w:cs="Arial" w:eastAsia="Arial" w:hAnsi="Arial"/>
          <w:sz w:val="12"/>
          <w:szCs w:val="12"/>
          <w:color w:val="auto"/>
        </w:rPr>
      </w:pPr>
    </w:p>
    <w:p>
      <w:pPr>
        <w:ind w:left="304" w:right="280" w:hanging="304"/>
        <w:spacing w:after="0" w:line="239" w:lineRule="auto"/>
        <w:tabs>
          <w:tab w:leader="none" w:pos="304" w:val="left"/>
        </w:tabs>
        <w:numPr>
          <w:ilvl w:val="0"/>
          <w:numId w:val="43"/>
        </w:numPr>
        <w:rPr>
          <w:rFonts w:ascii="Arial" w:cs="Arial" w:eastAsia="Arial" w:hAnsi="Arial"/>
          <w:sz w:val="12"/>
          <w:szCs w:val="12"/>
          <w:color w:val="auto"/>
        </w:rPr>
      </w:pPr>
      <w:r>
        <w:rPr>
          <w:rFonts w:ascii="Arial" w:cs="Arial" w:eastAsia="Arial" w:hAnsi="Arial"/>
          <w:sz w:val="12"/>
          <w:szCs w:val="12"/>
          <w:color w:val="auto"/>
        </w:rPr>
        <w:t>Performance Shares granted in 2023 are earned based upon achievement of two financial measures. These two measures are equally weighted. Achievement of a threshold level of performance on either measure results in 50% of the target shares for that measure being earned. Achievement of the target level of performance on either measure results in 100% of the target shares for that measure being earned. Achievement of the maximum level performance on either measure results in 200% of the target shares for that measure being earned by the named executive officer. Achievement between these levels for each measure is interpolated on a straight-line basis.</w:t>
      </w:r>
    </w:p>
    <w:p>
      <w:pPr>
        <w:spacing w:after="0" w:line="48" w:lineRule="exact"/>
        <w:rPr>
          <w:rFonts w:ascii="Arial" w:cs="Arial" w:eastAsia="Arial" w:hAnsi="Arial"/>
          <w:sz w:val="12"/>
          <w:szCs w:val="12"/>
          <w:color w:val="auto"/>
        </w:rPr>
      </w:pPr>
    </w:p>
    <w:p>
      <w:pPr>
        <w:ind w:left="304" w:right="480" w:hanging="304"/>
        <w:spacing w:after="0" w:line="264" w:lineRule="auto"/>
        <w:tabs>
          <w:tab w:leader="none" w:pos="304"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Restricted Stock Awards/Units granted on March 21, 2023 vest ratably on each of the first three anniversaries of the date of grant (33.3% per year). Restricted Stock Awards granted to Mr. Malan on February 14, 2023 will cliff vest on the second anniversary of the date of grant.</w:t>
      </w:r>
    </w:p>
    <w:p>
      <w:pPr>
        <w:spacing w:after="0" w:line="34" w:lineRule="exact"/>
        <w:rPr>
          <w:rFonts w:ascii="Arial" w:cs="Arial" w:eastAsia="Arial" w:hAnsi="Arial"/>
          <w:sz w:val="12"/>
          <w:szCs w:val="12"/>
          <w:color w:val="auto"/>
        </w:rPr>
      </w:pPr>
    </w:p>
    <w:p>
      <w:pPr>
        <w:ind w:left="304" w:right="20" w:hanging="304"/>
        <w:spacing w:after="0" w:line="239" w:lineRule="auto"/>
        <w:tabs>
          <w:tab w:leader="none" w:pos="304"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grant date fair values reported for 2023 are determined by multiplying the number of shares granted by the Market Value (“MV”) on the grant date. MV for Restricted Stock is determined by the closing price on the date of grant. MV for Performance Shares is determined by the closing stock price on the date of grant, discounted because these shares are not eligible for dividends. The MV for the Restricted Stock granted to Mr. Malan on February 14, 2023 is $17.93 and to all named officers on March 21, 2023 is $16.03. The MV for Performance Shares granted to all named officers on March 21, 2023 is $15.18.</w:t>
      </w:r>
    </w:p>
    <w:p>
      <w:pPr>
        <w:spacing w:after="0" w:line="57" w:lineRule="exact"/>
        <w:rPr>
          <w:sz w:val="20"/>
          <w:szCs w:val="20"/>
          <w:color w:val="auto"/>
        </w:rPr>
      </w:pPr>
    </w:p>
    <w:p>
      <w:pPr>
        <w:ind w:left="64"/>
        <w:spacing w:after="0"/>
        <w:tabs>
          <w:tab w:leader="none" w:pos="563" w:val="left"/>
        </w:tabs>
        <w:rPr>
          <w:sz w:val="20"/>
          <w:szCs w:val="20"/>
          <w:color w:val="auto"/>
        </w:rPr>
      </w:pPr>
      <w:r>
        <w:rPr>
          <w:rFonts w:ascii="Arial" w:cs="Arial" w:eastAsia="Arial" w:hAnsi="Arial"/>
          <w:sz w:val="36"/>
          <w:szCs w:val="36"/>
          <w:color w:val="auto"/>
          <w:vertAlign w:val="superscript"/>
        </w:rPr>
        <w:t>66 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-214630</wp:posOffset>
            </wp:positionV>
            <wp:extent cx="8255" cy="2228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bookmarkStart w:id="68" w:name="page69"/>
    <w:bookmarkEnd w:id="68"/>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2023 Executive Compensation Tables</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Outstanding Equity Awards at Fiscal Year End 2023</w:t>
      </w:r>
      <w:r>
        <w:rPr>
          <w:rFonts w:ascii="Arial" w:cs="Arial" w:eastAsia="Arial" w:hAnsi="Arial"/>
          <w:sz w:val="15"/>
          <w:szCs w:val="15"/>
          <w:b w:val="1"/>
          <w:bCs w:val="1"/>
          <w:color w:val="auto"/>
        </w:rPr>
        <w:t>(1)</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60" w:type="dxa"/>
            <w:vAlign w:val="bottom"/>
          </w:tcPr>
          <w:p>
            <w:pPr>
              <w:ind w:left="260"/>
              <w:spacing w:after="0"/>
              <w:rPr>
                <w:sz w:val="20"/>
                <w:szCs w:val="20"/>
                <w:color w:val="auto"/>
              </w:rPr>
            </w:pPr>
            <w:r>
              <w:rPr>
                <w:rFonts w:ascii="Arial" w:cs="Arial" w:eastAsia="Arial" w:hAnsi="Arial"/>
                <w:sz w:val="14"/>
                <w:szCs w:val="14"/>
                <w:b w:val="1"/>
                <w:bCs w:val="1"/>
                <w:color w:val="0A9E50"/>
              </w:rPr>
              <w:t>Stock Awards</w:t>
            </w:r>
          </w:p>
        </w:tc>
        <w:tc>
          <w:tcPr>
            <w:tcW w:w="1920" w:type="dxa"/>
            <w:vAlign w:val="bottom"/>
          </w:tcPr>
          <w:p>
            <w:pPr>
              <w:spacing w:after="0"/>
              <w:rPr>
                <w:sz w:val="16"/>
                <w:szCs w:val="16"/>
                <w:color w:val="auto"/>
              </w:rPr>
            </w:pPr>
          </w:p>
        </w:tc>
      </w:tr>
      <w:tr>
        <w:trPr>
          <w:trHeight w:val="39"/>
        </w:trPr>
        <w:tc>
          <w:tcPr>
            <w:tcW w:w="22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r>
        <w:trPr>
          <w:trHeight w:val="140"/>
        </w:trPr>
        <w:tc>
          <w:tcPr>
            <w:tcW w:w="2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00" w:type="dxa"/>
            <w:vAlign w:val="bottom"/>
          </w:tcPr>
          <w:p>
            <w:pPr>
              <w:jc w:val="center"/>
              <w:ind w:left="92"/>
              <w:spacing w:after="0" w:line="140" w:lineRule="exact"/>
              <w:rPr>
                <w:sz w:val="20"/>
                <w:szCs w:val="20"/>
                <w:color w:val="auto"/>
              </w:rPr>
            </w:pPr>
            <w:r>
              <w:rPr>
                <w:rFonts w:ascii="Arial" w:cs="Arial" w:eastAsia="Arial" w:hAnsi="Arial"/>
                <w:sz w:val="14"/>
                <w:szCs w:val="14"/>
                <w:b w:val="1"/>
                <w:bCs w:val="1"/>
                <w:color w:val="0A9E50"/>
                <w:w w:val="99"/>
              </w:rPr>
              <w:t>Number of</w:t>
            </w:r>
          </w:p>
        </w:tc>
        <w:tc>
          <w:tcPr>
            <w:tcW w:w="1340" w:type="dxa"/>
            <w:vAlign w:val="bottom"/>
          </w:tcPr>
          <w:p>
            <w:pPr>
              <w:jc w:val="center"/>
              <w:spacing w:after="0" w:line="140" w:lineRule="exact"/>
              <w:rPr>
                <w:sz w:val="20"/>
                <w:szCs w:val="20"/>
                <w:color w:val="auto"/>
              </w:rPr>
            </w:pPr>
            <w:r>
              <w:rPr>
                <w:rFonts w:ascii="Arial" w:cs="Arial" w:eastAsia="Arial" w:hAnsi="Arial"/>
                <w:sz w:val="14"/>
                <w:szCs w:val="14"/>
                <w:b w:val="1"/>
                <w:bCs w:val="1"/>
                <w:color w:val="0A9E50"/>
                <w:w w:val="98"/>
              </w:rPr>
              <w:t>Market Value of</w:t>
            </w:r>
          </w:p>
        </w:tc>
        <w:tc>
          <w:tcPr>
            <w:tcW w:w="2060" w:type="dxa"/>
            <w:vAlign w:val="bottom"/>
          </w:tcPr>
          <w:p>
            <w:pPr>
              <w:jc w:val="center"/>
              <w:spacing w:after="0" w:line="140" w:lineRule="exact"/>
              <w:rPr>
                <w:sz w:val="20"/>
                <w:szCs w:val="20"/>
                <w:color w:val="auto"/>
              </w:rPr>
            </w:pPr>
            <w:r>
              <w:rPr>
                <w:rFonts w:ascii="Arial" w:cs="Arial" w:eastAsia="Arial" w:hAnsi="Arial"/>
                <w:sz w:val="14"/>
                <w:szCs w:val="14"/>
                <w:b w:val="1"/>
                <w:bCs w:val="1"/>
                <w:color w:val="0A9E50"/>
                <w:w w:val="97"/>
              </w:rPr>
              <w:t>Equity Incentive Plan</w:t>
            </w:r>
          </w:p>
        </w:tc>
        <w:tc>
          <w:tcPr>
            <w:tcW w:w="1920" w:type="dxa"/>
            <w:vAlign w:val="bottom"/>
          </w:tcPr>
          <w:p>
            <w:pPr>
              <w:jc w:val="center"/>
              <w:ind w:left="91"/>
              <w:spacing w:after="0" w:line="140" w:lineRule="exact"/>
              <w:rPr>
                <w:sz w:val="20"/>
                <w:szCs w:val="20"/>
                <w:color w:val="auto"/>
              </w:rPr>
            </w:pPr>
            <w:r>
              <w:rPr>
                <w:rFonts w:ascii="Arial" w:cs="Arial" w:eastAsia="Arial" w:hAnsi="Arial"/>
                <w:sz w:val="14"/>
                <w:szCs w:val="14"/>
                <w:b w:val="1"/>
                <w:bCs w:val="1"/>
                <w:color w:val="0A9E50"/>
                <w:w w:val="99"/>
              </w:rPr>
              <w:t>Equity Incentive Plan</w:t>
            </w:r>
          </w:p>
        </w:tc>
      </w:tr>
      <w:tr>
        <w:trPr>
          <w:trHeight w:val="156"/>
        </w:trPr>
        <w:tc>
          <w:tcPr>
            <w:tcW w:w="2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00" w:type="dxa"/>
            <w:vAlign w:val="bottom"/>
          </w:tcPr>
          <w:p>
            <w:pPr>
              <w:jc w:val="center"/>
              <w:ind w:left="92"/>
              <w:spacing w:after="0" w:line="156" w:lineRule="exact"/>
              <w:rPr>
                <w:sz w:val="20"/>
                <w:szCs w:val="20"/>
                <w:color w:val="auto"/>
              </w:rPr>
            </w:pPr>
            <w:r>
              <w:rPr>
                <w:rFonts w:ascii="Arial" w:cs="Arial" w:eastAsia="Arial" w:hAnsi="Arial"/>
                <w:sz w:val="14"/>
                <w:szCs w:val="14"/>
                <w:b w:val="1"/>
                <w:bCs w:val="1"/>
                <w:color w:val="0A9E50"/>
                <w:w w:val="98"/>
              </w:rPr>
              <w:t>Shares or Units</w:t>
            </w:r>
          </w:p>
        </w:tc>
        <w:tc>
          <w:tcPr>
            <w:tcW w:w="134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8"/>
              </w:rPr>
              <w:t>Shares or Units</w:t>
            </w:r>
          </w:p>
        </w:tc>
        <w:tc>
          <w:tcPr>
            <w:tcW w:w="2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7"/>
              </w:rPr>
              <w:t>Awards: Number of</w:t>
            </w:r>
          </w:p>
        </w:tc>
        <w:tc>
          <w:tcPr>
            <w:tcW w:w="1920" w:type="dxa"/>
            <w:vAlign w:val="bottom"/>
          </w:tcPr>
          <w:p>
            <w:pPr>
              <w:jc w:val="center"/>
              <w:ind w:left="71"/>
              <w:spacing w:after="0" w:line="156" w:lineRule="exact"/>
              <w:rPr>
                <w:sz w:val="20"/>
                <w:szCs w:val="20"/>
                <w:color w:val="auto"/>
              </w:rPr>
            </w:pPr>
            <w:r>
              <w:rPr>
                <w:rFonts w:ascii="Arial" w:cs="Arial" w:eastAsia="Arial" w:hAnsi="Arial"/>
                <w:sz w:val="14"/>
                <w:szCs w:val="14"/>
                <w:b w:val="1"/>
                <w:bCs w:val="1"/>
                <w:color w:val="0A9E50"/>
                <w:w w:val="98"/>
              </w:rPr>
              <w:t>Awards: Market or Payout</w:t>
            </w:r>
          </w:p>
        </w:tc>
      </w:tr>
      <w:tr>
        <w:trPr>
          <w:trHeight w:val="156"/>
        </w:trPr>
        <w:tc>
          <w:tcPr>
            <w:tcW w:w="2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00" w:type="dxa"/>
            <w:vAlign w:val="bottom"/>
          </w:tcPr>
          <w:p>
            <w:pPr>
              <w:jc w:val="center"/>
              <w:ind w:left="112"/>
              <w:spacing w:after="0" w:line="156" w:lineRule="exact"/>
              <w:rPr>
                <w:sz w:val="20"/>
                <w:szCs w:val="20"/>
                <w:color w:val="auto"/>
              </w:rPr>
            </w:pPr>
            <w:r>
              <w:rPr>
                <w:rFonts w:ascii="Arial" w:cs="Arial" w:eastAsia="Arial" w:hAnsi="Arial"/>
                <w:sz w:val="14"/>
                <w:szCs w:val="14"/>
                <w:b w:val="1"/>
                <w:bCs w:val="1"/>
                <w:color w:val="0A9E50"/>
                <w:w w:val="99"/>
              </w:rPr>
              <w:t>of Stock That</w:t>
            </w:r>
          </w:p>
        </w:tc>
        <w:tc>
          <w:tcPr>
            <w:tcW w:w="134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9"/>
              </w:rPr>
              <w:t>of Stock That</w:t>
            </w:r>
          </w:p>
        </w:tc>
        <w:tc>
          <w:tcPr>
            <w:tcW w:w="20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8"/>
              </w:rPr>
              <w:t>Unearned Shares, Units or</w:t>
            </w:r>
          </w:p>
        </w:tc>
        <w:tc>
          <w:tcPr>
            <w:tcW w:w="1920" w:type="dxa"/>
            <w:vAlign w:val="bottom"/>
          </w:tcPr>
          <w:p>
            <w:pPr>
              <w:jc w:val="center"/>
              <w:ind w:left="71"/>
              <w:spacing w:after="0" w:line="156" w:lineRule="exact"/>
              <w:rPr>
                <w:sz w:val="20"/>
                <w:szCs w:val="20"/>
                <w:color w:val="auto"/>
              </w:rPr>
            </w:pPr>
            <w:r>
              <w:rPr>
                <w:rFonts w:ascii="Arial" w:cs="Arial" w:eastAsia="Arial" w:hAnsi="Arial"/>
                <w:sz w:val="14"/>
                <w:szCs w:val="14"/>
                <w:b w:val="1"/>
                <w:bCs w:val="1"/>
                <w:color w:val="0A9E50"/>
                <w:w w:val="98"/>
              </w:rPr>
              <w:t>Value of Unearned Shares,</w:t>
            </w:r>
          </w:p>
        </w:tc>
      </w:tr>
      <w:tr>
        <w:trPr>
          <w:trHeight w:val="152"/>
        </w:trPr>
        <w:tc>
          <w:tcPr>
            <w:tcW w:w="2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00" w:type="dxa"/>
            <w:vAlign w:val="bottom"/>
          </w:tcPr>
          <w:p>
            <w:pPr>
              <w:jc w:val="center"/>
              <w:ind w:left="112"/>
              <w:spacing w:after="0" w:line="153" w:lineRule="exact"/>
              <w:rPr>
                <w:sz w:val="20"/>
                <w:szCs w:val="20"/>
                <w:color w:val="auto"/>
              </w:rPr>
            </w:pPr>
            <w:r>
              <w:rPr>
                <w:rFonts w:ascii="Arial" w:cs="Arial" w:eastAsia="Arial" w:hAnsi="Arial"/>
                <w:sz w:val="14"/>
                <w:szCs w:val="14"/>
                <w:b w:val="1"/>
                <w:bCs w:val="1"/>
                <w:color w:val="0A9E50"/>
                <w:w w:val="98"/>
              </w:rPr>
              <w:t>Have Not</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0A9E50"/>
                <w:w w:val="98"/>
              </w:rPr>
              <w:t>Have Not</w:t>
            </w:r>
          </w:p>
        </w:tc>
        <w:tc>
          <w:tcPr>
            <w:tcW w:w="2060" w:type="dxa"/>
            <w:vAlign w:val="bottom"/>
          </w:tcPr>
          <w:p>
            <w:pPr>
              <w:jc w:val="center"/>
              <w:spacing w:after="0" w:line="153" w:lineRule="exact"/>
              <w:rPr>
                <w:sz w:val="20"/>
                <w:szCs w:val="20"/>
                <w:color w:val="auto"/>
              </w:rPr>
            </w:pPr>
            <w:r>
              <w:rPr>
                <w:rFonts w:ascii="Arial" w:cs="Arial" w:eastAsia="Arial" w:hAnsi="Arial"/>
                <w:sz w:val="14"/>
                <w:szCs w:val="14"/>
                <w:b w:val="1"/>
                <w:bCs w:val="1"/>
                <w:color w:val="0A9E50"/>
                <w:w w:val="98"/>
              </w:rPr>
              <w:t>Other Rights That Have</w:t>
            </w:r>
          </w:p>
        </w:tc>
        <w:tc>
          <w:tcPr>
            <w:tcW w:w="1920" w:type="dxa"/>
            <w:vAlign w:val="bottom"/>
          </w:tcPr>
          <w:p>
            <w:pPr>
              <w:jc w:val="center"/>
              <w:ind w:left="71"/>
              <w:spacing w:after="0" w:line="153" w:lineRule="exact"/>
              <w:rPr>
                <w:sz w:val="20"/>
                <w:szCs w:val="20"/>
                <w:color w:val="auto"/>
              </w:rPr>
            </w:pPr>
            <w:r>
              <w:rPr>
                <w:rFonts w:ascii="Arial" w:cs="Arial" w:eastAsia="Arial" w:hAnsi="Arial"/>
                <w:sz w:val="14"/>
                <w:szCs w:val="14"/>
                <w:b w:val="1"/>
                <w:bCs w:val="1"/>
                <w:color w:val="0A9E50"/>
                <w:w w:val="99"/>
              </w:rPr>
              <w:t>Units or Other Rights That</w:t>
            </w:r>
          </w:p>
        </w:tc>
      </w:tr>
      <w:tr>
        <w:trPr>
          <w:trHeight w:val="160"/>
        </w:trPr>
        <w:tc>
          <w:tcPr>
            <w:tcW w:w="2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00" w:type="dxa"/>
            <w:vAlign w:val="bottom"/>
          </w:tcPr>
          <w:p>
            <w:pPr>
              <w:jc w:val="center"/>
              <w:ind w:left="92"/>
              <w:spacing w:after="0" w:line="160" w:lineRule="exact"/>
              <w:rPr>
                <w:sz w:val="20"/>
                <w:szCs w:val="20"/>
                <w:color w:val="auto"/>
              </w:rPr>
            </w:pPr>
            <w:r>
              <w:rPr>
                <w:rFonts w:ascii="Arial" w:cs="Arial" w:eastAsia="Arial" w:hAnsi="Arial"/>
                <w:sz w:val="18"/>
                <w:szCs w:val="18"/>
                <w:b w:val="1"/>
                <w:bCs w:val="1"/>
                <w:color w:val="0A9E50"/>
                <w:vertAlign w:val="subscript"/>
              </w:rPr>
              <w:t>Vested</w:t>
            </w:r>
            <w:r>
              <w:rPr>
                <w:rFonts w:ascii="Arial" w:cs="Arial" w:eastAsia="Arial" w:hAnsi="Arial"/>
                <w:sz w:val="9"/>
                <w:szCs w:val="9"/>
                <w:b w:val="1"/>
                <w:bCs w:val="1"/>
                <w:color w:val="0A9E50"/>
              </w:rPr>
              <w:t>(2)(3)</w:t>
            </w:r>
          </w:p>
        </w:tc>
        <w:tc>
          <w:tcPr>
            <w:tcW w:w="1340" w:type="dxa"/>
            <w:vAlign w:val="bottom"/>
          </w:tcPr>
          <w:p>
            <w:pPr>
              <w:jc w:val="center"/>
              <w:spacing w:after="0" w:line="160" w:lineRule="exact"/>
              <w:rPr>
                <w:sz w:val="20"/>
                <w:szCs w:val="20"/>
                <w:color w:val="auto"/>
              </w:rPr>
            </w:pPr>
            <w:r>
              <w:rPr>
                <w:rFonts w:ascii="Arial" w:cs="Arial" w:eastAsia="Arial" w:hAnsi="Arial"/>
                <w:sz w:val="13"/>
                <w:szCs w:val="13"/>
                <w:b w:val="1"/>
                <w:bCs w:val="1"/>
                <w:color w:val="0A9E50"/>
              </w:rPr>
              <w:t>Vested</w:t>
            </w:r>
            <w:r>
              <w:rPr>
                <w:rFonts w:ascii="Arial" w:cs="Arial" w:eastAsia="Arial" w:hAnsi="Arial"/>
                <w:sz w:val="18"/>
                <w:szCs w:val="18"/>
                <w:b w:val="1"/>
                <w:bCs w:val="1"/>
                <w:color w:val="0A9E50"/>
                <w:vertAlign w:val="superscript"/>
              </w:rPr>
              <w:t>(4)</w:t>
            </w:r>
          </w:p>
        </w:tc>
        <w:tc>
          <w:tcPr>
            <w:tcW w:w="2060" w:type="dxa"/>
            <w:vAlign w:val="bottom"/>
          </w:tcPr>
          <w:p>
            <w:pPr>
              <w:jc w:val="center"/>
              <w:spacing w:after="0" w:line="160" w:lineRule="exact"/>
              <w:rPr>
                <w:sz w:val="20"/>
                <w:szCs w:val="20"/>
                <w:color w:val="auto"/>
              </w:rPr>
            </w:pPr>
            <w:r>
              <w:rPr>
                <w:rFonts w:ascii="Arial" w:cs="Arial" w:eastAsia="Arial" w:hAnsi="Arial"/>
                <w:sz w:val="13"/>
                <w:szCs w:val="13"/>
                <w:b w:val="1"/>
                <w:bCs w:val="1"/>
                <w:color w:val="0A9E50"/>
              </w:rPr>
              <w:t>Not Vested</w:t>
            </w:r>
            <w:r>
              <w:rPr>
                <w:rFonts w:ascii="Arial" w:cs="Arial" w:eastAsia="Arial" w:hAnsi="Arial"/>
                <w:sz w:val="18"/>
                <w:szCs w:val="18"/>
                <w:b w:val="1"/>
                <w:bCs w:val="1"/>
                <w:color w:val="0A9E50"/>
                <w:vertAlign w:val="superscript"/>
              </w:rPr>
              <w:t>(5)</w:t>
            </w:r>
          </w:p>
        </w:tc>
        <w:tc>
          <w:tcPr>
            <w:tcW w:w="1920" w:type="dxa"/>
            <w:vAlign w:val="bottom"/>
          </w:tcPr>
          <w:p>
            <w:pPr>
              <w:jc w:val="center"/>
              <w:ind w:left="71"/>
              <w:spacing w:after="0" w:line="160" w:lineRule="exact"/>
              <w:rPr>
                <w:sz w:val="20"/>
                <w:szCs w:val="20"/>
                <w:color w:val="auto"/>
              </w:rPr>
            </w:pPr>
            <w:r>
              <w:rPr>
                <w:rFonts w:ascii="Arial" w:cs="Arial" w:eastAsia="Arial" w:hAnsi="Arial"/>
                <w:sz w:val="13"/>
                <w:szCs w:val="13"/>
                <w:b w:val="1"/>
                <w:bCs w:val="1"/>
                <w:color w:val="0A9E50"/>
              </w:rPr>
              <w:t>Have Not Vested</w:t>
            </w:r>
            <w:r>
              <w:rPr>
                <w:rFonts w:ascii="Arial" w:cs="Arial" w:eastAsia="Arial" w:hAnsi="Arial"/>
                <w:sz w:val="18"/>
                <w:szCs w:val="18"/>
                <w:b w:val="1"/>
                <w:bCs w:val="1"/>
                <w:color w:val="0A9E50"/>
                <w:vertAlign w:val="superscript"/>
              </w:rPr>
              <w:t>(4)</w:t>
            </w:r>
          </w:p>
        </w:tc>
      </w:tr>
      <w:tr>
        <w:trPr>
          <w:trHeight w:val="192"/>
        </w:trPr>
        <w:tc>
          <w:tcPr>
            <w:tcW w:w="2240" w:type="dxa"/>
            <w:vAlign w:val="bottom"/>
          </w:tcPr>
          <w:p>
            <w:pPr>
              <w:ind w:left="60"/>
              <w:spacing w:after="0"/>
              <w:rPr>
                <w:sz w:val="20"/>
                <w:szCs w:val="20"/>
                <w:color w:val="auto"/>
              </w:rPr>
            </w:pPr>
            <w:r>
              <w:rPr>
                <w:rFonts w:ascii="Arial" w:cs="Arial" w:eastAsia="Arial" w:hAnsi="Arial"/>
                <w:sz w:val="14"/>
                <w:szCs w:val="14"/>
                <w:b w:val="1"/>
                <w:bCs w:val="1"/>
                <w:color w:val="0A9E50"/>
              </w:rPr>
              <w:t>Name</w:t>
            </w:r>
          </w:p>
        </w:tc>
        <w:tc>
          <w:tcPr>
            <w:tcW w:w="1560" w:type="dxa"/>
            <w:vAlign w:val="bottom"/>
          </w:tcPr>
          <w:p>
            <w:pPr>
              <w:jc w:val="center"/>
              <w:ind w:left="791"/>
              <w:spacing w:after="0"/>
              <w:rPr>
                <w:sz w:val="20"/>
                <w:szCs w:val="20"/>
                <w:color w:val="auto"/>
              </w:rPr>
            </w:pPr>
            <w:r>
              <w:rPr>
                <w:rFonts w:ascii="Arial" w:cs="Arial" w:eastAsia="Arial" w:hAnsi="Arial"/>
                <w:sz w:val="14"/>
                <w:szCs w:val="14"/>
                <w:b w:val="1"/>
                <w:bCs w:val="1"/>
                <w:color w:val="0A9E50"/>
                <w:w w:val="97"/>
              </w:rPr>
              <w:t>Grant Year</w:t>
            </w:r>
          </w:p>
        </w:tc>
        <w:tc>
          <w:tcPr>
            <w:tcW w:w="1500" w:type="dxa"/>
            <w:vAlign w:val="bottom"/>
          </w:tcPr>
          <w:p>
            <w:pPr>
              <w:jc w:val="center"/>
              <w:ind w:left="92"/>
              <w:spacing w:after="0"/>
              <w:rPr>
                <w:sz w:val="20"/>
                <w:szCs w:val="20"/>
                <w:color w:val="auto"/>
              </w:rPr>
            </w:pPr>
            <w:r>
              <w:rPr>
                <w:rFonts w:ascii="Arial" w:cs="Arial" w:eastAsia="Arial" w:hAnsi="Arial"/>
                <w:sz w:val="14"/>
                <w:szCs w:val="14"/>
                <w:b w:val="1"/>
                <w:bCs w:val="1"/>
                <w:color w:val="0A9E50"/>
              </w:rPr>
              <w: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1920" w:type="dxa"/>
            <w:vAlign w:val="bottom"/>
          </w:tcPr>
          <w:p>
            <w:pPr>
              <w:jc w:val="center"/>
              <w:ind w:left="71"/>
              <w:spacing w:after="0"/>
              <w:rPr>
                <w:sz w:val="20"/>
                <w:szCs w:val="20"/>
                <w:color w:val="auto"/>
              </w:rPr>
            </w:pPr>
            <w:r>
              <w:rPr>
                <w:rFonts w:ascii="Arial" w:cs="Arial" w:eastAsia="Arial" w:hAnsi="Arial"/>
                <w:sz w:val="14"/>
                <w:szCs w:val="14"/>
                <w:b w:val="1"/>
                <w:bCs w:val="1"/>
                <w:color w:val="0A9E50"/>
              </w:rPr>
              <w:t>($)</w:t>
            </w:r>
          </w:p>
        </w:tc>
      </w:tr>
      <w:tr>
        <w:trPr>
          <w:trHeight w:val="52"/>
        </w:trPr>
        <w:tc>
          <w:tcPr>
            <w:tcW w:w="22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r>
        <w:trPr>
          <w:trHeight w:val="227"/>
        </w:trPr>
        <w:tc>
          <w:tcPr>
            <w:tcW w:w="2240" w:type="dxa"/>
            <w:vAlign w:val="bottom"/>
          </w:tcPr>
          <w:p>
            <w:pPr>
              <w:ind w:left="60"/>
              <w:spacing w:after="0"/>
              <w:rPr>
                <w:sz w:val="20"/>
                <w:szCs w:val="20"/>
                <w:color w:val="auto"/>
              </w:rPr>
            </w:pPr>
            <w:r>
              <w:rPr>
                <w:rFonts w:ascii="Arial" w:cs="Arial" w:eastAsia="Arial" w:hAnsi="Arial"/>
                <w:sz w:val="14"/>
                <w:szCs w:val="14"/>
                <w:b w:val="1"/>
                <w:bCs w:val="1"/>
                <w:color w:val="auto"/>
              </w:rPr>
              <w:t>Peter W. Quigley</w:t>
            </w: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2023</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7"/>
              </w:rPr>
              <w:t>52,635</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1,137,969</w:t>
            </w: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70,182</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9"/>
              </w:rPr>
              <w:t>1,517,335</w:t>
            </w:r>
          </w:p>
        </w:tc>
      </w:tr>
      <w:tr>
        <w:trPr>
          <w:trHeight w:val="200"/>
        </w:trPr>
        <w:tc>
          <w:tcPr>
            <w:tcW w:w="2240" w:type="dxa"/>
            <w:vAlign w:val="bottom"/>
          </w:tcPr>
          <w:p>
            <w:pPr>
              <w:spacing w:after="0"/>
              <w:rPr>
                <w:sz w:val="17"/>
                <w:szCs w:val="17"/>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2022</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7"/>
              </w:rPr>
              <w:t>41,776</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903,197</w:t>
            </w: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21,222</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458,820</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2021</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7"/>
              </w:rPr>
              <w:t>41,054</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887,587</w:t>
            </w: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21,857</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472,548</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2020</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7"/>
              </w:rPr>
              <w:t>18,592</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401,959</w:t>
            </w:r>
          </w:p>
        </w:tc>
        <w:tc>
          <w:tcPr>
            <w:tcW w:w="2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9"/>
              </w:rPr>
              <w:t>—</w:t>
            </w:r>
          </w:p>
        </w:tc>
      </w:tr>
      <w:tr>
        <w:trPr>
          <w:trHeight w:val="34"/>
        </w:trPr>
        <w:tc>
          <w:tcPr>
            <w:tcW w:w="2240" w:type="dxa"/>
            <w:vAlign w:val="bottom"/>
            <w:tcBorders>
              <w:bottom w:val="single" w:sz="8" w:color="7F7F7F"/>
            </w:tcBorders>
          </w:tcPr>
          <w:p>
            <w:pPr>
              <w:spacing w:after="0"/>
              <w:rPr>
                <w:sz w:val="2"/>
                <w:szCs w:val="2"/>
                <w:color w:val="auto"/>
              </w:rPr>
            </w:pPr>
          </w:p>
        </w:tc>
        <w:tc>
          <w:tcPr>
            <w:tcW w:w="1560" w:type="dxa"/>
            <w:vAlign w:val="bottom"/>
            <w:tcBorders>
              <w:bottom w:val="single" w:sz="8" w:color="7F7F7F"/>
            </w:tcBorders>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1340" w:type="dxa"/>
            <w:vAlign w:val="bottom"/>
            <w:tcBorders>
              <w:bottom w:val="single" w:sz="8" w:color="7F7F7F"/>
            </w:tcBorders>
          </w:tcPr>
          <w:p>
            <w:pPr>
              <w:spacing w:after="0"/>
              <w:rPr>
                <w:sz w:val="2"/>
                <w:szCs w:val="2"/>
                <w:color w:val="auto"/>
              </w:rPr>
            </w:pPr>
          </w:p>
        </w:tc>
        <w:tc>
          <w:tcPr>
            <w:tcW w:w="2060" w:type="dxa"/>
            <w:vAlign w:val="bottom"/>
            <w:tcBorders>
              <w:bottom w:val="single" w:sz="8" w:color="7F7F7F"/>
            </w:tcBorders>
          </w:tcPr>
          <w:p>
            <w:pPr>
              <w:spacing w:after="0"/>
              <w:rPr>
                <w:sz w:val="2"/>
                <w:szCs w:val="2"/>
                <w:color w:val="auto"/>
              </w:rPr>
            </w:pPr>
          </w:p>
        </w:tc>
        <w:tc>
          <w:tcPr>
            <w:tcW w:w="1920" w:type="dxa"/>
            <w:vAlign w:val="bottom"/>
            <w:tcBorders>
              <w:bottom w:val="single" w:sz="8" w:color="7F7F7F"/>
            </w:tcBorders>
          </w:tcPr>
          <w:p>
            <w:pPr>
              <w:spacing w:after="0"/>
              <w:rPr>
                <w:sz w:val="2"/>
                <w:szCs w:val="2"/>
                <w:color w:val="auto"/>
              </w:rPr>
            </w:pPr>
          </w:p>
        </w:tc>
      </w:tr>
      <w:tr>
        <w:trPr>
          <w:trHeight w:val="227"/>
        </w:trPr>
        <w:tc>
          <w:tcPr>
            <w:tcW w:w="2240" w:type="dxa"/>
            <w:vAlign w:val="bottom"/>
          </w:tcPr>
          <w:p>
            <w:pPr>
              <w:ind w:left="60"/>
              <w:spacing w:after="0"/>
              <w:rPr>
                <w:sz w:val="20"/>
                <w:szCs w:val="20"/>
                <w:color w:val="auto"/>
              </w:rPr>
            </w:pPr>
            <w:r>
              <w:rPr>
                <w:rFonts w:ascii="Arial" w:cs="Arial" w:eastAsia="Arial" w:hAnsi="Arial"/>
                <w:sz w:val="14"/>
                <w:szCs w:val="14"/>
                <w:b w:val="1"/>
                <w:bCs w:val="1"/>
                <w:color w:val="auto"/>
              </w:rPr>
              <w:t>Olivier G. Thirot</w:t>
            </w: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2023</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7"/>
              </w:rPr>
              <w:t>28,922</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625,294</w:t>
            </w: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23,140</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500,287</w:t>
            </w:r>
          </w:p>
        </w:tc>
      </w:tr>
      <w:tr>
        <w:trPr>
          <w:trHeight w:val="200"/>
        </w:trPr>
        <w:tc>
          <w:tcPr>
            <w:tcW w:w="2240" w:type="dxa"/>
            <w:vAlign w:val="bottom"/>
          </w:tcPr>
          <w:p>
            <w:pPr>
              <w:spacing w:after="0"/>
              <w:rPr>
                <w:sz w:val="17"/>
                <w:szCs w:val="17"/>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2022</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7"/>
              </w:rPr>
              <w:t>19,938</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431,060</w:t>
            </w: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10,130</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219,011</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2021</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7"/>
              </w:rPr>
              <w:t>24,229</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523,831</w:t>
            </w: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17,971</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388,533</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2020</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6"/>
              </w:rPr>
              <w:t>9,406</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203,358</w:t>
            </w:r>
          </w:p>
        </w:tc>
        <w:tc>
          <w:tcPr>
            <w:tcW w:w="2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9"/>
              </w:rPr>
              <w:t>—</w:t>
            </w:r>
          </w:p>
        </w:tc>
      </w:tr>
      <w:tr>
        <w:trPr>
          <w:trHeight w:val="34"/>
        </w:trPr>
        <w:tc>
          <w:tcPr>
            <w:tcW w:w="2240" w:type="dxa"/>
            <w:vAlign w:val="bottom"/>
            <w:tcBorders>
              <w:bottom w:val="single" w:sz="8" w:color="7F7F7F"/>
            </w:tcBorders>
          </w:tcPr>
          <w:p>
            <w:pPr>
              <w:spacing w:after="0"/>
              <w:rPr>
                <w:sz w:val="2"/>
                <w:szCs w:val="2"/>
                <w:color w:val="auto"/>
              </w:rPr>
            </w:pPr>
          </w:p>
        </w:tc>
        <w:tc>
          <w:tcPr>
            <w:tcW w:w="1560" w:type="dxa"/>
            <w:vAlign w:val="bottom"/>
            <w:tcBorders>
              <w:bottom w:val="single" w:sz="8" w:color="7F7F7F"/>
            </w:tcBorders>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1340" w:type="dxa"/>
            <w:vAlign w:val="bottom"/>
            <w:tcBorders>
              <w:bottom w:val="single" w:sz="8" w:color="7F7F7F"/>
            </w:tcBorders>
          </w:tcPr>
          <w:p>
            <w:pPr>
              <w:spacing w:after="0"/>
              <w:rPr>
                <w:sz w:val="2"/>
                <w:szCs w:val="2"/>
                <w:color w:val="auto"/>
              </w:rPr>
            </w:pPr>
          </w:p>
        </w:tc>
        <w:tc>
          <w:tcPr>
            <w:tcW w:w="2060" w:type="dxa"/>
            <w:vAlign w:val="bottom"/>
            <w:tcBorders>
              <w:bottom w:val="single" w:sz="8" w:color="7F7F7F"/>
            </w:tcBorders>
          </w:tcPr>
          <w:p>
            <w:pPr>
              <w:spacing w:after="0"/>
              <w:rPr>
                <w:sz w:val="2"/>
                <w:szCs w:val="2"/>
                <w:color w:val="auto"/>
              </w:rPr>
            </w:pPr>
          </w:p>
        </w:tc>
        <w:tc>
          <w:tcPr>
            <w:tcW w:w="1920" w:type="dxa"/>
            <w:vAlign w:val="bottom"/>
            <w:tcBorders>
              <w:bottom w:val="single" w:sz="8" w:color="7F7F7F"/>
            </w:tcBorders>
          </w:tcPr>
          <w:p>
            <w:pPr>
              <w:spacing w:after="0"/>
              <w:rPr>
                <w:sz w:val="2"/>
                <w:szCs w:val="2"/>
                <w:color w:val="auto"/>
              </w:rPr>
            </w:pPr>
          </w:p>
        </w:tc>
      </w:tr>
      <w:tr>
        <w:trPr>
          <w:trHeight w:val="227"/>
        </w:trPr>
        <w:tc>
          <w:tcPr>
            <w:tcW w:w="2240" w:type="dxa"/>
            <w:vAlign w:val="bottom"/>
          </w:tcPr>
          <w:p>
            <w:pPr>
              <w:ind w:left="60"/>
              <w:spacing w:after="0"/>
              <w:rPr>
                <w:sz w:val="20"/>
                <w:szCs w:val="20"/>
                <w:color w:val="auto"/>
              </w:rPr>
            </w:pPr>
            <w:r>
              <w:rPr>
                <w:rFonts w:ascii="Arial" w:cs="Arial" w:eastAsia="Arial" w:hAnsi="Arial"/>
                <w:sz w:val="14"/>
                <w:szCs w:val="14"/>
                <w:b w:val="1"/>
                <w:bCs w:val="1"/>
                <w:color w:val="auto"/>
              </w:rPr>
              <w:t>Daniel H. Malan</w:t>
            </w: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2023</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7"/>
              </w:rPr>
              <w:t>24,306</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525,496</w:t>
            </w:r>
          </w:p>
        </w:tc>
        <w:tc>
          <w:tcPr>
            <w:tcW w:w="2060" w:type="dxa"/>
            <w:vAlign w:val="bottom"/>
          </w:tcPr>
          <w:p>
            <w:pPr>
              <w:jc w:val="center"/>
              <w:spacing w:after="0"/>
              <w:rPr>
                <w:sz w:val="20"/>
                <w:szCs w:val="20"/>
                <w:color w:val="auto"/>
              </w:rPr>
            </w:pPr>
            <w:r>
              <w:rPr>
                <w:rFonts w:ascii="Arial" w:cs="Arial" w:eastAsia="Arial" w:hAnsi="Arial"/>
                <w:sz w:val="14"/>
                <w:szCs w:val="14"/>
                <w:color w:val="auto"/>
                <w:w w:val="96"/>
              </w:rPr>
              <w:t>8,292</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179,273</w:t>
            </w:r>
          </w:p>
        </w:tc>
      </w:tr>
      <w:tr>
        <w:trPr>
          <w:trHeight w:val="200"/>
        </w:trPr>
        <w:tc>
          <w:tcPr>
            <w:tcW w:w="2240" w:type="dxa"/>
            <w:vAlign w:val="bottom"/>
          </w:tcPr>
          <w:p>
            <w:pPr>
              <w:spacing w:after="0"/>
              <w:rPr>
                <w:sz w:val="17"/>
                <w:szCs w:val="17"/>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2022</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6"/>
              </w:rPr>
              <w:t>6,804</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147,102</w:t>
            </w:r>
          </w:p>
        </w:tc>
        <w:tc>
          <w:tcPr>
            <w:tcW w:w="2060" w:type="dxa"/>
            <w:vAlign w:val="bottom"/>
          </w:tcPr>
          <w:p>
            <w:pPr>
              <w:jc w:val="center"/>
              <w:spacing w:after="0"/>
              <w:rPr>
                <w:sz w:val="20"/>
                <w:szCs w:val="20"/>
                <w:color w:val="auto"/>
              </w:rPr>
            </w:pPr>
            <w:r>
              <w:rPr>
                <w:rFonts w:ascii="Arial" w:cs="Arial" w:eastAsia="Arial" w:hAnsi="Arial"/>
                <w:sz w:val="14"/>
                <w:szCs w:val="14"/>
                <w:color w:val="auto"/>
                <w:w w:val="96"/>
              </w:rPr>
              <w:t>3,458</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7"/>
              </w:rPr>
              <w:t>74,762</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2021</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6"/>
              </w:rPr>
              <w:t>8,654</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187,099</w:t>
            </w:r>
          </w:p>
        </w:tc>
        <w:tc>
          <w:tcPr>
            <w:tcW w:w="2060" w:type="dxa"/>
            <w:vAlign w:val="bottom"/>
          </w:tcPr>
          <w:p>
            <w:pPr>
              <w:jc w:val="center"/>
              <w:spacing w:after="0"/>
              <w:rPr>
                <w:sz w:val="20"/>
                <w:szCs w:val="20"/>
                <w:color w:val="auto"/>
              </w:rPr>
            </w:pPr>
            <w:r>
              <w:rPr>
                <w:rFonts w:ascii="Arial" w:cs="Arial" w:eastAsia="Arial" w:hAnsi="Arial"/>
                <w:sz w:val="14"/>
                <w:szCs w:val="14"/>
                <w:color w:val="auto"/>
                <w:w w:val="96"/>
              </w:rPr>
              <w:t>7,286</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157,523</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2020</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7"/>
              </w:rPr>
              <w:t>13,907</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300,669</w:t>
            </w:r>
          </w:p>
        </w:tc>
        <w:tc>
          <w:tcPr>
            <w:tcW w:w="2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9"/>
              </w:rPr>
              <w:t>—</w:t>
            </w:r>
          </w:p>
        </w:tc>
      </w:tr>
      <w:tr>
        <w:trPr>
          <w:trHeight w:val="34"/>
        </w:trPr>
        <w:tc>
          <w:tcPr>
            <w:tcW w:w="2240" w:type="dxa"/>
            <w:vAlign w:val="bottom"/>
            <w:tcBorders>
              <w:bottom w:val="single" w:sz="8" w:color="7F7F7F"/>
            </w:tcBorders>
          </w:tcPr>
          <w:p>
            <w:pPr>
              <w:spacing w:after="0"/>
              <w:rPr>
                <w:sz w:val="2"/>
                <w:szCs w:val="2"/>
                <w:color w:val="auto"/>
              </w:rPr>
            </w:pPr>
          </w:p>
        </w:tc>
        <w:tc>
          <w:tcPr>
            <w:tcW w:w="1560" w:type="dxa"/>
            <w:vAlign w:val="bottom"/>
            <w:tcBorders>
              <w:bottom w:val="single" w:sz="8" w:color="7F7F7F"/>
            </w:tcBorders>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1340" w:type="dxa"/>
            <w:vAlign w:val="bottom"/>
            <w:tcBorders>
              <w:bottom w:val="single" w:sz="8" w:color="7F7F7F"/>
            </w:tcBorders>
          </w:tcPr>
          <w:p>
            <w:pPr>
              <w:spacing w:after="0"/>
              <w:rPr>
                <w:sz w:val="2"/>
                <w:szCs w:val="2"/>
                <w:color w:val="auto"/>
              </w:rPr>
            </w:pPr>
          </w:p>
        </w:tc>
        <w:tc>
          <w:tcPr>
            <w:tcW w:w="2060" w:type="dxa"/>
            <w:vAlign w:val="bottom"/>
            <w:tcBorders>
              <w:bottom w:val="single" w:sz="8" w:color="7F7F7F"/>
            </w:tcBorders>
          </w:tcPr>
          <w:p>
            <w:pPr>
              <w:spacing w:after="0"/>
              <w:rPr>
                <w:sz w:val="2"/>
                <w:szCs w:val="2"/>
                <w:color w:val="auto"/>
              </w:rPr>
            </w:pPr>
          </w:p>
        </w:tc>
        <w:tc>
          <w:tcPr>
            <w:tcW w:w="1920" w:type="dxa"/>
            <w:vAlign w:val="bottom"/>
            <w:tcBorders>
              <w:bottom w:val="single" w:sz="8" w:color="7F7F7F"/>
            </w:tcBorders>
          </w:tcPr>
          <w:p>
            <w:pPr>
              <w:spacing w:after="0"/>
              <w:rPr>
                <w:sz w:val="2"/>
                <w:szCs w:val="2"/>
                <w:color w:val="auto"/>
              </w:rPr>
            </w:pPr>
          </w:p>
        </w:tc>
      </w:tr>
      <w:tr>
        <w:trPr>
          <w:trHeight w:val="227"/>
        </w:trPr>
        <w:tc>
          <w:tcPr>
            <w:tcW w:w="2240" w:type="dxa"/>
            <w:vAlign w:val="bottom"/>
          </w:tcPr>
          <w:p>
            <w:pPr>
              <w:ind w:left="60"/>
              <w:spacing w:after="0"/>
              <w:rPr>
                <w:sz w:val="20"/>
                <w:szCs w:val="20"/>
                <w:color w:val="auto"/>
              </w:rPr>
            </w:pPr>
            <w:r>
              <w:rPr>
                <w:rFonts w:ascii="Arial" w:cs="Arial" w:eastAsia="Arial" w:hAnsi="Arial"/>
                <w:sz w:val="14"/>
                <w:szCs w:val="14"/>
                <w:b w:val="1"/>
                <w:bCs w:val="1"/>
                <w:color w:val="auto"/>
              </w:rPr>
              <w:t>Vanessa P. Williams</w:t>
            </w: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2023</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7"/>
              </w:rPr>
              <w:t>12,913</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279,179</w:t>
            </w:r>
          </w:p>
        </w:tc>
        <w:tc>
          <w:tcPr>
            <w:tcW w:w="2060" w:type="dxa"/>
            <w:vAlign w:val="bottom"/>
          </w:tcPr>
          <w:p>
            <w:pPr>
              <w:jc w:val="center"/>
              <w:spacing w:after="0"/>
              <w:rPr>
                <w:sz w:val="20"/>
                <w:szCs w:val="20"/>
                <w:color w:val="auto"/>
              </w:rPr>
            </w:pPr>
            <w:r>
              <w:rPr>
                <w:rFonts w:ascii="Arial" w:cs="Arial" w:eastAsia="Arial" w:hAnsi="Arial"/>
                <w:sz w:val="14"/>
                <w:szCs w:val="14"/>
                <w:color w:val="auto"/>
                <w:w w:val="97"/>
              </w:rPr>
              <w:t>10,332</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223,378</w:t>
            </w:r>
          </w:p>
        </w:tc>
      </w:tr>
      <w:tr>
        <w:trPr>
          <w:trHeight w:val="200"/>
        </w:trPr>
        <w:tc>
          <w:tcPr>
            <w:tcW w:w="2240" w:type="dxa"/>
            <w:vAlign w:val="bottom"/>
          </w:tcPr>
          <w:p>
            <w:pPr>
              <w:spacing w:after="0"/>
              <w:rPr>
                <w:sz w:val="17"/>
                <w:szCs w:val="17"/>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2022</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6"/>
              </w:rPr>
              <w:t>9,359</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202,342</w:t>
            </w:r>
          </w:p>
        </w:tc>
        <w:tc>
          <w:tcPr>
            <w:tcW w:w="2060" w:type="dxa"/>
            <w:vAlign w:val="bottom"/>
          </w:tcPr>
          <w:p>
            <w:pPr>
              <w:jc w:val="center"/>
              <w:spacing w:after="0"/>
              <w:rPr>
                <w:sz w:val="20"/>
                <w:szCs w:val="20"/>
                <w:color w:val="auto"/>
              </w:rPr>
            </w:pPr>
            <w:r>
              <w:rPr>
                <w:rFonts w:ascii="Arial" w:cs="Arial" w:eastAsia="Arial" w:hAnsi="Arial"/>
                <w:sz w:val="14"/>
                <w:szCs w:val="14"/>
                <w:color w:val="auto"/>
                <w:w w:val="96"/>
              </w:rPr>
              <w:t>4,754</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102,781</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2021</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6"/>
              </w:rPr>
              <w:t>8,948</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193,456</w:t>
            </w:r>
          </w:p>
        </w:tc>
        <w:tc>
          <w:tcPr>
            <w:tcW w:w="2060" w:type="dxa"/>
            <w:vAlign w:val="bottom"/>
          </w:tcPr>
          <w:p>
            <w:pPr>
              <w:jc w:val="center"/>
              <w:spacing w:after="0"/>
              <w:rPr>
                <w:sz w:val="20"/>
                <w:szCs w:val="20"/>
                <w:color w:val="auto"/>
              </w:rPr>
            </w:pPr>
            <w:r>
              <w:rPr>
                <w:rFonts w:ascii="Arial" w:cs="Arial" w:eastAsia="Arial" w:hAnsi="Arial"/>
                <w:sz w:val="14"/>
                <w:szCs w:val="14"/>
                <w:color w:val="auto"/>
                <w:w w:val="96"/>
              </w:rPr>
              <w:t>5,343</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115,516</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2020</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6"/>
              </w:rPr>
              <w:t>5,042</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109,008</w:t>
            </w:r>
          </w:p>
        </w:tc>
        <w:tc>
          <w:tcPr>
            <w:tcW w:w="2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9"/>
              </w:rPr>
              <w:t>—</w:t>
            </w:r>
          </w:p>
        </w:tc>
      </w:tr>
      <w:tr>
        <w:trPr>
          <w:trHeight w:val="34"/>
        </w:trPr>
        <w:tc>
          <w:tcPr>
            <w:tcW w:w="2240" w:type="dxa"/>
            <w:vAlign w:val="bottom"/>
            <w:tcBorders>
              <w:bottom w:val="single" w:sz="8" w:color="7F7F7F"/>
            </w:tcBorders>
          </w:tcPr>
          <w:p>
            <w:pPr>
              <w:spacing w:after="0"/>
              <w:rPr>
                <w:sz w:val="2"/>
                <w:szCs w:val="2"/>
                <w:color w:val="auto"/>
              </w:rPr>
            </w:pPr>
          </w:p>
        </w:tc>
        <w:tc>
          <w:tcPr>
            <w:tcW w:w="1560" w:type="dxa"/>
            <w:vAlign w:val="bottom"/>
            <w:tcBorders>
              <w:bottom w:val="single" w:sz="8" w:color="7F7F7F"/>
            </w:tcBorders>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1340" w:type="dxa"/>
            <w:vAlign w:val="bottom"/>
            <w:tcBorders>
              <w:bottom w:val="single" w:sz="8" w:color="7F7F7F"/>
            </w:tcBorders>
          </w:tcPr>
          <w:p>
            <w:pPr>
              <w:spacing w:after="0"/>
              <w:rPr>
                <w:sz w:val="2"/>
                <w:szCs w:val="2"/>
                <w:color w:val="auto"/>
              </w:rPr>
            </w:pPr>
          </w:p>
        </w:tc>
        <w:tc>
          <w:tcPr>
            <w:tcW w:w="2060" w:type="dxa"/>
            <w:vAlign w:val="bottom"/>
            <w:tcBorders>
              <w:bottom w:val="single" w:sz="8" w:color="7F7F7F"/>
            </w:tcBorders>
          </w:tcPr>
          <w:p>
            <w:pPr>
              <w:spacing w:after="0"/>
              <w:rPr>
                <w:sz w:val="2"/>
                <w:szCs w:val="2"/>
                <w:color w:val="auto"/>
              </w:rPr>
            </w:pPr>
          </w:p>
        </w:tc>
        <w:tc>
          <w:tcPr>
            <w:tcW w:w="1920" w:type="dxa"/>
            <w:vAlign w:val="bottom"/>
            <w:tcBorders>
              <w:bottom w:val="single" w:sz="8" w:color="7F7F7F"/>
            </w:tcBorders>
          </w:tcPr>
          <w:p>
            <w:pPr>
              <w:spacing w:after="0"/>
              <w:rPr>
                <w:sz w:val="2"/>
                <w:szCs w:val="2"/>
                <w:color w:val="auto"/>
              </w:rPr>
            </w:pPr>
          </w:p>
        </w:tc>
      </w:tr>
      <w:tr>
        <w:trPr>
          <w:trHeight w:val="227"/>
        </w:trPr>
        <w:tc>
          <w:tcPr>
            <w:tcW w:w="2240" w:type="dxa"/>
            <w:vAlign w:val="bottom"/>
          </w:tcPr>
          <w:p>
            <w:pPr>
              <w:ind w:left="60"/>
              <w:spacing w:after="0"/>
              <w:rPr>
                <w:sz w:val="20"/>
                <w:szCs w:val="20"/>
                <w:color w:val="auto"/>
              </w:rPr>
            </w:pPr>
            <w:r>
              <w:rPr>
                <w:rFonts w:ascii="Arial" w:cs="Arial" w:eastAsia="Arial" w:hAnsi="Arial"/>
                <w:sz w:val="14"/>
                <w:szCs w:val="14"/>
                <w:b w:val="1"/>
                <w:bCs w:val="1"/>
                <w:color w:val="auto"/>
              </w:rPr>
              <w:t>Dinette Koolhaas</w:t>
            </w: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2023</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7"/>
              </w:rPr>
              <w:t>11,281</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243,895</w:t>
            </w:r>
          </w:p>
        </w:tc>
        <w:tc>
          <w:tcPr>
            <w:tcW w:w="2060" w:type="dxa"/>
            <w:vAlign w:val="bottom"/>
          </w:tcPr>
          <w:p>
            <w:pPr>
              <w:jc w:val="center"/>
              <w:spacing w:after="0"/>
              <w:rPr>
                <w:sz w:val="20"/>
                <w:szCs w:val="20"/>
                <w:color w:val="auto"/>
              </w:rPr>
            </w:pPr>
            <w:r>
              <w:rPr>
                <w:rFonts w:ascii="Arial" w:cs="Arial" w:eastAsia="Arial" w:hAnsi="Arial"/>
                <w:sz w:val="14"/>
                <w:szCs w:val="14"/>
                <w:color w:val="auto"/>
                <w:w w:val="96"/>
              </w:rPr>
              <w:t>9,026</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195,142</w:t>
            </w:r>
          </w:p>
        </w:tc>
      </w:tr>
      <w:tr>
        <w:trPr>
          <w:trHeight w:val="200"/>
        </w:trPr>
        <w:tc>
          <w:tcPr>
            <w:tcW w:w="2240" w:type="dxa"/>
            <w:vAlign w:val="bottom"/>
          </w:tcPr>
          <w:p>
            <w:pPr>
              <w:spacing w:after="0"/>
              <w:rPr>
                <w:sz w:val="17"/>
                <w:szCs w:val="17"/>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2022</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6"/>
              </w:rPr>
              <w:t>8,500</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183,770</w:t>
            </w:r>
          </w:p>
        </w:tc>
        <w:tc>
          <w:tcPr>
            <w:tcW w:w="2060" w:type="dxa"/>
            <w:vAlign w:val="bottom"/>
          </w:tcPr>
          <w:p>
            <w:pPr>
              <w:jc w:val="center"/>
              <w:spacing w:after="0"/>
              <w:rPr>
                <w:sz w:val="20"/>
                <w:szCs w:val="20"/>
                <w:color w:val="auto"/>
              </w:rPr>
            </w:pPr>
            <w:r>
              <w:rPr>
                <w:rFonts w:ascii="Arial" w:cs="Arial" w:eastAsia="Arial" w:hAnsi="Arial"/>
                <w:sz w:val="14"/>
                <w:szCs w:val="14"/>
                <w:color w:val="auto"/>
                <w:w w:val="96"/>
              </w:rPr>
              <w:t>4,318</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7"/>
              </w:rPr>
              <w:t>93,355</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2021</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6"/>
              </w:rPr>
              <w:t>7,243</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156,594</w:t>
            </w:r>
          </w:p>
        </w:tc>
        <w:tc>
          <w:tcPr>
            <w:tcW w:w="2060" w:type="dxa"/>
            <w:vAlign w:val="bottom"/>
          </w:tcPr>
          <w:p>
            <w:pPr>
              <w:jc w:val="center"/>
              <w:spacing w:after="0"/>
              <w:rPr>
                <w:sz w:val="20"/>
                <w:szCs w:val="20"/>
                <w:color w:val="auto"/>
              </w:rPr>
            </w:pPr>
            <w:r>
              <w:rPr>
                <w:rFonts w:ascii="Arial" w:cs="Arial" w:eastAsia="Arial" w:hAnsi="Arial"/>
                <w:sz w:val="14"/>
                <w:szCs w:val="14"/>
                <w:color w:val="auto"/>
                <w:w w:val="96"/>
              </w:rPr>
              <w:t>4,856</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8"/>
              </w:rPr>
              <w:t>104,987</w:t>
            </w:r>
          </w:p>
        </w:tc>
      </w:tr>
      <w:tr>
        <w:trPr>
          <w:trHeight w:val="208"/>
        </w:trPr>
        <w:tc>
          <w:tcPr>
            <w:tcW w:w="2240" w:type="dxa"/>
            <w:vAlign w:val="bottom"/>
          </w:tcPr>
          <w:p>
            <w:pPr>
              <w:spacing w:after="0"/>
              <w:rPr>
                <w:sz w:val="18"/>
                <w:szCs w:val="18"/>
                <w:color w:val="auto"/>
              </w:rPr>
            </w:pPr>
          </w:p>
        </w:tc>
        <w:tc>
          <w:tcPr>
            <w:tcW w:w="1560" w:type="dxa"/>
            <w:vAlign w:val="bottom"/>
          </w:tcPr>
          <w:p>
            <w:pPr>
              <w:jc w:val="center"/>
              <w:ind w:left="811"/>
              <w:spacing w:after="0"/>
              <w:rPr>
                <w:sz w:val="20"/>
                <w:szCs w:val="20"/>
                <w:color w:val="auto"/>
              </w:rPr>
            </w:pPr>
            <w:r>
              <w:rPr>
                <w:rFonts w:ascii="Arial" w:cs="Arial" w:eastAsia="Arial" w:hAnsi="Arial"/>
                <w:sz w:val="14"/>
                <w:szCs w:val="14"/>
                <w:color w:val="auto"/>
              </w:rPr>
              <w:t>2020</w:t>
            </w:r>
          </w:p>
        </w:tc>
        <w:tc>
          <w:tcPr>
            <w:tcW w:w="1500" w:type="dxa"/>
            <w:vAlign w:val="bottom"/>
          </w:tcPr>
          <w:p>
            <w:pPr>
              <w:jc w:val="center"/>
              <w:ind w:left="92"/>
              <w:spacing w:after="0"/>
              <w:rPr>
                <w:sz w:val="20"/>
                <w:szCs w:val="20"/>
                <w:color w:val="auto"/>
              </w:rPr>
            </w:pPr>
            <w:r>
              <w:rPr>
                <w:rFonts w:ascii="Arial" w:cs="Arial" w:eastAsia="Arial" w:hAnsi="Arial"/>
                <w:sz w:val="14"/>
                <w:szCs w:val="14"/>
                <w:color w:val="auto"/>
                <w:w w:val="96"/>
              </w:rPr>
              <w:t>2,972</w:t>
            </w:r>
          </w:p>
        </w:tc>
        <w:tc>
          <w:tcPr>
            <w:tcW w:w="1340" w:type="dxa"/>
            <w:vAlign w:val="bottom"/>
          </w:tcPr>
          <w:p>
            <w:pPr>
              <w:jc w:val="center"/>
              <w:spacing w:after="0"/>
              <w:rPr>
                <w:sz w:val="20"/>
                <w:szCs w:val="20"/>
                <w:color w:val="auto"/>
              </w:rPr>
            </w:pPr>
            <w:r>
              <w:rPr>
                <w:rFonts w:ascii="Arial" w:cs="Arial" w:eastAsia="Arial" w:hAnsi="Arial"/>
                <w:sz w:val="14"/>
                <w:szCs w:val="14"/>
                <w:color w:val="auto"/>
                <w:w w:val="97"/>
              </w:rPr>
              <w:t>64,255</w:t>
            </w:r>
          </w:p>
        </w:tc>
        <w:tc>
          <w:tcPr>
            <w:tcW w:w="2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20" w:type="dxa"/>
            <w:vAlign w:val="bottom"/>
          </w:tcPr>
          <w:p>
            <w:pPr>
              <w:jc w:val="center"/>
              <w:ind w:left="71"/>
              <w:spacing w:after="0"/>
              <w:rPr>
                <w:sz w:val="20"/>
                <w:szCs w:val="20"/>
                <w:color w:val="auto"/>
              </w:rPr>
            </w:pPr>
            <w:r>
              <w:rPr>
                <w:rFonts w:ascii="Arial" w:cs="Arial" w:eastAsia="Arial" w:hAnsi="Arial"/>
                <w:sz w:val="14"/>
                <w:szCs w:val="14"/>
                <w:color w:val="auto"/>
                <w:w w:val="99"/>
              </w:rPr>
              <w:t>—</w:t>
            </w:r>
          </w:p>
        </w:tc>
      </w:tr>
      <w:tr>
        <w:trPr>
          <w:trHeight w:val="34"/>
        </w:trPr>
        <w:tc>
          <w:tcPr>
            <w:tcW w:w="2240" w:type="dxa"/>
            <w:vAlign w:val="bottom"/>
            <w:tcBorders>
              <w:bottom w:val="single" w:sz="8" w:color="7F7F7F"/>
            </w:tcBorders>
          </w:tcPr>
          <w:p>
            <w:pPr>
              <w:spacing w:after="0"/>
              <w:rPr>
                <w:sz w:val="2"/>
                <w:szCs w:val="2"/>
                <w:color w:val="auto"/>
              </w:rPr>
            </w:pPr>
          </w:p>
        </w:tc>
        <w:tc>
          <w:tcPr>
            <w:tcW w:w="1560" w:type="dxa"/>
            <w:vAlign w:val="bottom"/>
            <w:tcBorders>
              <w:bottom w:val="single" w:sz="8" w:color="7F7F7F"/>
            </w:tcBorders>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1340" w:type="dxa"/>
            <w:vAlign w:val="bottom"/>
            <w:tcBorders>
              <w:bottom w:val="single" w:sz="8" w:color="7F7F7F"/>
            </w:tcBorders>
          </w:tcPr>
          <w:p>
            <w:pPr>
              <w:spacing w:after="0"/>
              <w:rPr>
                <w:sz w:val="2"/>
                <w:szCs w:val="2"/>
                <w:color w:val="auto"/>
              </w:rPr>
            </w:pPr>
          </w:p>
        </w:tc>
        <w:tc>
          <w:tcPr>
            <w:tcW w:w="2060" w:type="dxa"/>
            <w:vAlign w:val="bottom"/>
            <w:tcBorders>
              <w:bottom w:val="single" w:sz="8" w:color="7F7F7F"/>
            </w:tcBorders>
          </w:tcPr>
          <w:p>
            <w:pPr>
              <w:spacing w:after="0"/>
              <w:rPr>
                <w:sz w:val="2"/>
                <w:szCs w:val="2"/>
                <w:color w:val="auto"/>
              </w:rPr>
            </w:pPr>
          </w:p>
        </w:tc>
        <w:tc>
          <w:tcPr>
            <w:tcW w:w="1920" w:type="dxa"/>
            <w:vAlign w:val="bottom"/>
            <w:tcBorders>
              <w:bottom w:val="single" w:sz="8" w:color="7F7F7F"/>
            </w:tcBorders>
          </w:tcPr>
          <w:p>
            <w:pPr>
              <w:spacing w:after="0"/>
              <w:rPr>
                <w:sz w:val="2"/>
                <w:szCs w:val="2"/>
                <w:color w:val="auto"/>
              </w:rPr>
            </w:pPr>
          </w:p>
        </w:tc>
      </w:tr>
    </w:tbl>
    <w:p>
      <w:pPr>
        <w:spacing w:after="0" w:line="99" w:lineRule="exact"/>
        <w:rPr>
          <w:sz w:val="20"/>
          <w:szCs w:val="20"/>
          <w:color w:val="auto"/>
        </w:rPr>
      </w:pPr>
    </w:p>
    <w:p>
      <w:pPr>
        <w:ind w:left="304" w:right="80" w:hanging="304"/>
        <w:spacing w:after="0" w:line="264" w:lineRule="auto"/>
        <w:tabs>
          <w:tab w:leader="none" w:pos="304"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Company did not grant stock options during the 2023 fiscal year. All previously outstanding granted stock options for the named executive officers expired during the 2014 fiscal year. As a result, there are no outstanding options to report and, accordingly, these columns have been eliminated from the table.</w:t>
      </w:r>
    </w:p>
    <w:p>
      <w:pPr>
        <w:spacing w:after="0" w:line="34" w:lineRule="exact"/>
        <w:rPr>
          <w:rFonts w:ascii="Arial" w:cs="Arial" w:eastAsia="Arial" w:hAnsi="Arial"/>
          <w:sz w:val="12"/>
          <w:szCs w:val="12"/>
          <w:color w:val="auto"/>
        </w:rPr>
      </w:pPr>
    </w:p>
    <w:p>
      <w:pPr>
        <w:ind w:left="304" w:right="100" w:hanging="304"/>
        <w:spacing w:after="0" w:line="245" w:lineRule="auto"/>
        <w:tabs>
          <w:tab w:leader="none" w:pos="304" w:val="left"/>
        </w:tabs>
        <w:numPr>
          <w:ilvl w:val="0"/>
          <w:numId w:val="44"/>
        </w:numPr>
        <w:rPr>
          <w:rFonts w:ascii="Arial" w:cs="Arial" w:eastAsia="Arial" w:hAnsi="Arial"/>
          <w:sz w:val="12"/>
          <w:szCs w:val="12"/>
          <w:color w:val="auto"/>
        </w:rPr>
      </w:pPr>
      <w:r>
        <w:rPr>
          <w:rFonts w:ascii="Arial" w:cs="Arial" w:eastAsia="Arial" w:hAnsi="Arial"/>
          <w:sz w:val="12"/>
          <w:szCs w:val="12"/>
          <w:color w:val="auto"/>
        </w:rPr>
        <w:t>All outstanding Restricted Stock Awards/Units granted before 2023 vest ratably over four years. Restricted Stock Awards/Units granted in 2023 and after vest ratably over three years, with the exception of Mr. Malan’s February 14, 2023 award which has a two-year cliff vest. 2021 total includes 50% of the Specialty GP mix portion of the KEEP award. The number of outstanding shares has been determined as of December 31, 2023, the last day of the Company’s fiscal year 2023.</w:t>
      </w:r>
    </w:p>
    <w:p>
      <w:pPr>
        <w:spacing w:after="0" w:line="45" w:lineRule="exact"/>
        <w:rPr>
          <w:rFonts w:ascii="Arial" w:cs="Arial" w:eastAsia="Arial" w:hAnsi="Arial"/>
          <w:sz w:val="12"/>
          <w:szCs w:val="12"/>
          <w:color w:val="auto"/>
        </w:rPr>
      </w:pPr>
    </w:p>
    <w:p>
      <w:pPr>
        <w:ind w:left="304" w:right="100" w:hanging="304"/>
        <w:spacing w:after="0" w:line="239" w:lineRule="auto"/>
        <w:tabs>
          <w:tab w:leader="none" w:pos="304" w:val="left"/>
        </w:tabs>
        <w:numPr>
          <w:ilvl w:val="0"/>
          <w:numId w:val="44"/>
        </w:numPr>
        <w:rPr>
          <w:rFonts w:ascii="Arial" w:cs="Arial" w:eastAsia="Arial" w:hAnsi="Arial"/>
          <w:sz w:val="12"/>
          <w:szCs w:val="12"/>
          <w:color w:val="auto"/>
        </w:rPr>
      </w:pPr>
      <w:r>
        <w:rPr>
          <w:rFonts w:ascii="Arial" w:cs="Arial" w:eastAsia="Arial" w:hAnsi="Arial"/>
          <w:sz w:val="12"/>
          <w:szCs w:val="12"/>
          <w:color w:val="auto"/>
        </w:rPr>
        <w:t>Performance results for the first, second and third year of the 2021-2023 LTI are reflected in these totals, which is detailed above in the “2021-2023 Long-Term Incentive Performance Results” section. Performance results for the first and second year of the 2022-2024 LTI are reflected in these totals, which is detailed above in the “2022-2024 Long-Term Incentive Performance Results” section. Performance results for the first year of the 2023-2025 LTI are reflected in these totals, which is detailed above in the “2023-2025 Long-Term Incentive Performance Results” section.</w:t>
      </w:r>
    </w:p>
    <w:p>
      <w:pPr>
        <w:spacing w:after="0" w:line="48" w:lineRule="exact"/>
        <w:rPr>
          <w:rFonts w:ascii="Arial" w:cs="Arial" w:eastAsia="Arial" w:hAnsi="Arial"/>
          <w:sz w:val="12"/>
          <w:szCs w:val="12"/>
          <w:color w:val="auto"/>
        </w:rPr>
      </w:pPr>
    </w:p>
    <w:p>
      <w:pPr>
        <w:ind w:left="304" w:hanging="304"/>
        <w:spacing w:after="0"/>
        <w:tabs>
          <w:tab w:leader="none" w:pos="304"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market value is determined based on the closing market price of our common shares on the last trading day of the 2023 fiscal year, December 29, 2023 ($21.62).</w:t>
      </w:r>
    </w:p>
    <w:p>
      <w:pPr>
        <w:spacing w:after="0" w:line="70" w:lineRule="exact"/>
        <w:rPr>
          <w:rFonts w:ascii="Arial" w:cs="Arial" w:eastAsia="Arial" w:hAnsi="Arial"/>
          <w:sz w:val="12"/>
          <w:szCs w:val="12"/>
          <w:color w:val="auto"/>
        </w:rPr>
      </w:pPr>
    </w:p>
    <w:p>
      <w:pPr>
        <w:ind w:left="304" w:right="200" w:hanging="304"/>
        <w:spacing w:after="0" w:line="243" w:lineRule="auto"/>
        <w:tabs>
          <w:tab w:leader="none" w:pos="304" w:val="left"/>
        </w:tabs>
        <w:numPr>
          <w:ilvl w:val="0"/>
          <w:numId w:val="44"/>
        </w:numPr>
        <w:rPr>
          <w:rFonts w:ascii="Arial" w:cs="Arial" w:eastAsia="Arial" w:hAnsi="Arial"/>
          <w:sz w:val="12"/>
          <w:szCs w:val="12"/>
          <w:color w:val="auto"/>
        </w:rPr>
      </w:pPr>
      <w:r>
        <w:rPr>
          <w:rFonts w:ascii="Arial" w:cs="Arial" w:eastAsia="Arial" w:hAnsi="Arial"/>
          <w:sz w:val="12"/>
          <w:szCs w:val="12"/>
          <w:color w:val="auto"/>
        </w:rPr>
        <w:t>Performance Shares granted in 2021, 2022 and 2023 are earned based upon achievement of selected financial measures over three one-year periods. If the minimum or threshold performance is not attained, the performance shares will be forfeited. The table includes the 2022 Performance Shares year three and the 2023 Performance Shares years two and three, at target.</w:t>
      </w:r>
    </w:p>
    <w:p>
      <w:pPr>
        <w:ind w:left="9064" w:hanging="281"/>
        <w:spacing w:after="0"/>
        <w:tabs>
          <w:tab w:leader="none" w:pos="9064" w:val="left"/>
        </w:tabs>
        <w:numPr>
          <w:ilvl w:val="1"/>
          <w:numId w:val="44"/>
        </w:numPr>
        <w:rPr>
          <w:rFonts w:ascii="Arial" w:cs="Arial" w:eastAsia="Arial" w:hAnsi="Arial"/>
          <w:sz w:val="21"/>
          <w:szCs w:val="21"/>
          <w:color w:val="auto"/>
          <w:vertAlign w:val="subscript"/>
        </w:rPr>
      </w:pPr>
      <w:r>
        <w:rPr>
          <w:sz w:val="1"/>
          <w:szCs w:val="1"/>
          <w:color w:val="auto"/>
        </w:rPr>
        <w:drawing>
          <wp:inline distT="0" distB="0" distL="0" distR="0">
            <wp:extent cx="396240" cy="189865"/>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vertAlign w:val="subscript"/>
        </w:rPr>
        <w:t xml:space="preserve">    </w:t>
      </w:r>
      <w:r>
        <w:rPr>
          <w:rFonts w:ascii="Arial" w:cs="Arial" w:eastAsia="Arial" w:hAnsi="Arial"/>
          <w:sz w:val="21"/>
          <w:szCs w:val="21"/>
          <w:color w:val="auto"/>
        </w:rPr>
        <w: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6311265</wp:posOffset>
            </wp:positionH>
            <wp:positionV relativeFrom="paragraph">
              <wp:posOffset>-134620</wp:posOffset>
            </wp:positionV>
            <wp:extent cx="8255" cy="2228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bookmarkStart w:id="69" w:name="page70"/>
    <w:bookmarkEnd w:id="69"/>
    <w:p>
      <w:pPr>
        <w:ind w:left="4"/>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2023 Executive Compensation Tables</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Option Exercises and Stock Vested 2023</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160" w:type="dxa"/>
            <w:vAlign w:val="bottom"/>
            <w:gridSpan w:val="2"/>
          </w:tcPr>
          <w:p>
            <w:pPr>
              <w:ind w:left="1240"/>
              <w:spacing w:after="0"/>
              <w:rPr>
                <w:sz w:val="20"/>
                <w:szCs w:val="20"/>
                <w:color w:val="auto"/>
              </w:rPr>
            </w:pPr>
            <w:r>
              <w:rPr>
                <w:rFonts w:ascii="Arial" w:cs="Arial" w:eastAsia="Arial" w:hAnsi="Arial"/>
                <w:sz w:val="14"/>
                <w:szCs w:val="14"/>
                <w:b w:val="1"/>
                <w:bCs w:val="1"/>
                <w:color w:val="0A9E50"/>
              </w:rPr>
              <w:t>Option Awards</w:t>
            </w:r>
          </w:p>
        </w:tc>
        <w:tc>
          <w:tcPr>
            <w:tcW w:w="2360" w:type="dxa"/>
            <w:vAlign w:val="bottom"/>
            <w:gridSpan w:val="2"/>
          </w:tcPr>
          <w:p>
            <w:pPr>
              <w:ind w:left="880"/>
              <w:spacing w:after="0"/>
              <w:rPr>
                <w:sz w:val="20"/>
                <w:szCs w:val="20"/>
                <w:color w:val="auto"/>
              </w:rPr>
            </w:pPr>
            <w:r>
              <w:rPr>
                <w:rFonts w:ascii="Arial" w:cs="Arial" w:eastAsia="Arial" w:hAnsi="Arial"/>
                <w:sz w:val="14"/>
                <w:szCs w:val="14"/>
                <w:b w:val="1"/>
                <w:bCs w:val="1"/>
                <w:color w:val="0A9E50"/>
              </w:rPr>
              <w:t>Stock Awards</w:t>
            </w:r>
          </w:p>
        </w:tc>
      </w:tr>
      <w:tr>
        <w:trPr>
          <w:trHeight w:val="39"/>
        </w:trPr>
        <w:tc>
          <w:tcPr>
            <w:tcW w:w="510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40"/>
        </w:trPr>
        <w:tc>
          <w:tcPr>
            <w:tcW w:w="5100" w:type="dxa"/>
            <w:vAlign w:val="bottom"/>
          </w:tcPr>
          <w:p>
            <w:pPr>
              <w:spacing w:after="0"/>
              <w:rPr>
                <w:sz w:val="12"/>
                <w:szCs w:val="12"/>
                <w:color w:val="auto"/>
              </w:rPr>
            </w:pPr>
          </w:p>
        </w:tc>
        <w:tc>
          <w:tcPr>
            <w:tcW w:w="1760" w:type="dxa"/>
            <w:vAlign w:val="bottom"/>
          </w:tcPr>
          <w:p>
            <w:pPr>
              <w:jc w:val="center"/>
              <w:ind w:left="231"/>
              <w:spacing w:after="0" w:line="140" w:lineRule="exact"/>
              <w:rPr>
                <w:sz w:val="20"/>
                <w:szCs w:val="20"/>
                <w:color w:val="auto"/>
              </w:rPr>
            </w:pPr>
            <w:r>
              <w:rPr>
                <w:rFonts w:ascii="Arial" w:cs="Arial" w:eastAsia="Arial" w:hAnsi="Arial"/>
                <w:sz w:val="14"/>
                <w:szCs w:val="14"/>
                <w:b w:val="1"/>
                <w:bCs w:val="1"/>
                <w:color w:val="0A9E50"/>
                <w:w w:val="99"/>
              </w:rPr>
              <w:t>Number of</w:t>
            </w:r>
          </w:p>
        </w:tc>
        <w:tc>
          <w:tcPr>
            <w:tcW w:w="1400" w:type="dxa"/>
            <w:vAlign w:val="bottom"/>
          </w:tcPr>
          <w:p>
            <w:pPr>
              <w:spacing w:after="0"/>
              <w:rPr>
                <w:sz w:val="12"/>
                <w:szCs w:val="12"/>
                <w:color w:val="auto"/>
              </w:rPr>
            </w:pPr>
          </w:p>
        </w:tc>
        <w:tc>
          <w:tcPr>
            <w:tcW w:w="1340" w:type="dxa"/>
            <w:vAlign w:val="bottom"/>
          </w:tcPr>
          <w:p>
            <w:pPr>
              <w:jc w:val="center"/>
              <w:ind w:left="31"/>
              <w:spacing w:after="0" w:line="140" w:lineRule="exact"/>
              <w:rPr>
                <w:sz w:val="20"/>
                <w:szCs w:val="20"/>
                <w:color w:val="auto"/>
              </w:rPr>
            </w:pPr>
            <w:r>
              <w:rPr>
                <w:rFonts w:ascii="Arial" w:cs="Arial" w:eastAsia="Arial" w:hAnsi="Arial"/>
                <w:sz w:val="14"/>
                <w:szCs w:val="14"/>
                <w:b w:val="1"/>
                <w:bCs w:val="1"/>
                <w:color w:val="0A9E50"/>
                <w:w w:val="97"/>
              </w:rPr>
              <w:t>Number of</w:t>
            </w:r>
          </w:p>
        </w:tc>
        <w:tc>
          <w:tcPr>
            <w:tcW w:w="1020" w:type="dxa"/>
            <w:vAlign w:val="bottom"/>
          </w:tcPr>
          <w:p>
            <w:pPr>
              <w:spacing w:after="0"/>
              <w:rPr>
                <w:sz w:val="12"/>
                <w:szCs w:val="12"/>
                <w:color w:val="auto"/>
              </w:rPr>
            </w:pPr>
          </w:p>
        </w:tc>
      </w:tr>
      <w:tr>
        <w:trPr>
          <w:trHeight w:val="156"/>
        </w:trPr>
        <w:tc>
          <w:tcPr>
            <w:tcW w:w="5100" w:type="dxa"/>
            <w:vAlign w:val="bottom"/>
          </w:tcPr>
          <w:p>
            <w:pPr>
              <w:spacing w:after="0"/>
              <w:rPr>
                <w:sz w:val="13"/>
                <w:szCs w:val="13"/>
                <w:color w:val="auto"/>
              </w:rPr>
            </w:pPr>
          </w:p>
        </w:tc>
        <w:tc>
          <w:tcPr>
            <w:tcW w:w="1760" w:type="dxa"/>
            <w:vAlign w:val="bottom"/>
          </w:tcPr>
          <w:p>
            <w:pPr>
              <w:jc w:val="center"/>
              <w:ind w:left="231"/>
              <w:spacing w:after="0" w:line="156" w:lineRule="exact"/>
              <w:rPr>
                <w:sz w:val="20"/>
                <w:szCs w:val="20"/>
                <w:color w:val="auto"/>
              </w:rPr>
            </w:pPr>
            <w:r>
              <w:rPr>
                <w:rFonts w:ascii="Arial" w:cs="Arial" w:eastAsia="Arial" w:hAnsi="Arial"/>
                <w:sz w:val="14"/>
                <w:szCs w:val="14"/>
                <w:b w:val="1"/>
                <w:bCs w:val="1"/>
                <w:color w:val="0A9E50"/>
                <w:w w:val="98"/>
              </w:rPr>
              <w:t>Shares</w:t>
            </w:r>
          </w:p>
        </w:tc>
        <w:tc>
          <w:tcPr>
            <w:tcW w:w="140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6"/>
              </w:rPr>
              <w:t>Value</w:t>
            </w:r>
          </w:p>
        </w:tc>
        <w:tc>
          <w:tcPr>
            <w:tcW w:w="1340" w:type="dxa"/>
            <w:vAlign w:val="bottom"/>
          </w:tcPr>
          <w:p>
            <w:pPr>
              <w:jc w:val="center"/>
              <w:ind w:left="31"/>
              <w:spacing w:after="0" w:line="156" w:lineRule="exact"/>
              <w:rPr>
                <w:sz w:val="20"/>
                <w:szCs w:val="20"/>
                <w:color w:val="auto"/>
              </w:rPr>
            </w:pPr>
            <w:r>
              <w:rPr>
                <w:rFonts w:ascii="Arial" w:cs="Arial" w:eastAsia="Arial" w:hAnsi="Arial"/>
                <w:sz w:val="14"/>
                <w:szCs w:val="14"/>
                <w:b w:val="1"/>
                <w:bCs w:val="1"/>
                <w:color w:val="0A9E50"/>
              </w:rPr>
              <w:t>Shares</w:t>
            </w:r>
          </w:p>
        </w:tc>
        <w:tc>
          <w:tcPr>
            <w:tcW w:w="1020" w:type="dxa"/>
            <w:vAlign w:val="bottom"/>
          </w:tcPr>
          <w:p>
            <w:pPr>
              <w:jc w:val="center"/>
              <w:ind w:left="151"/>
              <w:spacing w:after="0" w:line="156" w:lineRule="exact"/>
              <w:rPr>
                <w:sz w:val="20"/>
                <w:szCs w:val="20"/>
                <w:color w:val="auto"/>
              </w:rPr>
            </w:pPr>
            <w:r>
              <w:rPr>
                <w:rFonts w:ascii="Arial" w:cs="Arial" w:eastAsia="Arial" w:hAnsi="Arial"/>
                <w:sz w:val="14"/>
                <w:szCs w:val="14"/>
                <w:b w:val="1"/>
                <w:bCs w:val="1"/>
                <w:color w:val="0A9E50"/>
                <w:w w:val="96"/>
              </w:rPr>
              <w:t>Value</w:t>
            </w:r>
          </w:p>
        </w:tc>
      </w:tr>
      <w:tr>
        <w:trPr>
          <w:trHeight w:val="152"/>
        </w:trPr>
        <w:tc>
          <w:tcPr>
            <w:tcW w:w="5100" w:type="dxa"/>
            <w:vAlign w:val="bottom"/>
          </w:tcPr>
          <w:p>
            <w:pPr>
              <w:spacing w:after="0"/>
              <w:rPr>
                <w:sz w:val="13"/>
                <w:szCs w:val="13"/>
                <w:color w:val="auto"/>
              </w:rPr>
            </w:pPr>
          </w:p>
        </w:tc>
        <w:tc>
          <w:tcPr>
            <w:tcW w:w="1760" w:type="dxa"/>
            <w:vAlign w:val="bottom"/>
          </w:tcPr>
          <w:p>
            <w:pPr>
              <w:jc w:val="center"/>
              <w:ind w:left="231"/>
              <w:spacing w:after="0" w:line="153" w:lineRule="exact"/>
              <w:rPr>
                <w:sz w:val="20"/>
                <w:szCs w:val="20"/>
                <w:color w:val="auto"/>
              </w:rPr>
            </w:pPr>
            <w:r>
              <w:rPr>
                <w:rFonts w:ascii="Arial" w:cs="Arial" w:eastAsia="Arial" w:hAnsi="Arial"/>
                <w:sz w:val="14"/>
                <w:szCs w:val="14"/>
                <w:b w:val="1"/>
                <w:bCs w:val="1"/>
                <w:color w:val="0A9E50"/>
              </w:rPr>
              <w:t>Acquired on</w:t>
            </w: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0A9E50"/>
              </w:rPr>
              <w:t>Realized on</w:t>
            </w:r>
          </w:p>
        </w:tc>
        <w:tc>
          <w:tcPr>
            <w:tcW w:w="1340" w:type="dxa"/>
            <w:vAlign w:val="bottom"/>
          </w:tcPr>
          <w:p>
            <w:pPr>
              <w:jc w:val="center"/>
              <w:ind w:left="31"/>
              <w:spacing w:after="0" w:line="153" w:lineRule="exact"/>
              <w:rPr>
                <w:sz w:val="20"/>
                <w:szCs w:val="20"/>
                <w:color w:val="auto"/>
              </w:rPr>
            </w:pPr>
            <w:r>
              <w:rPr>
                <w:rFonts w:ascii="Arial" w:cs="Arial" w:eastAsia="Arial" w:hAnsi="Arial"/>
                <w:sz w:val="14"/>
                <w:szCs w:val="14"/>
                <w:b w:val="1"/>
                <w:bCs w:val="1"/>
                <w:color w:val="0A9E50"/>
                <w:w w:val="97"/>
              </w:rPr>
              <w:t>Acquired on</w:t>
            </w:r>
          </w:p>
        </w:tc>
        <w:tc>
          <w:tcPr>
            <w:tcW w:w="1020" w:type="dxa"/>
            <w:vAlign w:val="bottom"/>
          </w:tcPr>
          <w:p>
            <w:pPr>
              <w:jc w:val="center"/>
              <w:ind w:left="151"/>
              <w:spacing w:after="0" w:line="153" w:lineRule="exact"/>
              <w:rPr>
                <w:sz w:val="20"/>
                <w:szCs w:val="20"/>
                <w:color w:val="auto"/>
              </w:rPr>
            </w:pPr>
            <w:r>
              <w:rPr>
                <w:rFonts w:ascii="Arial" w:cs="Arial" w:eastAsia="Arial" w:hAnsi="Arial"/>
                <w:sz w:val="14"/>
                <w:szCs w:val="14"/>
                <w:b w:val="1"/>
                <w:bCs w:val="1"/>
                <w:color w:val="0A9E50"/>
                <w:w w:val="97"/>
              </w:rPr>
              <w:t>Realized on</w:t>
            </w:r>
          </w:p>
        </w:tc>
      </w:tr>
      <w:tr>
        <w:trPr>
          <w:trHeight w:val="160"/>
        </w:trPr>
        <w:tc>
          <w:tcPr>
            <w:tcW w:w="5100" w:type="dxa"/>
            <w:vAlign w:val="bottom"/>
          </w:tcPr>
          <w:p>
            <w:pPr>
              <w:spacing w:after="0"/>
              <w:rPr>
                <w:sz w:val="13"/>
                <w:szCs w:val="13"/>
                <w:color w:val="auto"/>
              </w:rPr>
            </w:pPr>
          </w:p>
        </w:tc>
        <w:tc>
          <w:tcPr>
            <w:tcW w:w="1760" w:type="dxa"/>
            <w:vAlign w:val="bottom"/>
          </w:tcPr>
          <w:p>
            <w:pPr>
              <w:jc w:val="center"/>
              <w:ind w:left="231"/>
              <w:spacing w:after="0" w:line="160" w:lineRule="exact"/>
              <w:rPr>
                <w:sz w:val="20"/>
                <w:szCs w:val="20"/>
                <w:color w:val="auto"/>
              </w:rPr>
            </w:pPr>
            <w:r>
              <w:rPr>
                <w:rFonts w:ascii="Arial" w:cs="Arial" w:eastAsia="Arial" w:hAnsi="Arial"/>
                <w:sz w:val="14"/>
                <w:szCs w:val="14"/>
                <w:b w:val="1"/>
                <w:bCs w:val="1"/>
                <w:color w:val="0A9E50"/>
              </w:rPr>
              <w:t>Exercise</w:t>
            </w:r>
          </w:p>
        </w:tc>
        <w:tc>
          <w:tcPr>
            <w:tcW w:w="1400" w:type="dxa"/>
            <w:vAlign w:val="bottom"/>
          </w:tcPr>
          <w:p>
            <w:pPr>
              <w:jc w:val="center"/>
              <w:spacing w:after="0" w:line="160" w:lineRule="exact"/>
              <w:rPr>
                <w:sz w:val="20"/>
                <w:szCs w:val="20"/>
                <w:color w:val="auto"/>
              </w:rPr>
            </w:pPr>
            <w:r>
              <w:rPr>
                <w:rFonts w:ascii="Arial" w:cs="Arial" w:eastAsia="Arial" w:hAnsi="Arial"/>
                <w:sz w:val="14"/>
                <w:szCs w:val="14"/>
                <w:b w:val="1"/>
                <w:bCs w:val="1"/>
                <w:color w:val="0A9E50"/>
              </w:rPr>
              <w:t>Exercise</w:t>
            </w:r>
          </w:p>
        </w:tc>
        <w:tc>
          <w:tcPr>
            <w:tcW w:w="1340" w:type="dxa"/>
            <w:vAlign w:val="bottom"/>
          </w:tcPr>
          <w:p>
            <w:pPr>
              <w:jc w:val="center"/>
              <w:ind w:left="31"/>
              <w:spacing w:after="0" w:line="160" w:lineRule="exact"/>
              <w:rPr>
                <w:sz w:val="20"/>
                <w:szCs w:val="20"/>
                <w:color w:val="auto"/>
              </w:rPr>
            </w:pPr>
            <w:r>
              <w:rPr>
                <w:rFonts w:ascii="Arial" w:cs="Arial" w:eastAsia="Arial" w:hAnsi="Arial"/>
                <w:sz w:val="14"/>
                <w:szCs w:val="14"/>
                <w:b w:val="1"/>
                <w:bCs w:val="1"/>
                <w:color w:val="0A9E50"/>
                <w:w w:val="94"/>
              </w:rPr>
              <w:t>Vesting</w:t>
            </w:r>
          </w:p>
        </w:tc>
        <w:tc>
          <w:tcPr>
            <w:tcW w:w="1020" w:type="dxa"/>
            <w:vAlign w:val="bottom"/>
          </w:tcPr>
          <w:p>
            <w:pPr>
              <w:jc w:val="center"/>
              <w:ind w:left="171"/>
              <w:spacing w:after="0" w:line="160" w:lineRule="exact"/>
              <w:rPr>
                <w:sz w:val="20"/>
                <w:szCs w:val="20"/>
                <w:color w:val="auto"/>
              </w:rPr>
            </w:pPr>
            <w:r>
              <w:rPr>
                <w:rFonts w:ascii="Arial" w:cs="Arial" w:eastAsia="Arial" w:hAnsi="Arial"/>
                <w:sz w:val="13"/>
                <w:szCs w:val="13"/>
                <w:b w:val="1"/>
                <w:bCs w:val="1"/>
                <w:color w:val="0A9E50"/>
              </w:rPr>
              <w:t>Vesting</w:t>
            </w:r>
            <w:r>
              <w:rPr>
                <w:rFonts w:ascii="Arial" w:cs="Arial" w:eastAsia="Arial" w:hAnsi="Arial"/>
                <w:sz w:val="18"/>
                <w:szCs w:val="18"/>
                <w:b w:val="1"/>
                <w:bCs w:val="1"/>
                <w:color w:val="0A9E50"/>
                <w:vertAlign w:val="superscript"/>
              </w:rPr>
              <w:t>(1)</w:t>
            </w:r>
          </w:p>
        </w:tc>
      </w:tr>
      <w:tr>
        <w:trPr>
          <w:trHeight w:val="192"/>
        </w:trPr>
        <w:tc>
          <w:tcPr>
            <w:tcW w:w="5100" w:type="dxa"/>
            <w:vAlign w:val="bottom"/>
          </w:tcPr>
          <w:p>
            <w:pPr>
              <w:spacing w:after="0"/>
              <w:rPr>
                <w:sz w:val="20"/>
                <w:szCs w:val="20"/>
                <w:color w:val="auto"/>
              </w:rPr>
            </w:pPr>
            <w:r>
              <w:rPr>
                <w:rFonts w:ascii="Arial" w:cs="Arial" w:eastAsia="Arial" w:hAnsi="Arial"/>
                <w:sz w:val="14"/>
                <w:szCs w:val="14"/>
                <w:b w:val="1"/>
                <w:bCs w:val="1"/>
                <w:color w:val="0A9E50"/>
              </w:rPr>
              <w:t>Name</w:t>
            </w:r>
          </w:p>
        </w:tc>
        <w:tc>
          <w:tcPr>
            <w:tcW w:w="1760" w:type="dxa"/>
            <w:vAlign w:val="bottom"/>
          </w:tcPr>
          <w:p>
            <w:pPr>
              <w:jc w:val="center"/>
              <w:ind w:left="231"/>
              <w:spacing w:after="0"/>
              <w:rPr>
                <w:sz w:val="20"/>
                <w:szCs w:val="20"/>
                <w:color w:val="auto"/>
              </w:rPr>
            </w:pPr>
            <w:r>
              <w:rPr>
                <w:rFonts w:ascii="Arial" w:cs="Arial" w:eastAsia="Arial" w:hAnsi="Arial"/>
                <w:sz w:val="14"/>
                <w:szCs w:val="14"/>
                <w:b w:val="1"/>
                <w:bCs w:val="1"/>
                <w:color w:val="0A9E50"/>
              </w:rPr>
              <w: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1340" w:type="dxa"/>
            <w:vAlign w:val="bottom"/>
          </w:tcPr>
          <w:p>
            <w:pPr>
              <w:jc w:val="center"/>
              <w:ind w:left="31"/>
              <w:spacing w:after="0"/>
              <w:rPr>
                <w:sz w:val="20"/>
                <w:szCs w:val="20"/>
                <w:color w:val="auto"/>
              </w:rPr>
            </w:pPr>
            <w:r>
              <w:rPr>
                <w:rFonts w:ascii="Arial" w:cs="Arial" w:eastAsia="Arial" w:hAnsi="Arial"/>
                <w:sz w:val="14"/>
                <w:szCs w:val="14"/>
                <w:b w:val="1"/>
                <w:bCs w:val="1"/>
                <w:color w:val="0A9E50"/>
                <w:w w:val="93"/>
              </w:rPr>
              <w:t>(#)</w:t>
            </w:r>
          </w:p>
        </w:tc>
        <w:tc>
          <w:tcPr>
            <w:tcW w:w="1020" w:type="dxa"/>
            <w:vAlign w:val="bottom"/>
          </w:tcPr>
          <w:p>
            <w:pPr>
              <w:jc w:val="center"/>
              <w:ind w:left="151"/>
              <w:spacing w:after="0"/>
              <w:rPr>
                <w:sz w:val="20"/>
                <w:szCs w:val="20"/>
                <w:color w:val="auto"/>
              </w:rPr>
            </w:pPr>
            <w:r>
              <w:rPr>
                <w:rFonts w:ascii="Arial" w:cs="Arial" w:eastAsia="Arial" w:hAnsi="Arial"/>
                <w:sz w:val="14"/>
                <w:szCs w:val="14"/>
                <w:b w:val="1"/>
                <w:bCs w:val="1"/>
                <w:color w:val="0A9E50"/>
                <w:w w:val="93"/>
              </w:rPr>
              <w:t>($)</w:t>
            </w:r>
          </w:p>
        </w:tc>
      </w:tr>
      <w:tr>
        <w:trPr>
          <w:trHeight w:val="39"/>
        </w:trPr>
        <w:tc>
          <w:tcPr>
            <w:tcW w:w="51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7"/>
        </w:trPr>
        <w:tc>
          <w:tcPr>
            <w:tcW w:w="5100" w:type="dxa"/>
            <w:vAlign w:val="bottom"/>
          </w:tcPr>
          <w:p>
            <w:pPr>
              <w:ind w:left="60"/>
              <w:spacing w:after="0"/>
              <w:rPr>
                <w:sz w:val="20"/>
                <w:szCs w:val="20"/>
                <w:color w:val="auto"/>
              </w:rPr>
            </w:pPr>
            <w:r>
              <w:rPr>
                <w:rFonts w:ascii="Arial" w:cs="Arial" w:eastAsia="Arial" w:hAnsi="Arial"/>
                <w:sz w:val="14"/>
                <w:szCs w:val="14"/>
                <w:b w:val="1"/>
                <w:bCs w:val="1"/>
                <w:color w:val="auto"/>
              </w:rPr>
              <w:t>Peter W. Quigley</w:t>
            </w:r>
          </w:p>
        </w:tc>
        <w:tc>
          <w:tcPr>
            <w:tcW w:w="1760" w:type="dxa"/>
            <w:vAlign w:val="bottom"/>
          </w:tcPr>
          <w:p>
            <w:pPr>
              <w:jc w:val="center"/>
              <w:ind w:left="231"/>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62,249</w:t>
            </w:r>
          </w:p>
        </w:tc>
        <w:tc>
          <w:tcPr>
            <w:tcW w:w="1020" w:type="dxa"/>
            <w:vAlign w:val="bottom"/>
          </w:tcPr>
          <w:p>
            <w:pPr>
              <w:jc w:val="center"/>
              <w:ind w:left="151"/>
              <w:spacing w:after="0"/>
              <w:rPr>
                <w:sz w:val="20"/>
                <w:szCs w:val="20"/>
                <w:color w:val="auto"/>
              </w:rPr>
            </w:pPr>
            <w:r>
              <w:rPr>
                <w:rFonts w:ascii="Arial" w:cs="Arial" w:eastAsia="Arial" w:hAnsi="Arial"/>
                <w:sz w:val="14"/>
                <w:szCs w:val="14"/>
                <w:color w:val="auto"/>
                <w:w w:val="96"/>
              </w:rPr>
              <w:t>1,110,746</w:t>
            </w:r>
          </w:p>
        </w:tc>
      </w:tr>
      <w:tr>
        <w:trPr>
          <w:trHeight w:val="39"/>
        </w:trPr>
        <w:tc>
          <w:tcPr>
            <w:tcW w:w="5100" w:type="dxa"/>
            <w:vAlign w:val="bottom"/>
            <w:tcBorders>
              <w:bottom w:val="single" w:sz="8" w:color="7F7F7F"/>
            </w:tcBorders>
          </w:tcPr>
          <w:p>
            <w:pPr>
              <w:spacing w:after="0"/>
              <w:rPr>
                <w:sz w:val="3"/>
                <w:szCs w:val="3"/>
                <w:color w:val="auto"/>
              </w:rPr>
            </w:pPr>
          </w:p>
        </w:tc>
        <w:tc>
          <w:tcPr>
            <w:tcW w:w="1760" w:type="dxa"/>
            <w:vAlign w:val="bottom"/>
            <w:tcBorders>
              <w:bottom w:val="single" w:sz="8" w:color="7F7F7F"/>
            </w:tcBorders>
          </w:tcPr>
          <w:p>
            <w:pPr>
              <w:spacing w:after="0"/>
              <w:rPr>
                <w:sz w:val="3"/>
                <w:szCs w:val="3"/>
                <w:color w:val="auto"/>
              </w:rPr>
            </w:pPr>
          </w:p>
        </w:tc>
        <w:tc>
          <w:tcPr>
            <w:tcW w:w="1400" w:type="dxa"/>
            <w:vAlign w:val="bottom"/>
            <w:tcBorders>
              <w:bottom w:val="single" w:sz="8" w:color="7F7F7F"/>
            </w:tcBorders>
          </w:tcPr>
          <w:p>
            <w:pPr>
              <w:spacing w:after="0"/>
              <w:rPr>
                <w:sz w:val="3"/>
                <w:szCs w:val="3"/>
                <w:color w:val="auto"/>
              </w:rPr>
            </w:pPr>
          </w:p>
        </w:tc>
        <w:tc>
          <w:tcPr>
            <w:tcW w:w="13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r>
      <w:tr>
        <w:trPr>
          <w:trHeight w:val="227"/>
        </w:trPr>
        <w:tc>
          <w:tcPr>
            <w:tcW w:w="5100" w:type="dxa"/>
            <w:vAlign w:val="bottom"/>
          </w:tcPr>
          <w:p>
            <w:pPr>
              <w:ind w:left="60"/>
              <w:spacing w:after="0"/>
              <w:rPr>
                <w:sz w:val="20"/>
                <w:szCs w:val="20"/>
                <w:color w:val="auto"/>
              </w:rPr>
            </w:pPr>
            <w:r>
              <w:rPr>
                <w:rFonts w:ascii="Arial" w:cs="Arial" w:eastAsia="Arial" w:hAnsi="Arial"/>
                <w:sz w:val="14"/>
                <w:szCs w:val="14"/>
                <w:b w:val="1"/>
                <w:bCs w:val="1"/>
                <w:color w:val="auto"/>
              </w:rPr>
              <w:t>Olivier G. Thirot</w:t>
            </w:r>
          </w:p>
        </w:tc>
        <w:tc>
          <w:tcPr>
            <w:tcW w:w="1760" w:type="dxa"/>
            <w:vAlign w:val="bottom"/>
          </w:tcPr>
          <w:p>
            <w:pPr>
              <w:jc w:val="center"/>
              <w:ind w:left="231"/>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42,447</w:t>
            </w:r>
          </w:p>
        </w:tc>
        <w:tc>
          <w:tcPr>
            <w:tcW w:w="1020" w:type="dxa"/>
            <w:vAlign w:val="bottom"/>
          </w:tcPr>
          <w:p>
            <w:pPr>
              <w:jc w:val="center"/>
              <w:ind w:left="171"/>
              <w:spacing w:after="0"/>
              <w:rPr>
                <w:sz w:val="20"/>
                <w:szCs w:val="20"/>
                <w:color w:val="auto"/>
              </w:rPr>
            </w:pPr>
            <w:r>
              <w:rPr>
                <w:rFonts w:ascii="Arial" w:cs="Arial" w:eastAsia="Arial" w:hAnsi="Arial"/>
                <w:sz w:val="14"/>
                <w:szCs w:val="14"/>
                <w:color w:val="auto"/>
                <w:w w:val="98"/>
              </w:rPr>
              <w:t>757,156</w:t>
            </w:r>
          </w:p>
        </w:tc>
      </w:tr>
      <w:tr>
        <w:trPr>
          <w:trHeight w:val="39"/>
        </w:trPr>
        <w:tc>
          <w:tcPr>
            <w:tcW w:w="5100" w:type="dxa"/>
            <w:vAlign w:val="bottom"/>
            <w:tcBorders>
              <w:bottom w:val="single" w:sz="8" w:color="7F7F7F"/>
            </w:tcBorders>
          </w:tcPr>
          <w:p>
            <w:pPr>
              <w:spacing w:after="0"/>
              <w:rPr>
                <w:sz w:val="3"/>
                <w:szCs w:val="3"/>
                <w:color w:val="auto"/>
              </w:rPr>
            </w:pPr>
          </w:p>
        </w:tc>
        <w:tc>
          <w:tcPr>
            <w:tcW w:w="1760" w:type="dxa"/>
            <w:vAlign w:val="bottom"/>
            <w:tcBorders>
              <w:bottom w:val="single" w:sz="8" w:color="7F7F7F"/>
            </w:tcBorders>
          </w:tcPr>
          <w:p>
            <w:pPr>
              <w:spacing w:after="0"/>
              <w:rPr>
                <w:sz w:val="3"/>
                <w:szCs w:val="3"/>
                <w:color w:val="auto"/>
              </w:rPr>
            </w:pPr>
          </w:p>
        </w:tc>
        <w:tc>
          <w:tcPr>
            <w:tcW w:w="1400" w:type="dxa"/>
            <w:vAlign w:val="bottom"/>
            <w:tcBorders>
              <w:bottom w:val="single" w:sz="8" w:color="7F7F7F"/>
            </w:tcBorders>
          </w:tcPr>
          <w:p>
            <w:pPr>
              <w:spacing w:after="0"/>
              <w:rPr>
                <w:sz w:val="3"/>
                <w:szCs w:val="3"/>
                <w:color w:val="auto"/>
              </w:rPr>
            </w:pPr>
          </w:p>
        </w:tc>
        <w:tc>
          <w:tcPr>
            <w:tcW w:w="13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r>
      <w:tr>
        <w:trPr>
          <w:trHeight w:val="227"/>
        </w:trPr>
        <w:tc>
          <w:tcPr>
            <w:tcW w:w="5100" w:type="dxa"/>
            <w:vAlign w:val="bottom"/>
          </w:tcPr>
          <w:p>
            <w:pPr>
              <w:ind w:left="60"/>
              <w:spacing w:after="0"/>
              <w:rPr>
                <w:sz w:val="20"/>
                <w:szCs w:val="20"/>
                <w:color w:val="auto"/>
              </w:rPr>
            </w:pPr>
            <w:r>
              <w:rPr>
                <w:rFonts w:ascii="Arial" w:cs="Arial" w:eastAsia="Arial" w:hAnsi="Arial"/>
                <w:sz w:val="14"/>
                <w:szCs w:val="14"/>
                <w:b w:val="1"/>
                <w:bCs w:val="1"/>
                <w:color w:val="auto"/>
              </w:rPr>
              <w:t>Daniel H. Malan</w:t>
            </w:r>
          </w:p>
        </w:tc>
        <w:tc>
          <w:tcPr>
            <w:tcW w:w="1760" w:type="dxa"/>
            <w:vAlign w:val="bottom"/>
          </w:tcPr>
          <w:p>
            <w:pPr>
              <w:jc w:val="center"/>
              <w:ind w:left="231"/>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26,199</w:t>
            </w:r>
          </w:p>
        </w:tc>
        <w:tc>
          <w:tcPr>
            <w:tcW w:w="1020" w:type="dxa"/>
            <w:vAlign w:val="bottom"/>
          </w:tcPr>
          <w:p>
            <w:pPr>
              <w:jc w:val="center"/>
              <w:ind w:left="171"/>
              <w:spacing w:after="0"/>
              <w:rPr>
                <w:sz w:val="20"/>
                <w:szCs w:val="20"/>
                <w:color w:val="auto"/>
              </w:rPr>
            </w:pPr>
            <w:r>
              <w:rPr>
                <w:rFonts w:ascii="Arial" w:cs="Arial" w:eastAsia="Arial" w:hAnsi="Arial"/>
                <w:sz w:val="14"/>
                <w:szCs w:val="14"/>
                <w:color w:val="auto"/>
                <w:w w:val="98"/>
              </w:rPr>
              <w:t>444,538</w:t>
            </w:r>
          </w:p>
        </w:tc>
      </w:tr>
      <w:tr>
        <w:trPr>
          <w:trHeight w:val="39"/>
        </w:trPr>
        <w:tc>
          <w:tcPr>
            <w:tcW w:w="5100" w:type="dxa"/>
            <w:vAlign w:val="bottom"/>
            <w:tcBorders>
              <w:bottom w:val="single" w:sz="8" w:color="7F7F7F"/>
            </w:tcBorders>
          </w:tcPr>
          <w:p>
            <w:pPr>
              <w:spacing w:after="0"/>
              <w:rPr>
                <w:sz w:val="3"/>
                <w:szCs w:val="3"/>
                <w:color w:val="auto"/>
              </w:rPr>
            </w:pPr>
          </w:p>
        </w:tc>
        <w:tc>
          <w:tcPr>
            <w:tcW w:w="1760" w:type="dxa"/>
            <w:vAlign w:val="bottom"/>
            <w:tcBorders>
              <w:bottom w:val="single" w:sz="8" w:color="7F7F7F"/>
            </w:tcBorders>
          </w:tcPr>
          <w:p>
            <w:pPr>
              <w:spacing w:after="0"/>
              <w:rPr>
                <w:sz w:val="3"/>
                <w:szCs w:val="3"/>
                <w:color w:val="auto"/>
              </w:rPr>
            </w:pPr>
          </w:p>
        </w:tc>
        <w:tc>
          <w:tcPr>
            <w:tcW w:w="1400" w:type="dxa"/>
            <w:vAlign w:val="bottom"/>
            <w:tcBorders>
              <w:bottom w:val="single" w:sz="8" w:color="7F7F7F"/>
            </w:tcBorders>
          </w:tcPr>
          <w:p>
            <w:pPr>
              <w:spacing w:after="0"/>
              <w:rPr>
                <w:sz w:val="3"/>
                <w:szCs w:val="3"/>
                <w:color w:val="auto"/>
              </w:rPr>
            </w:pPr>
          </w:p>
        </w:tc>
        <w:tc>
          <w:tcPr>
            <w:tcW w:w="13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r>
      <w:tr>
        <w:trPr>
          <w:trHeight w:val="227"/>
        </w:trPr>
        <w:tc>
          <w:tcPr>
            <w:tcW w:w="5100" w:type="dxa"/>
            <w:vAlign w:val="bottom"/>
          </w:tcPr>
          <w:p>
            <w:pPr>
              <w:ind w:left="60"/>
              <w:spacing w:after="0"/>
              <w:rPr>
                <w:sz w:val="20"/>
                <w:szCs w:val="20"/>
                <w:color w:val="auto"/>
              </w:rPr>
            </w:pPr>
            <w:r>
              <w:rPr>
                <w:rFonts w:ascii="Arial" w:cs="Arial" w:eastAsia="Arial" w:hAnsi="Arial"/>
                <w:sz w:val="14"/>
                <w:szCs w:val="14"/>
                <w:b w:val="1"/>
                <w:bCs w:val="1"/>
                <w:color w:val="auto"/>
              </w:rPr>
              <w:t>Vanessa P. Williams</w:t>
            </w:r>
          </w:p>
        </w:tc>
        <w:tc>
          <w:tcPr>
            <w:tcW w:w="1760" w:type="dxa"/>
            <w:vAlign w:val="bottom"/>
          </w:tcPr>
          <w:p>
            <w:pPr>
              <w:jc w:val="center"/>
              <w:ind w:left="231"/>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14,860</w:t>
            </w:r>
          </w:p>
        </w:tc>
        <w:tc>
          <w:tcPr>
            <w:tcW w:w="1020" w:type="dxa"/>
            <w:vAlign w:val="bottom"/>
          </w:tcPr>
          <w:p>
            <w:pPr>
              <w:jc w:val="center"/>
              <w:ind w:left="171"/>
              <w:spacing w:after="0"/>
              <w:rPr>
                <w:sz w:val="20"/>
                <w:szCs w:val="20"/>
                <w:color w:val="auto"/>
              </w:rPr>
            </w:pPr>
            <w:r>
              <w:rPr>
                <w:rFonts w:ascii="Arial" w:cs="Arial" w:eastAsia="Arial" w:hAnsi="Arial"/>
                <w:sz w:val="14"/>
                <w:szCs w:val="14"/>
                <w:color w:val="auto"/>
                <w:w w:val="98"/>
              </w:rPr>
              <w:t>268,693</w:t>
            </w:r>
          </w:p>
        </w:tc>
      </w:tr>
      <w:tr>
        <w:trPr>
          <w:trHeight w:val="39"/>
        </w:trPr>
        <w:tc>
          <w:tcPr>
            <w:tcW w:w="5100" w:type="dxa"/>
            <w:vAlign w:val="bottom"/>
            <w:tcBorders>
              <w:bottom w:val="single" w:sz="8" w:color="7F7F7F"/>
            </w:tcBorders>
          </w:tcPr>
          <w:p>
            <w:pPr>
              <w:spacing w:after="0"/>
              <w:rPr>
                <w:sz w:val="3"/>
                <w:szCs w:val="3"/>
                <w:color w:val="auto"/>
              </w:rPr>
            </w:pPr>
          </w:p>
        </w:tc>
        <w:tc>
          <w:tcPr>
            <w:tcW w:w="1760" w:type="dxa"/>
            <w:vAlign w:val="bottom"/>
            <w:tcBorders>
              <w:bottom w:val="single" w:sz="8" w:color="7F7F7F"/>
            </w:tcBorders>
          </w:tcPr>
          <w:p>
            <w:pPr>
              <w:spacing w:after="0"/>
              <w:rPr>
                <w:sz w:val="3"/>
                <w:szCs w:val="3"/>
                <w:color w:val="auto"/>
              </w:rPr>
            </w:pPr>
          </w:p>
        </w:tc>
        <w:tc>
          <w:tcPr>
            <w:tcW w:w="1400" w:type="dxa"/>
            <w:vAlign w:val="bottom"/>
            <w:tcBorders>
              <w:bottom w:val="single" w:sz="8" w:color="7F7F7F"/>
            </w:tcBorders>
          </w:tcPr>
          <w:p>
            <w:pPr>
              <w:spacing w:after="0"/>
              <w:rPr>
                <w:sz w:val="3"/>
                <w:szCs w:val="3"/>
                <w:color w:val="auto"/>
              </w:rPr>
            </w:pPr>
          </w:p>
        </w:tc>
        <w:tc>
          <w:tcPr>
            <w:tcW w:w="13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r>
      <w:tr>
        <w:trPr>
          <w:trHeight w:val="227"/>
        </w:trPr>
        <w:tc>
          <w:tcPr>
            <w:tcW w:w="5100" w:type="dxa"/>
            <w:vAlign w:val="bottom"/>
          </w:tcPr>
          <w:p>
            <w:pPr>
              <w:ind w:left="60"/>
              <w:spacing w:after="0"/>
              <w:rPr>
                <w:sz w:val="20"/>
                <w:szCs w:val="20"/>
                <w:color w:val="auto"/>
              </w:rPr>
            </w:pPr>
            <w:r>
              <w:rPr>
                <w:rFonts w:ascii="Arial" w:cs="Arial" w:eastAsia="Arial" w:hAnsi="Arial"/>
                <w:sz w:val="14"/>
                <w:szCs w:val="14"/>
                <w:b w:val="1"/>
                <w:bCs w:val="1"/>
                <w:color w:val="auto"/>
              </w:rPr>
              <w:t>Dinette Koolhaas</w:t>
            </w:r>
          </w:p>
        </w:tc>
        <w:tc>
          <w:tcPr>
            <w:tcW w:w="1760" w:type="dxa"/>
            <w:vAlign w:val="bottom"/>
          </w:tcPr>
          <w:p>
            <w:pPr>
              <w:jc w:val="center"/>
              <w:ind w:left="231"/>
              <w:spacing w:after="0"/>
              <w:rPr>
                <w:sz w:val="20"/>
                <w:szCs w:val="20"/>
                <w:color w:val="auto"/>
              </w:rPr>
            </w:pPr>
            <w:r>
              <w:rPr>
                <w:rFonts w:ascii="Arial" w:cs="Arial" w:eastAsia="Arial" w:hAnsi="Arial"/>
                <w:sz w:val="14"/>
                <w:szCs w:val="14"/>
                <w:color w:val="auto"/>
                <w:w w:val="99"/>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12,572</w:t>
            </w:r>
          </w:p>
        </w:tc>
        <w:tc>
          <w:tcPr>
            <w:tcW w:w="1020" w:type="dxa"/>
            <w:vAlign w:val="bottom"/>
          </w:tcPr>
          <w:p>
            <w:pPr>
              <w:jc w:val="center"/>
              <w:ind w:left="171"/>
              <w:spacing w:after="0"/>
              <w:rPr>
                <w:sz w:val="20"/>
                <w:szCs w:val="20"/>
                <w:color w:val="auto"/>
              </w:rPr>
            </w:pPr>
            <w:r>
              <w:rPr>
                <w:rFonts w:ascii="Arial" w:cs="Arial" w:eastAsia="Arial" w:hAnsi="Arial"/>
                <w:sz w:val="14"/>
                <w:szCs w:val="14"/>
                <w:color w:val="auto"/>
                <w:w w:val="98"/>
              </w:rPr>
              <w:t>224,469</w:t>
            </w:r>
          </w:p>
        </w:tc>
      </w:tr>
      <w:tr>
        <w:trPr>
          <w:trHeight w:val="39"/>
        </w:trPr>
        <w:tc>
          <w:tcPr>
            <w:tcW w:w="5100" w:type="dxa"/>
            <w:vAlign w:val="bottom"/>
            <w:tcBorders>
              <w:bottom w:val="single" w:sz="8" w:color="7F7F7F"/>
            </w:tcBorders>
          </w:tcPr>
          <w:p>
            <w:pPr>
              <w:spacing w:after="0"/>
              <w:rPr>
                <w:sz w:val="3"/>
                <w:szCs w:val="3"/>
                <w:color w:val="auto"/>
              </w:rPr>
            </w:pPr>
          </w:p>
        </w:tc>
        <w:tc>
          <w:tcPr>
            <w:tcW w:w="1760" w:type="dxa"/>
            <w:vAlign w:val="bottom"/>
            <w:tcBorders>
              <w:bottom w:val="single" w:sz="8" w:color="7F7F7F"/>
            </w:tcBorders>
          </w:tcPr>
          <w:p>
            <w:pPr>
              <w:spacing w:after="0"/>
              <w:rPr>
                <w:sz w:val="3"/>
                <w:szCs w:val="3"/>
                <w:color w:val="auto"/>
              </w:rPr>
            </w:pPr>
          </w:p>
        </w:tc>
        <w:tc>
          <w:tcPr>
            <w:tcW w:w="1400" w:type="dxa"/>
            <w:vAlign w:val="bottom"/>
            <w:tcBorders>
              <w:bottom w:val="single" w:sz="8" w:color="7F7F7F"/>
            </w:tcBorders>
          </w:tcPr>
          <w:p>
            <w:pPr>
              <w:spacing w:after="0"/>
              <w:rPr>
                <w:sz w:val="3"/>
                <w:szCs w:val="3"/>
                <w:color w:val="auto"/>
              </w:rPr>
            </w:pPr>
          </w:p>
        </w:tc>
        <w:tc>
          <w:tcPr>
            <w:tcW w:w="134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r>
    </w:tbl>
    <w:p>
      <w:pPr>
        <w:spacing w:after="0" w:line="99" w:lineRule="exact"/>
        <w:rPr>
          <w:sz w:val="20"/>
          <w:szCs w:val="20"/>
          <w:color w:val="auto"/>
        </w:rPr>
      </w:pPr>
    </w:p>
    <w:p>
      <w:pPr>
        <w:ind w:left="304" w:hanging="304"/>
        <w:spacing w:after="0"/>
        <w:tabs>
          <w:tab w:leader="none" w:pos="304" w:val="left"/>
        </w:tabs>
        <w:numPr>
          <w:ilvl w:val="0"/>
          <w:numId w:val="45"/>
        </w:numPr>
        <w:rPr>
          <w:rFonts w:ascii="Arial" w:cs="Arial" w:eastAsia="Arial" w:hAnsi="Arial"/>
          <w:sz w:val="12"/>
          <w:szCs w:val="12"/>
          <w:color w:val="auto"/>
        </w:rPr>
      </w:pPr>
      <w:r>
        <w:rPr>
          <w:rFonts w:ascii="Arial" w:cs="Arial" w:eastAsia="Arial" w:hAnsi="Arial"/>
          <w:sz w:val="12"/>
          <w:szCs w:val="12"/>
          <w:color w:val="auto"/>
        </w:rPr>
        <w:t>Value Realized on Vesting is calculated by multiplying the shares vested times the stock closing price on the day of vesting.</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Nonqualified Deferred Compensation 2023</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940" w:type="dxa"/>
            <w:vAlign w:val="bottom"/>
          </w:tcPr>
          <w:p>
            <w:pPr>
              <w:jc w:val="center"/>
              <w:ind w:left="1591"/>
              <w:spacing w:after="0"/>
              <w:rPr>
                <w:sz w:val="20"/>
                <w:szCs w:val="20"/>
                <w:color w:val="auto"/>
              </w:rPr>
            </w:pPr>
            <w:r>
              <w:rPr>
                <w:rFonts w:ascii="Arial" w:cs="Arial" w:eastAsia="Arial" w:hAnsi="Arial"/>
                <w:sz w:val="14"/>
                <w:szCs w:val="14"/>
                <w:b w:val="1"/>
                <w:bCs w:val="1"/>
                <w:color w:val="0A9E50"/>
                <w:w w:val="97"/>
              </w:rPr>
              <w:t>Executive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A9E50"/>
              </w:rPr>
              <w:t>Registrant</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Arial" w:cs="Arial" w:eastAsia="Arial" w:hAnsi="Arial"/>
                <w:sz w:val="14"/>
                <w:szCs w:val="14"/>
                <w:b w:val="1"/>
                <w:bCs w:val="1"/>
                <w:color w:val="0A9E50"/>
              </w:rPr>
              <w:t>Aggregate</w:t>
            </w:r>
          </w:p>
        </w:tc>
      </w:tr>
      <w:tr>
        <w:trPr>
          <w:trHeight w:val="156"/>
        </w:trPr>
        <w:tc>
          <w:tcPr>
            <w:tcW w:w="3120" w:type="dxa"/>
            <w:vAlign w:val="bottom"/>
          </w:tcPr>
          <w:p>
            <w:pPr>
              <w:spacing w:after="0"/>
              <w:rPr>
                <w:sz w:val="13"/>
                <w:szCs w:val="13"/>
                <w:color w:val="auto"/>
              </w:rPr>
            </w:pPr>
          </w:p>
        </w:tc>
        <w:tc>
          <w:tcPr>
            <w:tcW w:w="2940" w:type="dxa"/>
            <w:vAlign w:val="bottom"/>
          </w:tcPr>
          <w:p>
            <w:pPr>
              <w:jc w:val="center"/>
              <w:ind w:left="1571"/>
              <w:spacing w:after="0" w:line="156" w:lineRule="exact"/>
              <w:rPr>
                <w:sz w:val="20"/>
                <w:szCs w:val="20"/>
                <w:color w:val="auto"/>
              </w:rPr>
            </w:pPr>
            <w:r>
              <w:rPr>
                <w:rFonts w:ascii="Arial" w:cs="Arial" w:eastAsia="Arial" w:hAnsi="Arial"/>
                <w:sz w:val="14"/>
                <w:szCs w:val="14"/>
                <w:b w:val="1"/>
                <w:bCs w:val="1"/>
                <w:color w:val="0A9E50"/>
                <w:w w:val="98"/>
              </w:rPr>
              <w:t>Contributions in</w:t>
            </w:r>
          </w:p>
        </w:tc>
        <w:tc>
          <w:tcPr>
            <w:tcW w:w="126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8"/>
              </w:rPr>
              <w:t>Contributions in</w:t>
            </w:r>
          </w:p>
        </w:tc>
        <w:tc>
          <w:tcPr>
            <w:tcW w:w="128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8"/>
              </w:rPr>
              <w:t>Aggregate</w:t>
            </w:r>
          </w:p>
        </w:tc>
        <w:tc>
          <w:tcPr>
            <w:tcW w:w="118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8"/>
              </w:rPr>
              <w:t>Aggregate</w:t>
            </w:r>
          </w:p>
        </w:tc>
        <w:tc>
          <w:tcPr>
            <w:tcW w:w="840" w:type="dxa"/>
            <w:vAlign w:val="bottom"/>
          </w:tcPr>
          <w:p>
            <w:pPr>
              <w:ind w:left="120"/>
              <w:spacing w:after="0" w:line="156" w:lineRule="exact"/>
              <w:rPr>
                <w:sz w:val="20"/>
                <w:szCs w:val="20"/>
                <w:color w:val="auto"/>
              </w:rPr>
            </w:pPr>
            <w:r>
              <w:rPr>
                <w:rFonts w:ascii="Arial" w:cs="Arial" w:eastAsia="Arial" w:hAnsi="Arial"/>
                <w:sz w:val="14"/>
                <w:szCs w:val="14"/>
                <w:b w:val="1"/>
                <w:bCs w:val="1"/>
                <w:color w:val="0A9E50"/>
                <w:w w:val="99"/>
              </w:rPr>
              <w:t>Balance at</w:t>
            </w:r>
          </w:p>
        </w:tc>
      </w:tr>
      <w:tr>
        <w:trPr>
          <w:trHeight w:val="152"/>
        </w:trPr>
        <w:tc>
          <w:tcPr>
            <w:tcW w:w="3120" w:type="dxa"/>
            <w:vAlign w:val="bottom"/>
          </w:tcPr>
          <w:p>
            <w:pPr>
              <w:spacing w:after="0"/>
              <w:rPr>
                <w:sz w:val="13"/>
                <w:szCs w:val="13"/>
                <w:color w:val="auto"/>
              </w:rPr>
            </w:pPr>
          </w:p>
        </w:tc>
        <w:tc>
          <w:tcPr>
            <w:tcW w:w="2940" w:type="dxa"/>
            <w:vAlign w:val="bottom"/>
          </w:tcPr>
          <w:p>
            <w:pPr>
              <w:jc w:val="center"/>
              <w:ind w:left="1591"/>
              <w:spacing w:after="0" w:line="153" w:lineRule="exact"/>
              <w:rPr>
                <w:sz w:val="20"/>
                <w:szCs w:val="20"/>
                <w:color w:val="auto"/>
              </w:rPr>
            </w:pPr>
            <w:r>
              <w:rPr>
                <w:rFonts w:ascii="Arial" w:cs="Arial" w:eastAsia="Arial" w:hAnsi="Arial"/>
                <w:sz w:val="14"/>
                <w:szCs w:val="14"/>
                <w:b w:val="1"/>
                <w:bCs w:val="1"/>
                <w:color w:val="0A9E50"/>
                <w:w w:val="99"/>
              </w:rPr>
              <w:t>Last Fiscal</w:t>
            </w: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0A9E50"/>
                <w:w w:val="96"/>
              </w:rPr>
              <w:t>Last Fiscal</w:t>
            </w: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0A9E50"/>
                <w:w w:val="99"/>
              </w:rPr>
              <w:t>Earnings in Last</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0A9E50"/>
                <w:w w:val="99"/>
              </w:rPr>
              <w:t>Withdrawals/</w:t>
            </w:r>
          </w:p>
        </w:tc>
        <w:tc>
          <w:tcPr>
            <w:tcW w:w="840" w:type="dxa"/>
            <w:vAlign w:val="bottom"/>
          </w:tcPr>
          <w:p>
            <w:pPr>
              <w:ind w:left="100"/>
              <w:spacing w:after="0" w:line="153" w:lineRule="exact"/>
              <w:rPr>
                <w:sz w:val="20"/>
                <w:szCs w:val="20"/>
                <w:color w:val="auto"/>
              </w:rPr>
            </w:pPr>
            <w:r>
              <w:rPr>
                <w:rFonts w:ascii="Arial" w:cs="Arial" w:eastAsia="Arial" w:hAnsi="Arial"/>
                <w:sz w:val="14"/>
                <w:szCs w:val="14"/>
                <w:b w:val="1"/>
                <w:bCs w:val="1"/>
                <w:color w:val="0A9E50"/>
                <w:w w:val="99"/>
              </w:rPr>
              <w:t>Last Fiscal</w:t>
            </w:r>
          </w:p>
        </w:tc>
      </w:tr>
      <w:tr>
        <w:trPr>
          <w:trHeight w:val="160"/>
        </w:trPr>
        <w:tc>
          <w:tcPr>
            <w:tcW w:w="3120" w:type="dxa"/>
            <w:vAlign w:val="bottom"/>
          </w:tcPr>
          <w:p>
            <w:pPr>
              <w:spacing w:after="0"/>
              <w:rPr>
                <w:sz w:val="13"/>
                <w:szCs w:val="13"/>
                <w:color w:val="auto"/>
              </w:rPr>
            </w:pPr>
          </w:p>
        </w:tc>
        <w:tc>
          <w:tcPr>
            <w:tcW w:w="2940" w:type="dxa"/>
            <w:vAlign w:val="bottom"/>
          </w:tcPr>
          <w:p>
            <w:pPr>
              <w:jc w:val="center"/>
              <w:ind w:left="1571"/>
              <w:spacing w:after="0" w:line="160" w:lineRule="exact"/>
              <w:rPr>
                <w:sz w:val="20"/>
                <w:szCs w:val="20"/>
                <w:color w:val="auto"/>
              </w:rPr>
            </w:pPr>
            <w:r>
              <w:rPr>
                <w:rFonts w:ascii="Arial" w:cs="Arial" w:eastAsia="Arial" w:hAnsi="Arial"/>
                <w:sz w:val="13"/>
                <w:szCs w:val="13"/>
                <w:b w:val="1"/>
                <w:bCs w:val="1"/>
                <w:color w:val="0A9E50"/>
                <w:w w:val="97"/>
              </w:rPr>
              <w:t>Year</w:t>
            </w:r>
            <w:r>
              <w:rPr>
                <w:rFonts w:ascii="Arial" w:cs="Arial" w:eastAsia="Arial" w:hAnsi="Arial"/>
                <w:sz w:val="18"/>
                <w:szCs w:val="18"/>
                <w:b w:val="1"/>
                <w:bCs w:val="1"/>
                <w:color w:val="0A9E50"/>
                <w:w w:val="97"/>
                <w:vertAlign w:val="superscript"/>
              </w:rPr>
              <w:t>(1)</w:t>
            </w:r>
          </w:p>
        </w:tc>
        <w:tc>
          <w:tcPr>
            <w:tcW w:w="1260" w:type="dxa"/>
            <w:vAlign w:val="bottom"/>
          </w:tcPr>
          <w:p>
            <w:pPr>
              <w:jc w:val="center"/>
              <w:spacing w:after="0" w:line="160" w:lineRule="exact"/>
              <w:rPr>
                <w:sz w:val="20"/>
                <w:szCs w:val="20"/>
                <w:color w:val="auto"/>
              </w:rPr>
            </w:pPr>
            <w:r>
              <w:rPr>
                <w:rFonts w:ascii="Arial" w:cs="Arial" w:eastAsia="Arial" w:hAnsi="Arial"/>
                <w:sz w:val="13"/>
                <w:szCs w:val="13"/>
                <w:b w:val="1"/>
                <w:bCs w:val="1"/>
                <w:color w:val="0A9E50"/>
                <w:w w:val="97"/>
              </w:rPr>
              <w:t>Year</w:t>
            </w:r>
            <w:r>
              <w:rPr>
                <w:rFonts w:ascii="Arial" w:cs="Arial" w:eastAsia="Arial" w:hAnsi="Arial"/>
                <w:sz w:val="18"/>
                <w:szCs w:val="18"/>
                <w:b w:val="1"/>
                <w:bCs w:val="1"/>
                <w:color w:val="0A9E50"/>
                <w:w w:val="97"/>
                <w:vertAlign w:val="superscript"/>
              </w:rPr>
              <w:t>(2)</w:t>
            </w:r>
          </w:p>
        </w:tc>
        <w:tc>
          <w:tcPr>
            <w:tcW w:w="1280" w:type="dxa"/>
            <w:vAlign w:val="bottom"/>
          </w:tcPr>
          <w:p>
            <w:pPr>
              <w:jc w:val="center"/>
              <w:spacing w:after="0" w:line="160" w:lineRule="exact"/>
              <w:rPr>
                <w:sz w:val="20"/>
                <w:szCs w:val="20"/>
                <w:color w:val="auto"/>
              </w:rPr>
            </w:pPr>
            <w:r>
              <w:rPr>
                <w:rFonts w:ascii="Arial" w:cs="Arial" w:eastAsia="Arial" w:hAnsi="Arial"/>
                <w:sz w:val="13"/>
                <w:szCs w:val="13"/>
                <w:b w:val="1"/>
                <w:bCs w:val="1"/>
                <w:color w:val="0A9E50"/>
              </w:rPr>
              <w:t>Fiscal Year</w:t>
            </w:r>
            <w:r>
              <w:rPr>
                <w:rFonts w:ascii="Arial" w:cs="Arial" w:eastAsia="Arial" w:hAnsi="Arial"/>
                <w:sz w:val="18"/>
                <w:szCs w:val="18"/>
                <w:b w:val="1"/>
                <w:bCs w:val="1"/>
                <w:color w:val="0A9E50"/>
                <w:vertAlign w:val="superscript"/>
              </w:rPr>
              <w:t>(3)</w:t>
            </w:r>
          </w:p>
        </w:tc>
        <w:tc>
          <w:tcPr>
            <w:tcW w:w="1180" w:type="dxa"/>
            <w:vAlign w:val="bottom"/>
          </w:tcPr>
          <w:p>
            <w:pPr>
              <w:jc w:val="center"/>
              <w:spacing w:after="0" w:line="160" w:lineRule="exact"/>
              <w:rPr>
                <w:sz w:val="20"/>
                <w:szCs w:val="20"/>
                <w:color w:val="auto"/>
              </w:rPr>
            </w:pPr>
            <w:r>
              <w:rPr>
                <w:rFonts w:ascii="Arial" w:cs="Arial" w:eastAsia="Arial" w:hAnsi="Arial"/>
                <w:sz w:val="13"/>
                <w:szCs w:val="13"/>
                <w:b w:val="1"/>
                <w:bCs w:val="1"/>
                <w:color w:val="0A9E50"/>
              </w:rPr>
              <w:t>Distributions</w:t>
            </w:r>
            <w:r>
              <w:rPr>
                <w:rFonts w:ascii="Arial" w:cs="Arial" w:eastAsia="Arial" w:hAnsi="Arial"/>
                <w:sz w:val="18"/>
                <w:szCs w:val="18"/>
                <w:b w:val="1"/>
                <w:bCs w:val="1"/>
                <w:color w:val="0A9E50"/>
                <w:vertAlign w:val="superscript"/>
              </w:rPr>
              <w:t>(4)</w:t>
            </w:r>
          </w:p>
        </w:tc>
        <w:tc>
          <w:tcPr>
            <w:tcW w:w="840" w:type="dxa"/>
            <w:vAlign w:val="bottom"/>
          </w:tcPr>
          <w:p>
            <w:pPr>
              <w:ind w:left="100"/>
              <w:spacing w:after="0" w:line="160" w:lineRule="exact"/>
              <w:rPr>
                <w:sz w:val="20"/>
                <w:szCs w:val="20"/>
                <w:color w:val="auto"/>
              </w:rPr>
            </w:pPr>
            <w:r>
              <w:rPr>
                <w:rFonts w:ascii="Arial" w:cs="Arial" w:eastAsia="Arial" w:hAnsi="Arial"/>
                <w:sz w:val="13"/>
                <w:szCs w:val="13"/>
                <w:b w:val="1"/>
                <w:bCs w:val="1"/>
                <w:color w:val="0A9E50"/>
              </w:rPr>
              <w:t>Year End</w:t>
            </w:r>
            <w:r>
              <w:rPr>
                <w:rFonts w:ascii="Arial" w:cs="Arial" w:eastAsia="Arial" w:hAnsi="Arial"/>
                <w:sz w:val="18"/>
                <w:szCs w:val="18"/>
                <w:b w:val="1"/>
                <w:bCs w:val="1"/>
                <w:color w:val="0A9E50"/>
                <w:vertAlign w:val="superscript"/>
              </w:rPr>
              <w:t>(5)</w:t>
            </w:r>
          </w:p>
        </w:tc>
      </w:tr>
      <w:tr>
        <w:trPr>
          <w:trHeight w:val="192"/>
        </w:trPr>
        <w:tc>
          <w:tcPr>
            <w:tcW w:w="3120" w:type="dxa"/>
            <w:vAlign w:val="bottom"/>
          </w:tcPr>
          <w:p>
            <w:pPr>
              <w:spacing w:after="0"/>
              <w:rPr>
                <w:sz w:val="20"/>
                <w:szCs w:val="20"/>
                <w:color w:val="auto"/>
              </w:rPr>
            </w:pPr>
            <w:r>
              <w:rPr>
                <w:rFonts w:ascii="Arial" w:cs="Arial" w:eastAsia="Arial" w:hAnsi="Arial"/>
                <w:sz w:val="14"/>
                <w:szCs w:val="14"/>
                <w:b w:val="1"/>
                <w:bCs w:val="1"/>
                <w:color w:val="0A9E50"/>
              </w:rPr>
              <w:t>Name</w:t>
            </w:r>
          </w:p>
        </w:tc>
        <w:tc>
          <w:tcPr>
            <w:tcW w:w="2940" w:type="dxa"/>
            <w:vAlign w:val="bottom"/>
          </w:tcPr>
          <w:p>
            <w:pPr>
              <w:jc w:val="center"/>
              <w:ind w:left="1571"/>
              <w:spacing w:after="0"/>
              <w:rPr>
                <w:sz w:val="20"/>
                <w:szCs w:val="20"/>
                <w:color w:val="auto"/>
              </w:rPr>
            </w:pPr>
            <w:r>
              <w:rPr>
                <w:rFonts w:ascii="Arial" w:cs="Arial" w:eastAsia="Arial" w:hAnsi="Arial"/>
                <w:sz w:val="14"/>
                <w:szCs w:val="14"/>
                <w:b w:val="1"/>
                <w:bCs w:val="1"/>
                <w:color w:val="0A9E50"/>
              </w:rPr>
              <w: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A9E50"/>
                <w:w w:val="93"/>
              </w:rPr>
              <w: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A9E50"/>
              </w:rPr>
              <w:t>($)</w:t>
            </w:r>
          </w:p>
        </w:tc>
        <w:tc>
          <w:tcPr>
            <w:tcW w:w="840" w:type="dxa"/>
            <w:vAlign w:val="bottom"/>
          </w:tcPr>
          <w:p>
            <w:pPr>
              <w:jc w:val="center"/>
              <w:ind w:left="31"/>
              <w:spacing w:after="0"/>
              <w:rPr>
                <w:sz w:val="20"/>
                <w:szCs w:val="20"/>
                <w:color w:val="auto"/>
              </w:rPr>
            </w:pPr>
            <w:r>
              <w:rPr>
                <w:rFonts w:ascii="Arial" w:cs="Arial" w:eastAsia="Arial" w:hAnsi="Arial"/>
                <w:sz w:val="14"/>
                <w:szCs w:val="14"/>
                <w:b w:val="1"/>
                <w:bCs w:val="1"/>
                <w:color w:val="0A9E50"/>
              </w:rPr>
              <w:t>($)</w:t>
            </w:r>
          </w:p>
        </w:tc>
      </w:tr>
      <w:tr>
        <w:trPr>
          <w:trHeight w:val="39"/>
        </w:trPr>
        <w:tc>
          <w:tcPr>
            <w:tcW w:w="312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27"/>
        </w:trPr>
        <w:tc>
          <w:tcPr>
            <w:tcW w:w="3120" w:type="dxa"/>
            <w:vAlign w:val="bottom"/>
          </w:tcPr>
          <w:p>
            <w:pPr>
              <w:ind w:left="60"/>
              <w:spacing w:after="0"/>
              <w:rPr>
                <w:sz w:val="20"/>
                <w:szCs w:val="20"/>
                <w:color w:val="auto"/>
              </w:rPr>
            </w:pPr>
            <w:r>
              <w:rPr>
                <w:rFonts w:ascii="Arial" w:cs="Arial" w:eastAsia="Arial" w:hAnsi="Arial"/>
                <w:sz w:val="14"/>
                <w:szCs w:val="14"/>
                <w:b w:val="1"/>
                <w:bCs w:val="1"/>
                <w:color w:val="auto"/>
              </w:rPr>
              <w:t>Peter W. Quigley</w:t>
            </w:r>
          </w:p>
        </w:tc>
        <w:tc>
          <w:tcPr>
            <w:tcW w:w="2940" w:type="dxa"/>
            <w:vAlign w:val="bottom"/>
          </w:tcPr>
          <w:p>
            <w:pPr>
              <w:jc w:val="center"/>
              <w:ind w:left="1571"/>
              <w:spacing w:after="0"/>
              <w:rPr>
                <w:sz w:val="20"/>
                <w:szCs w:val="20"/>
                <w:color w:val="auto"/>
              </w:rPr>
            </w:pPr>
            <w:r>
              <w:rPr>
                <w:rFonts w:ascii="Arial" w:cs="Arial" w:eastAsia="Arial" w:hAnsi="Arial"/>
                <w:sz w:val="14"/>
                <w:szCs w:val="14"/>
                <w:color w:val="auto"/>
                <w:w w:val="98"/>
              </w:rPr>
              <w:t>167,799</w:t>
            </w:r>
          </w:p>
        </w:tc>
        <w:tc>
          <w:tcPr>
            <w:tcW w:w="1260" w:type="dxa"/>
            <w:vAlign w:val="bottom"/>
          </w:tcPr>
          <w:p>
            <w:pPr>
              <w:jc w:val="center"/>
              <w:spacing w:after="0"/>
              <w:rPr>
                <w:sz w:val="20"/>
                <w:szCs w:val="20"/>
                <w:color w:val="auto"/>
              </w:rPr>
            </w:pPr>
            <w:r>
              <w:rPr>
                <w:rFonts w:ascii="Arial" w:cs="Arial" w:eastAsia="Arial" w:hAnsi="Arial"/>
                <w:sz w:val="14"/>
                <w:szCs w:val="14"/>
                <w:color w:val="auto"/>
                <w:w w:val="97"/>
              </w:rPr>
              <w:t>83,899</w:t>
            </w:r>
          </w:p>
        </w:tc>
        <w:tc>
          <w:tcPr>
            <w:tcW w:w="1280" w:type="dxa"/>
            <w:vAlign w:val="bottom"/>
          </w:tcPr>
          <w:p>
            <w:pPr>
              <w:jc w:val="center"/>
              <w:spacing w:after="0"/>
              <w:rPr>
                <w:sz w:val="20"/>
                <w:szCs w:val="20"/>
                <w:color w:val="auto"/>
              </w:rPr>
            </w:pPr>
            <w:r>
              <w:rPr>
                <w:rFonts w:ascii="Arial" w:cs="Arial" w:eastAsia="Arial" w:hAnsi="Arial"/>
                <w:sz w:val="14"/>
                <w:szCs w:val="14"/>
                <w:color w:val="auto"/>
                <w:w w:val="98"/>
              </w:rPr>
              <w:t>546,287</w:t>
            </w:r>
          </w:p>
        </w:tc>
        <w:tc>
          <w:tcPr>
            <w:tcW w:w="1180" w:type="dxa"/>
            <w:vAlign w:val="bottom"/>
          </w:tcPr>
          <w:p>
            <w:pPr>
              <w:jc w:val="center"/>
              <w:spacing w:after="0"/>
              <w:rPr>
                <w:sz w:val="20"/>
                <w:szCs w:val="20"/>
                <w:color w:val="auto"/>
              </w:rPr>
            </w:pPr>
            <w:r>
              <w:rPr>
                <w:rFonts w:ascii="Arial" w:cs="Arial" w:eastAsia="Arial" w:hAnsi="Arial"/>
                <w:sz w:val="14"/>
                <w:szCs w:val="14"/>
                <w:color w:val="auto"/>
              </w:rPr>
              <w:t>(164,178)</w:t>
            </w:r>
          </w:p>
        </w:tc>
        <w:tc>
          <w:tcPr>
            <w:tcW w:w="840" w:type="dxa"/>
            <w:vAlign w:val="bottom"/>
          </w:tcPr>
          <w:p>
            <w:pPr>
              <w:jc w:val="center"/>
              <w:ind w:left="31"/>
              <w:spacing w:after="0"/>
              <w:rPr>
                <w:sz w:val="20"/>
                <w:szCs w:val="20"/>
                <w:color w:val="auto"/>
              </w:rPr>
            </w:pPr>
            <w:r>
              <w:rPr>
                <w:rFonts w:ascii="Arial" w:cs="Arial" w:eastAsia="Arial" w:hAnsi="Arial"/>
                <w:sz w:val="14"/>
                <w:szCs w:val="14"/>
                <w:color w:val="auto"/>
                <w:w w:val="99"/>
              </w:rPr>
              <w:t>3,133,956</w:t>
            </w:r>
          </w:p>
        </w:tc>
      </w:tr>
      <w:tr>
        <w:trPr>
          <w:trHeight w:val="39"/>
        </w:trPr>
        <w:tc>
          <w:tcPr>
            <w:tcW w:w="3120" w:type="dxa"/>
            <w:vAlign w:val="bottom"/>
            <w:tcBorders>
              <w:bottom w:val="single" w:sz="8" w:color="7F7F7F"/>
            </w:tcBorders>
          </w:tcPr>
          <w:p>
            <w:pPr>
              <w:spacing w:after="0"/>
              <w:rPr>
                <w:sz w:val="3"/>
                <w:szCs w:val="3"/>
                <w:color w:val="auto"/>
              </w:rPr>
            </w:pPr>
          </w:p>
        </w:tc>
        <w:tc>
          <w:tcPr>
            <w:tcW w:w="29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1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r>
      <w:tr>
        <w:trPr>
          <w:trHeight w:val="227"/>
        </w:trPr>
        <w:tc>
          <w:tcPr>
            <w:tcW w:w="3120" w:type="dxa"/>
            <w:vAlign w:val="bottom"/>
          </w:tcPr>
          <w:p>
            <w:pPr>
              <w:ind w:left="60"/>
              <w:spacing w:after="0"/>
              <w:rPr>
                <w:sz w:val="20"/>
                <w:szCs w:val="20"/>
                <w:color w:val="auto"/>
              </w:rPr>
            </w:pPr>
            <w:r>
              <w:rPr>
                <w:rFonts w:ascii="Arial" w:cs="Arial" w:eastAsia="Arial" w:hAnsi="Arial"/>
                <w:sz w:val="14"/>
                <w:szCs w:val="14"/>
                <w:b w:val="1"/>
                <w:bCs w:val="1"/>
                <w:color w:val="auto"/>
              </w:rPr>
              <w:t>Olivier G. Thirot</w:t>
            </w:r>
          </w:p>
        </w:tc>
        <w:tc>
          <w:tcPr>
            <w:tcW w:w="2940" w:type="dxa"/>
            <w:vAlign w:val="bottom"/>
          </w:tcPr>
          <w:p>
            <w:pPr>
              <w:jc w:val="center"/>
              <w:ind w:left="1571"/>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7"/>
              </w:rPr>
              <w:t>25,464</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31"/>
              <w:spacing w:after="0"/>
              <w:rPr>
                <w:sz w:val="20"/>
                <w:szCs w:val="20"/>
                <w:color w:val="auto"/>
              </w:rPr>
            </w:pPr>
            <w:r>
              <w:rPr>
                <w:rFonts w:ascii="Arial" w:cs="Arial" w:eastAsia="Arial" w:hAnsi="Arial"/>
                <w:sz w:val="14"/>
                <w:szCs w:val="14"/>
                <w:color w:val="auto"/>
                <w:w w:val="99"/>
              </w:rPr>
              <w:t>1,020,411</w:t>
            </w:r>
          </w:p>
        </w:tc>
      </w:tr>
      <w:tr>
        <w:trPr>
          <w:trHeight w:val="39"/>
        </w:trPr>
        <w:tc>
          <w:tcPr>
            <w:tcW w:w="3120" w:type="dxa"/>
            <w:vAlign w:val="bottom"/>
            <w:tcBorders>
              <w:bottom w:val="single" w:sz="8" w:color="7F7F7F"/>
            </w:tcBorders>
          </w:tcPr>
          <w:p>
            <w:pPr>
              <w:spacing w:after="0"/>
              <w:rPr>
                <w:sz w:val="3"/>
                <w:szCs w:val="3"/>
                <w:color w:val="auto"/>
              </w:rPr>
            </w:pPr>
          </w:p>
        </w:tc>
        <w:tc>
          <w:tcPr>
            <w:tcW w:w="29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1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r>
      <w:tr>
        <w:trPr>
          <w:trHeight w:val="227"/>
        </w:trPr>
        <w:tc>
          <w:tcPr>
            <w:tcW w:w="3120" w:type="dxa"/>
            <w:vAlign w:val="bottom"/>
          </w:tcPr>
          <w:p>
            <w:pPr>
              <w:ind w:left="60"/>
              <w:spacing w:after="0"/>
              <w:rPr>
                <w:sz w:val="20"/>
                <w:szCs w:val="20"/>
                <w:color w:val="auto"/>
              </w:rPr>
            </w:pPr>
            <w:r>
              <w:rPr>
                <w:rFonts w:ascii="Arial" w:cs="Arial" w:eastAsia="Arial" w:hAnsi="Arial"/>
                <w:sz w:val="14"/>
                <w:szCs w:val="14"/>
                <w:b w:val="1"/>
                <w:bCs w:val="1"/>
                <w:color w:val="auto"/>
              </w:rPr>
              <w:t>Daniel H. Malan</w:t>
            </w:r>
          </w:p>
        </w:tc>
        <w:tc>
          <w:tcPr>
            <w:tcW w:w="2940" w:type="dxa"/>
            <w:vAlign w:val="bottom"/>
          </w:tcPr>
          <w:p>
            <w:pPr>
              <w:jc w:val="center"/>
              <w:ind w:left="1571"/>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31"/>
              <w:spacing w:after="0"/>
              <w:rPr>
                <w:sz w:val="20"/>
                <w:szCs w:val="20"/>
                <w:color w:val="auto"/>
              </w:rPr>
            </w:pPr>
            <w:r>
              <w:rPr>
                <w:rFonts w:ascii="Arial" w:cs="Arial" w:eastAsia="Arial" w:hAnsi="Arial"/>
                <w:sz w:val="14"/>
                <w:szCs w:val="14"/>
                <w:color w:val="auto"/>
                <w:w w:val="99"/>
              </w:rPr>
              <w:t>—</w:t>
            </w:r>
          </w:p>
        </w:tc>
      </w:tr>
      <w:tr>
        <w:trPr>
          <w:trHeight w:val="39"/>
        </w:trPr>
        <w:tc>
          <w:tcPr>
            <w:tcW w:w="3120" w:type="dxa"/>
            <w:vAlign w:val="bottom"/>
            <w:tcBorders>
              <w:bottom w:val="single" w:sz="8" w:color="7F7F7F"/>
            </w:tcBorders>
          </w:tcPr>
          <w:p>
            <w:pPr>
              <w:spacing w:after="0"/>
              <w:rPr>
                <w:sz w:val="3"/>
                <w:szCs w:val="3"/>
                <w:color w:val="auto"/>
              </w:rPr>
            </w:pPr>
          </w:p>
        </w:tc>
        <w:tc>
          <w:tcPr>
            <w:tcW w:w="29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1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r>
      <w:tr>
        <w:trPr>
          <w:trHeight w:val="227"/>
        </w:trPr>
        <w:tc>
          <w:tcPr>
            <w:tcW w:w="3120" w:type="dxa"/>
            <w:vAlign w:val="bottom"/>
          </w:tcPr>
          <w:p>
            <w:pPr>
              <w:ind w:left="60"/>
              <w:spacing w:after="0"/>
              <w:rPr>
                <w:sz w:val="20"/>
                <w:szCs w:val="20"/>
                <w:color w:val="auto"/>
              </w:rPr>
            </w:pPr>
            <w:r>
              <w:rPr>
                <w:rFonts w:ascii="Arial" w:cs="Arial" w:eastAsia="Arial" w:hAnsi="Arial"/>
                <w:sz w:val="14"/>
                <w:szCs w:val="14"/>
                <w:b w:val="1"/>
                <w:bCs w:val="1"/>
                <w:color w:val="auto"/>
              </w:rPr>
              <w:t>Vanessa P. Williams</w:t>
            </w:r>
          </w:p>
        </w:tc>
        <w:tc>
          <w:tcPr>
            <w:tcW w:w="2940" w:type="dxa"/>
            <w:vAlign w:val="bottom"/>
          </w:tcPr>
          <w:p>
            <w:pPr>
              <w:jc w:val="center"/>
              <w:ind w:left="1571"/>
              <w:spacing w:after="0"/>
              <w:rPr>
                <w:sz w:val="20"/>
                <w:szCs w:val="20"/>
                <w:color w:val="auto"/>
              </w:rPr>
            </w:pPr>
            <w:r>
              <w:rPr>
                <w:rFonts w:ascii="Arial" w:cs="Arial" w:eastAsia="Arial" w:hAnsi="Arial"/>
                <w:sz w:val="14"/>
                <w:szCs w:val="14"/>
                <w:color w:val="auto"/>
                <w:w w:val="97"/>
              </w:rPr>
              <w:t>47,383</w:t>
            </w:r>
          </w:p>
        </w:tc>
        <w:tc>
          <w:tcPr>
            <w:tcW w:w="1260" w:type="dxa"/>
            <w:vAlign w:val="bottom"/>
          </w:tcPr>
          <w:p>
            <w:pPr>
              <w:jc w:val="center"/>
              <w:spacing w:after="0"/>
              <w:rPr>
                <w:sz w:val="20"/>
                <w:szCs w:val="20"/>
                <w:color w:val="auto"/>
              </w:rPr>
            </w:pPr>
            <w:r>
              <w:rPr>
                <w:rFonts w:ascii="Arial" w:cs="Arial" w:eastAsia="Arial" w:hAnsi="Arial"/>
                <w:sz w:val="14"/>
                <w:szCs w:val="14"/>
                <w:color w:val="auto"/>
                <w:w w:val="97"/>
              </w:rPr>
              <w:t>23,691</w:t>
            </w:r>
          </w:p>
        </w:tc>
        <w:tc>
          <w:tcPr>
            <w:tcW w:w="1280" w:type="dxa"/>
            <w:vAlign w:val="bottom"/>
          </w:tcPr>
          <w:p>
            <w:pPr>
              <w:jc w:val="center"/>
              <w:spacing w:after="0"/>
              <w:rPr>
                <w:sz w:val="20"/>
                <w:szCs w:val="20"/>
                <w:color w:val="auto"/>
              </w:rPr>
            </w:pPr>
            <w:r>
              <w:rPr>
                <w:rFonts w:ascii="Arial" w:cs="Arial" w:eastAsia="Arial" w:hAnsi="Arial"/>
                <w:sz w:val="14"/>
                <w:szCs w:val="14"/>
                <w:color w:val="auto"/>
                <w:w w:val="97"/>
              </w:rPr>
              <w:t>43,460</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ind w:left="31"/>
              <w:spacing w:after="0"/>
              <w:rPr>
                <w:sz w:val="20"/>
                <w:szCs w:val="20"/>
                <w:color w:val="auto"/>
              </w:rPr>
            </w:pPr>
            <w:r>
              <w:rPr>
                <w:rFonts w:ascii="Arial" w:cs="Arial" w:eastAsia="Arial" w:hAnsi="Arial"/>
                <w:sz w:val="14"/>
                <w:szCs w:val="14"/>
                <w:color w:val="auto"/>
                <w:w w:val="98"/>
              </w:rPr>
              <w:t>231,791</w:t>
            </w:r>
          </w:p>
        </w:tc>
      </w:tr>
      <w:tr>
        <w:trPr>
          <w:trHeight w:val="39"/>
        </w:trPr>
        <w:tc>
          <w:tcPr>
            <w:tcW w:w="3120" w:type="dxa"/>
            <w:vAlign w:val="bottom"/>
            <w:tcBorders>
              <w:bottom w:val="single" w:sz="8" w:color="7F7F7F"/>
            </w:tcBorders>
          </w:tcPr>
          <w:p>
            <w:pPr>
              <w:spacing w:after="0"/>
              <w:rPr>
                <w:sz w:val="3"/>
                <w:szCs w:val="3"/>
                <w:color w:val="auto"/>
              </w:rPr>
            </w:pPr>
          </w:p>
        </w:tc>
        <w:tc>
          <w:tcPr>
            <w:tcW w:w="2940" w:type="dxa"/>
            <w:vAlign w:val="bottom"/>
            <w:tcBorders>
              <w:bottom w:val="single" w:sz="8" w:color="7F7F7F"/>
            </w:tcBorders>
          </w:tcPr>
          <w:p>
            <w:pPr>
              <w:spacing w:after="0"/>
              <w:rPr>
                <w:sz w:val="3"/>
                <w:szCs w:val="3"/>
                <w:color w:val="auto"/>
              </w:rPr>
            </w:pPr>
          </w:p>
        </w:tc>
        <w:tc>
          <w:tcPr>
            <w:tcW w:w="126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1180" w:type="dxa"/>
            <w:vAlign w:val="bottom"/>
            <w:tcBorders>
              <w:bottom w:val="single" w:sz="8" w:color="7F7F7F"/>
            </w:tcBorders>
          </w:tcPr>
          <w:p>
            <w:pPr>
              <w:spacing w:after="0"/>
              <w:rPr>
                <w:sz w:val="3"/>
                <w:szCs w:val="3"/>
                <w:color w:val="auto"/>
              </w:rPr>
            </w:pPr>
          </w:p>
        </w:tc>
        <w:tc>
          <w:tcPr>
            <w:tcW w:w="840" w:type="dxa"/>
            <w:vAlign w:val="bottom"/>
            <w:tcBorders>
              <w:bottom w:val="single" w:sz="8" w:color="7F7F7F"/>
            </w:tcBorders>
          </w:tcPr>
          <w:p>
            <w:pPr>
              <w:spacing w:after="0"/>
              <w:rPr>
                <w:sz w:val="3"/>
                <w:szCs w:val="3"/>
                <w:color w:val="auto"/>
              </w:rPr>
            </w:pPr>
          </w:p>
        </w:tc>
      </w:tr>
    </w:tbl>
    <w:p>
      <w:pPr>
        <w:spacing w:after="0" w:line="99" w:lineRule="exact"/>
        <w:rPr>
          <w:sz w:val="20"/>
          <w:szCs w:val="20"/>
          <w:color w:val="auto"/>
        </w:rPr>
      </w:pPr>
    </w:p>
    <w:p>
      <w:pPr>
        <w:ind w:left="304" w:right="280" w:hanging="304"/>
        <w:spacing w:after="0" w:line="264" w:lineRule="auto"/>
        <w:tabs>
          <w:tab w:leader="none" w:pos="304" w:val="left"/>
        </w:tabs>
        <w:numPr>
          <w:ilvl w:val="0"/>
          <w:numId w:val="46"/>
        </w:numPr>
        <w:rPr>
          <w:rFonts w:ascii="Arial" w:cs="Arial" w:eastAsia="Arial" w:hAnsi="Arial"/>
          <w:sz w:val="12"/>
          <w:szCs w:val="12"/>
          <w:color w:val="auto"/>
        </w:rPr>
      </w:pPr>
      <w:r>
        <w:rPr>
          <w:rFonts w:ascii="Arial" w:cs="Arial" w:eastAsia="Arial" w:hAnsi="Arial"/>
          <w:sz w:val="12"/>
          <w:szCs w:val="12"/>
          <w:color w:val="auto"/>
        </w:rPr>
        <w:t>Executives may defer a percentage of their base salary (up to 25%) and incentive earnings (up to 50%) for retirement. These amounts, as applicable, are reported as a part of the salary or incentive earnings found in the Summary Compensation Table.</w:t>
      </w:r>
    </w:p>
    <w:p>
      <w:pPr>
        <w:spacing w:after="0" w:line="34" w:lineRule="exact"/>
        <w:rPr>
          <w:rFonts w:ascii="Arial" w:cs="Arial" w:eastAsia="Arial" w:hAnsi="Arial"/>
          <w:sz w:val="12"/>
          <w:szCs w:val="12"/>
          <w:color w:val="auto"/>
        </w:rPr>
      </w:pPr>
    </w:p>
    <w:p>
      <w:pPr>
        <w:ind w:left="304" w:right="120" w:hanging="304"/>
        <w:spacing w:after="0" w:line="264" w:lineRule="auto"/>
        <w:tabs>
          <w:tab w:leader="none" w:pos="304"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Registrant Contributions in Last Fiscal Year above represent Company matching contributions (50% of the first 10% of salary and annual incentive deferrals), and they are also reported as All Other Compensation in the Summary Compensation Table.</w:t>
      </w:r>
    </w:p>
    <w:p>
      <w:pPr>
        <w:spacing w:after="0" w:line="34" w:lineRule="exact"/>
        <w:rPr>
          <w:rFonts w:ascii="Arial" w:cs="Arial" w:eastAsia="Arial" w:hAnsi="Arial"/>
          <w:sz w:val="12"/>
          <w:szCs w:val="12"/>
          <w:color w:val="auto"/>
        </w:rPr>
      </w:pPr>
    </w:p>
    <w:p>
      <w:pPr>
        <w:jc w:val="both"/>
        <w:ind w:left="304" w:right="120" w:hanging="304"/>
        <w:spacing w:after="0" w:line="245" w:lineRule="auto"/>
        <w:tabs>
          <w:tab w:leader="none" w:pos="304"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Represents actual earnings (or loss) from the investment of the prior year aggregate balance plus the earnings on current year executive and Company contributions. The aggregate earnings are based on investment options that are also offered to employees who participate in the Company’s tax-qualified 401(k) plan. As these earnings are not “above market” interest payments or preferential earnings, they are not included in the Summary Compensation Table.</w:t>
      </w:r>
    </w:p>
    <w:p>
      <w:pPr>
        <w:spacing w:after="0" w:line="45" w:lineRule="exact"/>
        <w:rPr>
          <w:rFonts w:ascii="Arial" w:cs="Arial" w:eastAsia="Arial" w:hAnsi="Arial"/>
          <w:sz w:val="12"/>
          <w:szCs w:val="12"/>
          <w:color w:val="auto"/>
        </w:rPr>
      </w:pPr>
    </w:p>
    <w:p>
      <w:pPr>
        <w:ind w:left="304" w:right="20" w:hanging="304"/>
        <w:spacing w:after="0" w:line="264" w:lineRule="auto"/>
        <w:tabs>
          <w:tab w:leader="none" w:pos="304" w:val="left"/>
        </w:tabs>
        <w:numPr>
          <w:ilvl w:val="0"/>
          <w:numId w:val="46"/>
        </w:numPr>
        <w:rPr>
          <w:rFonts w:ascii="Arial" w:cs="Arial" w:eastAsia="Arial" w:hAnsi="Arial"/>
          <w:sz w:val="12"/>
          <w:szCs w:val="12"/>
          <w:color w:val="auto"/>
        </w:rPr>
      </w:pPr>
      <w:r>
        <w:rPr>
          <w:rFonts w:ascii="Arial" w:cs="Arial" w:eastAsia="Arial" w:hAnsi="Arial"/>
          <w:sz w:val="12"/>
          <w:szCs w:val="12"/>
          <w:color w:val="auto"/>
        </w:rPr>
        <w:t>Participants may elect to receive distributions after separation from service, the later of a specified age and separation of service or a scheduled in-service distribution. Amounts may be paid as a lump sum, monthly installments for up to 20 years, or a combination of the two as elected by the participant.</w:t>
      </w:r>
    </w:p>
    <w:p>
      <w:pPr>
        <w:spacing w:after="0" w:line="34" w:lineRule="exact"/>
        <w:rPr>
          <w:rFonts w:ascii="Arial" w:cs="Arial" w:eastAsia="Arial" w:hAnsi="Arial"/>
          <w:sz w:val="12"/>
          <w:szCs w:val="12"/>
          <w:color w:val="auto"/>
        </w:rPr>
      </w:pPr>
    </w:p>
    <w:p>
      <w:pPr>
        <w:ind w:left="304" w:hanging="304"/>
        <w:spacing w:after="0"/>
        <w:tabs>
          <w:tab w:leader="none" w:pos="304" w:val="left"/>
        </w:tabs>
        <w:numPr>
          <w:ilvl w:val="0"/>
          <w:numId w:val="46"/>
        </w:numPr>
        <w:rPr>
          <w:rFonts w:ascii="Arial" w:cs="Arial" w:eastAsia="Arial" w:hAnsi="Arial"/>
          <w:sz w:val="12"/>
          <w:szCs w:val="12"/>
          <w:color w:val="auto"/>
        </w:rPr>
      </w:pPr>
      <w:r>
        <w:rPr>
          <w:rFonts w:ascii="Arial" w:cs="Arial" w:eastAsia="Arial" w:hAnsi="Arial"/>
          <w:sz w:val="12"/>
          <w:szCs w:val="12"/>
          <w:color w:val="auto"/>
        </w:rPr>
        <w:t>Amounts reported in this column include the following amounts that have been reported in the Summary Compensation Table for fiscal years 2013-2023: Peter W. Quigley ($1,085,878); Named</w:t>
      </w:r>
    </w:p>
    <w:p>
      <w:pPr>
        <w:spacing w:after="0" w:line="4" w:lineRule="exact"/>
        <w:rPr>
          <w:rFonts w:ascii="Arial" w:cs="Arial" w:eastAsia="Arial" w:hAnsi="Arial"/>
          <w:sz w:val="12"/>
          <w:szCs w:val="12"/>
          <w:color w:val="auto"/>
        </w:rPr>
      </w:pPr>
    </w:p>
    <w:p>
      <w:pPr>
        <w:ind w:left="304"/>
        <w:spacing w:after="0"/>
        <w:rPr>
          <w:rFonts w:ascii="Arial" w:cs="Arial" w:eastAsia="Arial" w:hAnsi="Arial"/>
          <w:sz w:val="12"/>
          <w:szCs w:val="12"/>
          <w:color w:val="auto"/>
        </w:rPr>
      </w:pPr>
      <w:r>
        <w:rPr>
          <w:rFonts w:ascii="Arial" w:cs="Arial" w:eastAsia="Arial" w:hAnsi="Arial"/>
          <w:sz w:val="12"/>
          <w:szCs w:val="12"/>
          <w:color w:val="auto"/>
        </w:rPr>
        <w:t>in the proxies for fiscal years 2015-2023: Olivier G. Thirot ($791,800); Named in the proxies for fiscal years 2022-2023: Vanessa P. Williams ($44,347).</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Potential Payments Upon Termination or Change in Control 2023</w:t>
      </w:r>
    </w:p>
    <w:p>
      <w:pPr>
        <w:spacing w:after="0" w:line="106"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Summary of Potential Payments</w:t>
      </w:r>
    </w:p>
    <w:p>
      <w:pPr>
        <w:spacing w:after="0" w:line="69" w:lineRule="exact"/>
        <w:rPr>
          <w:sz w:val="20"/>
          <w:szCs w:val="20"/>
          <w:color w:val="auto"/>
        </w:rPr>
      </w:pPr>
    </w:p>
    <w:p>
      <w:pPr>
        <w:ind w:left="4" w:right="40"/>
        <w:spacing w:after="0" w:line="242" w:lineRule="auto"/>
        <w:rPr>
          <w:sz w:val="20"/>
          <w:szCs w:val="20"/>
          <w:color w:val="auto"/>
        </w:rPr>
      </w:pPr>
      <w:r>
        <w:rPr>
          <w:rFonts w:ascii="Arial" w:cs="Arial" w:eastAsia="Arial" w:hAnsi="Arial"/>
          <w:sz w:val="16"/>
          <w:szCs w:val="16"/>
          <w:color w:val="auto"/>
        </w:rPr>
        <w:t>This section describes the potential additional payments and benefits under our compensation and benefit plans and arrangements to which the named executive officers would be entitled upon termination of employment under certain circumstances. Named executive officers would also be entitled to vested benefits and generally available benefits under our various plans and arrangements, as discussed after the Potential Payments Upon Termination or Change in Control table. The Company does not maintain employment agreements with our named executive officers, other than where it is customary outside of the U.S., as in the case of Mr. Thirot and Ms. Koolhaas. The table following the narrative discussion summarizes the amounts payable upon termination under certain circumstances to our named executive officers, assuming that the executive’s employment terminated on December 31, 2023, the last day of our fiscal year.</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7"/>
          <w:szCs w:val="17"/>
          <w:i w:val="1"/>
          <w:iCs w:val="1"/>
          <w:color w:val="auto"/>
        </w:rPr>
        <w:t>Senior Executive Severance Plan</w:t>
      </w:r>
    </w:p>
    <w:p>
      <w:pPr>
        <w:spacing w:after="0" w:line="82" w:lineRule="exact"/>
        <w:rPr>
          <w:sz w:val="20"/>
          <w:szCs w:val="20"/>
          <w:color w:val="auto"/>
        </w:rPr>
      </w:pPr>
    </w:p>
    <w:p>
      <w:pPr>
        <w:ind w:left="4" w:right="120"/>
        <w:spacing w:after="0" w:line="265" w:lineRule="auto"/>
        <w:rPr>
          <w:sz w:val="20"/>
          <w:szCs w:val="20"/>
          <w:color w:val="auto"/>
        </w:rPr>
      </w:pPr>
      <w:r>
        <w:rPr>
          <w:rFonts w:ascii="Arial" w:cs="Arial" w:eastAsia="Arial" w:hAnsi="Arial"/>
          <w:sz w:val="16"/>
          <w:szCs w:val="16"/>
          <w:color w:val="auto"/>
        </w:rPr>
        <w:t>The Company implemented the Senior Executive Severance Plan (“Severance Plan”) for a limited number of executive officers in March 2017. During its March 23, 2021 meeting, the Committee approved expanding the Severance Plan to include</w:t>
      </w:r>
    </w:p>
    <w:p>
      <w:pPr>
        <w:spacing w:after="0" w:line="38" w:lineRule="exact"/>
        <w:rPr>
          <w:sz w:val="20"/>
          <w:szCs w:val="20"/>
          <w:color w:val="auto"/>
        </w:rPr>
      </w:pPr>
    </w:p>
    <w:p>
      <w:pPr>
        <w:ind w:left="64"/>
        <w:spacing w:after="0"/>
        <w:tabs>
          <w:tab w:leader="none" w:pos="563" w:val="left"/>
        </w:tabs>
        <w:rPr>
          <w:sz w:val="20"/>
          <w:szCs w:val="20"/>
          <w:color w:val="auto"/>
        </w:rPr>
      </w:pPr>
      <w:r>
        <w:rPr>
          <w:rFonts w:ascii="Arial" w:cs="Arial" w:eastAsia="Arial" w:hAnsi="Arial"/>
          <w:sz w:val="36"/>
          <w:szCs w:val="36"/>
          <w:color w:val="auto"/>
          <w:vertAlign w:val="superscript"/>
        </w:rPr>
        <w:t>68 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-214630</wp:posOffset>
            </wp:positionV>
            <wp:extent cx="8255" cy="2228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bookmarkStart w:id="70" w:name="page71"/>
    <w:bookmarkEnd w:id="70"/>
    <w:p>
      <w:pPr>
        <w:ind w:left="83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2023 Executive Compensation Tables</w:t>
      </w:r>
    </w:p>
    <w:p>
      <w:pPr>
        <w:spacing w:after="0" w:line="137"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other senior officers. Described below and illustrated in the table, Potential Payments Upon Termination or Change in Control, are the different elements payable under the Severance Plan if a named executive officer who was a party to the Severance Plan would experience a qualifying termination. All continuation amounts would be paid over the salary continuation period in compliance with Section 409A of the Code. Messrs. Quigley and Malan and Ms. Williams were covered in the Severance Plan for 2023. Mr. Thirot and Ms. Koolhaas are covered by the terms of their employment agreements as summarized below.</w:t>
      </w:r>
    </w:p>
    <w:p>
      <w:pPr>
        <w:spacing w:after="0" w:line="40"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auto"/>
        </w:rPr>
        <w:t>If one of the eligible named executive officers were to have experienced a qualifying termination under the Severance Plan in 2023, the named executive officer would have been entitled to severance benefits based on the type of qualified termination and whether they were a Tier 1, Tier 2, or Tier 3 participant. Mr. Quigley was the only Tier 1 participant in the Severance Plan. Ms. Williams was the only Tier 2 participant in the Severance Plan.</w:t>
      </w:r>
    </w:p>
    <w:p>
      <w:pPr>
        <w:spacing w:after="0" w:line="1" w:lineRule="exact"/>
        <w:rPr>
          <w:sz w:val="20"/>
          <w:szCs w:val="20"/>
          <w:color w:val="auto"/>
        </w:rPr>
      </w:pPr>
    </w:p>
    <w:p>
      <w:pPr>
        <w:ind w:right="280"/>
        <w:spacing w:after="0" w:line="294" w:lineRule="auto"/>
        <w:rPr>
          <w:sz w:val="20"/>
          <w:szCs w:val="20"/>
          <w:color w:val="auto"/>
        </w:rPr>
      </w:pPr>
      <w:r>
        <w:rPr>
          <w:rFonts w:ascii="Arial" w:cs="Arial" w:eastAsia="Arial" w:hAnsi="Arial"/>
          <w:sz w:val="14"/>
          <w:szCs w:val="14"/>
          <w:color w:val="auto"/>
        </w:rPr>
        <w:t>Mr. Thirot’s employment agreement provides him with similar Tier 2 severance benefits. Mr. Malan was a Tier 3 participant in the Severance Plan. Ms. Koolhaas’ employment agreement provides her with similar Tier 3 severance benefits. A “qualified termination” is any termination of a participant’s employment: by the Company other than for cause, disability, or death; or for “good reason” by a participant in connection with a change in control.</w:t>
      </w:r>
    </w:p>
    <w:p>
      <w:pPr>
        <w:spacing w:after="0" w:line="19"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For a qualified termination that occurs not in connection with a change in control, a Tier 1 participant would receive severance payments in the form of base salary continuation for a period of 24 months, a Tier 2 participant would receive severance payments in the form of base salary continuation for a period of 18 months, and a Tier 3 participant would receive severance payments in the form of base salary continuation for a period of 12 months. In addition, Tier 1, Tier 2, and Tier 3 participants would receive a prorated portion of their annual incentive compensation for the fiscal year in which the termination occurred, based on the actual performance results for the year. The pro rata annual incentive payout will be determined based on the number of days in the fiscal year the eligible named executive officer was actually employed during such plan year divided by 365. Prorated annual incentive awards are paid at the same time that incentive compensation for the same year is paid to the other senior officers of the Company, following certification by the Committee that applicable performance goals have been attained. Salary continuation amounts would be paid by the Company in installments over the severance period and in accordance with the Company’s standard payroll practice, subject to the requirements of Section 409A.</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For a qualified termination that occurs in connection with a change in control, a Tier 1 participant would receive a single lump sum severance payment equal to two times the sum of the participant’s annual base salary and target annual incentive compensation. A Tier 2 participant would receive a single lump sum severance payment equal to one and one-half times the sum of the participant’s annual base salary and target annual incentive compensation. A Tier 3 participant would receive a single lump sum severance payment equal to one time the sum of the participant’s annual base salary and target annual incentive compensation. In addition, Tier 1, Tier 2, and Tier 3 participants would receive a prorated portion of their annual incentive compensation. If the qualifying termination occurred in the same year as the change in control, a prorated portion of the participant’s annual incentive compensation is paid based on achievement of a target level of performance. If the qualifying termination occurred in the two years following a change in control, a prorated portion of the participant’s annual incentive compensation is paid based on the actual performance results achieved for the year. Any pro rata annual incentive payout will be determined based on the number of days in the fiscal year the eligible named executive officer was actually employed during such plan year divided by 365. Prorated annual incentive awards are paid in a lump sum at the same time that incentive compensation for the same year is paid to the other senior officers of the Company, following certification by the Committee that applicable performance goals have been attained. Participants are subject to a best-net cutback for 280G excise tax calculations with no excise tax gross-ups provided under the Severance Plan.</w:t>
      </w:r>
    </w:p>
    <w:p>
      <w:pPr>
        <w:spacing w:after="0" w:line="207"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Subject to the participant’s timely election of continued coverage under the Consolidated Omnibus Budget Reconciliation Act of 1985, as amended (“COBRA”), the Company would provide comparable medical (including prescription drug), dental, vision, and hospitalization benefits to the eligible named executive officer and his or her eligible dependents for the severance period, provided the named executive officer continues to pay the applicable employee rate for such coverage and the named executive officer remains eligible for COBRA coverage. The severance period for a Tier 1 participant is 24 months, for a Tier 2 participant is 18 months, and for Tier 3 participant is 12 months.</w:t>
      </w:r>
    </w:p>
    <w:p>
      <w:pPr>
        <w:spacing w:after="0" w:line="53"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The eligible named executive officer will be entitled to receive reimbursement for professional outplacement services actually incurred during the initial 12-month period following termination, not to exceed $10,000.</w:t>
      </w:r>
    </w:p>
    <w:p>
      <w:pPr>
        <w:spacing w:after="0" w:line="23" w:lineRule="exact"/>
        <w:rPr>
          <w:sz w:val="20"/>
          <w:szCs w:val="20"/>
          <w:color w:val="auto"/>
        </w:rPr>
      </w:pPr>
    </w:p>
    <w:p>
      <w:pPr>
        <w:ind w:right="200"/>
        <w:spacing w:after="0" w:line="245" w:lineRule="auto"/>
        <w:rPr>
          <w:sz w:val="20"/>
          <w:szCs w:val="20"/>
          <w:color w:val="auto"/>
        </w:rPr>
      </w:pPr>
      <w:r>
        <w:rPr>
          <w:rFonts w:ascii="Arial" w:cs="Arial" w:eastAsia="Arial" w:hAnsi="Arial"/>
          <w:sz w:val="16"/>
          <w:szCs w:val="16"/>
          <w:color w:val="auto"/>
        </w:rPr>
        <w:t>The eligible named executive officers, as a condition to receiving payments under the Severance Plan, are required to sign a general release of claims relating to their employment. In addition, they are required to agree not to directly or indirectly, individually or in any capacity or relationship, engage in any business or employment, or aid or endeavor to assist any business or legal entity, that is in direct competition with the business of the Company for the 12 months following termination.</w:t>
      </w:r>
    </w:p>
    <w:p>
      <w:pPr>
        <w:ind w:left="8780"/>
        <w:spacing w:after="0"/>
        <w:tabs>
          <w:tab w:leader="none" w:pos="1002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6308725</wp:posOffset>
            </wp:positionH>
            <wp:positionV relativeFrom="paragraph">
              <wp:posOffset>-222250</wp:posOffset>
            </wp:positionV>
            <wp:extent cx="8255" cy="2228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2023 Executive Compensation Tables</w:t>
      </w:r>
    </w:p>
    <w:p>
      <w:pPr>
        <w:spacing w:after="0" w:line="137" w:lineRule="exact"/>
        <w:rPr>
          <w:sz w:val="20"/>
          <w:szCs w:val="20"/>
          <w:color w:val="auto"/>
        </w:rPr>
      </w:pPr>
    </w:p>
    <w:p>
      <w:pPr>
        <w:ind w:right="440"/>
        <w:spacing w:after="0" w:line="251" w:lineRule="auto"/>
        <w:rPr>
          <w:sz w:val="20"/>
          <w:szCs w:val="20"/>
          <w:color w:val="auto"/>
        </w:rPr>
      </w:pPr>
      <w:r>
        <w:rPr>
          <w:rFonts w:ascii="Arial" w:cs="Arial" w:eastAsia="Arial" w:hAnsi="Arial"/>
          <w:sz w:val="16"/>
          <w:szCs w:val="16"/>
          <w:color w:val="auto"/>
        </w:rPr>
        <w:t>During the 12 months following termination, the eligible named executive officers must also agree to not induce any employee of the Company to terminate employment with the Company, nor knowingly offer employment to any person who is or who was employed by the Company unless such person has ceased to be employed by the Company for a period of at least six months.</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Named executive officers covered under the Severance Plan may not disparage, slander, or injure the business reputation or goodwill of the Company.</w:t>
      </w:r>
    </w:p>
    <w:p>
      <w:pPr>
        <w:spacing w:after="0" w:line="99" w:lineRule="exact"/>
        <w:rPr>
          <w:sz w:val="20"/>
          <w:szCs w:val="20"/>
          <w:color w:val="auto"/>
        </w:rPr>
      </w:pPr>
    </w:p>
    <w:p>
      <w:pPr>
        <w:jc w:val="both"/>
        <w:ind w:right="180"/>
        <w:spacing w:after="0" w:line="246" w:lineRule="auto"/>
        <w:rPr>
          <w:sz w:val="20"/>
          <w:szCs w:val="20"/>
          <w:color w:val="auto"/>
        </w:rPr>
      </w:pPr>
      <w:r>
        <w:rPr>
          <w:rFonts w:ascii="Arial" w:cs="Arial" w:eastAsia="Arial" w:hAnsi="Arial"/>
          <w:sz w:val="16"/>
          <w:szCs w:val="16"/>
          <w:color w:val="auto"/>
        </w:rPr>
        <w:t>Named executive officers must maintain as secret and confidential all protected information such as trade secrets, confidential and proprietary business information of the Company, and any other information of the Company, including but not limited to customer lists, sources of supply, processes, plans, materials, pricing information, internal memoranda, marketing plans, internal policies, and products and services which may be developed from time to time by the Company and its agents or employees, including the named executive officer.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Noncompliance with any of the above may result in the loss of severance benefits.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Treatment of Long-Term Incentive Awards</w:t>
      </w:r>
    </w:p>
    <w:p>
      <w:pPr>
        <w:spacing w:after="0" w:line="69"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Each equity-based award is conditioned upon the grantee’s acceptance of the terms of the EIP and the grant agreement, which includes restrictive covenants such as post-employment conditions not to solicit the Company’s employees or customers and not to compete against the Company for twelve months following any termination of employment, and indefinite covenants covering non-disparagement and confidentiality terms. Each of our named executive officer’s performance-based equity awards is subject to the Company’s Clawback Policy. Provisions for the treatment of long-term incentive awards upon various termination scenarios are outlined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940" w:type="dxa"/>
            <w:vAlign w:val="bottom"/>
          </w:tcPr>
          <w:p>
            <w:pPr>
              <w:ind w:left="360"/>
              <w:spacing w:after="0"/>
              <w:rPr>
                <w:sz w:val="20"/>
                <w:szCs w:val="20"/>
                <w:color w:val="auto"/>
              </w:rPr>
            </w:pPr>
            <w:r>
              <w:rPr>
                <w:rFonts w:ascii="Arial" w:cs="Arial" w:eastAsia="Arial" w:hAnsi="Arial"/>
                <w:sz w:val="14"/>
                <w:szCs w:val="14"/>
                <w:b w:val="1"/>
                <w:bCs w:val="1"/>
                <w:color w:val="0A9E50"/>
              </w:rPr>
              <w:t>Restricted Stock/Units</w:t>
            </w:r>
          </w:p>
        </w:tc>
        <w:tc>
          <w:tcPr>
            <w:tcW w:w="4160" w:type="dxa"/>
            <w:vAlign w:val="bottom"/>
          </w:tcPr>
          <w:p>
            <w:pPr>
              <w:ind w:left="1460"/>
              <w:spacing w:after="0"/>
              <w:rPr>
                <w:sz w:val="20"/>
                <w:szCs w:val="20"/>
                <w:color w:val="auto"/>
              </w:rPr>
            </w:pPr>
            <w:r>
              <w:rPr>
                <w:rFonts w:ascii="Arial" w:cs="Arial" w:eastAsia="Arial" w:hAnsi="Arial"/>
                <w:sz w:val="14"/>
                <w:szCs w:val="14"/>
                <w:b w:val="1"/>
                <w:bCs w:val="1"/>
                <w:color w:val="0A9E50"/>
              </w:rPr>
              <w:t>Performance Shares</w:t>
            </w:r>
          </w:p>
        </w:tc>
      </w:tr>
      <w:tr>
        <w:trPr>
          <w:trHeight w:val="192"/>
        </w:trPr>
        <w:tc>
          <w:tcPr>
            <w:tcW w:w="4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9E50"/>
              </w:rPr>
              <w:t>Termination</w:t>
            </w:r>
          </w:p>
        </w:tc>
        <w:tc>
          <w:tcPr>
            <w:tcW w:w="19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0A9E50"/>
              </w:rPr>
              <w:t>(Time Vesting)</w:t>
            </w:r>
          </w:p>
        </w:tc>
        <w:tc>
          <w:tcPr>
            <w:tcW w:w="416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0A9E50"/>
              </w:rPr>
              <w:t>(Performance and Time Vesting)</w:t>
            </w:r>
          </w:p>
        </w:tc>
      </w:tr>
      <w:tr>
        <w:trPr>
          <w:trHeight w:val="202"/>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Termination not for Cause in connection with a Change In</w:t>
            </w:r>
          </w:p>
        </w:tc>
        <w:tc>
          <w:tcPr>
            <w:tcW w:w="1940" w:type="dxa"/>
            <w:vAlign w:val="bottom"/>
          </w:tcPr>
          <w:p>
            <w:pPr>
              <w:ind w:left="240"/>
              <w:spacing w:after="0"/>
              <w:rPr>
                <w:sz w:val="20"/>
                <w:szCs w:val="20"/>
                <w:color w:val="auto"/>
              </w:rPr>
            </w:pPr>
            <w:r>
              <w:rPr>
                <w:rFonts w:ascii="Arial" w:cs="Arial" w:eastAsia="Arial" w:hAnsi="Arial"/>
                <w:sz w:val="16"/>
                <w:szCs w:val="16"/>
                <w:color w:val="auto"/>
              </w:rPr>
              <w:t>Immediate Vesting</w:t>
            </w:r>
          </w:p>
        </w:tc>
        <w:tc>
          <w:tcPr>
            <w:tcW w:w="4160" w:type="dxa"/>
            <w:vAlign w:val="bottom"/>
          </w:tcPr>
          <w:p>
            <w:pPr>
              <w:ind w:left="120"/>
              <w:spacing w:after="0"/>
              <w:rPr>
                <w:sz w:val="20"/>
                <w:szCs w:val="20"/>
                <w:color w:val="auto"/>
              </w:rPr>
            </w:pPr>
            <w:r>
              <w:rPr>
                <w:rFonts w:ascii="Arial" w:cs="Arial" w:eastAsia="Arial" w:hAnsi="Arial"/>
                <w:sz w:val="16"/>
                <w:szCs w:val="16"/>
                <w:color w:val="auto"/>
              </w:rPr>
              <w:t>Immediate Vesting at Target</w:t>
            </w:r>
          </w:p>
        </w:tc>
      </w:tr>
      <w:tr>
        <w:trPr>
          <w:trHeight w:val="205"/>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Control</w:t>
            </w:r>
          </w:p>
        </w:tc>
        <w:tc>
          <w:tcPr>
            <w:tcW w:w="194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41"/>
        </w:trPr>
        <w:tc>
          <w:tcPr>
            <w:tcW w:w="4520" w:type="dxa"/>
            <w:vAlign w:val="bottom"/>
            <w:tcBorders>
              <w:bottom w:val="single" w:sz="8" w:color="7F7F7F"/>
            </w:tcBorders>
          </w:tcPr>
          <w:p>
            <w:pPr>
              <w:spacing w:after="0"/>
              <w:rPr>
                <w:sz w:val="3"/>
                <w:szCs w:val="3"/>
                <w:color w:val="auto"/>
              </w:rPr>
            </w:pPr>
          </w:p>
        </w:tc>
        <w:tc>
          <w:tcPr>
            <w:tcW w:w="194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r>
      <w:tr>
        <w:trPr>
          <w:trHeight w:val="202"/>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Other Termination not for Cause</w:t>
            </w:r>
          </w:p>
        </w:tc>
        <w:tc>
          <w:tcPr>
            <w:tcW w:w="1940" w:type="dxa"/>
            <w:vAlign w:val="bottom"/>
          </w:tcPr>
          <w:p>
            <w:pPr>
              <w:ind w:left="240"/>
              <w:spacing w:after="0"/>
              <w:rPr>
                <w:sz w:val="20"/>
                <w:szCs w:val="20"/>
                <w:color w:val="auto"/>
              </w:rPr>
            </w:pPr>
            <w:r>
              <w:rPr>
                <w:rFonts w:ascii="Arial" w:cs="Arial" w:eastAsia="Arial" w:hAnsi="Arial"/>
                <w:sz w:val="16"/>
                <w:szCs w:val="16"/>
                <w:color w:val="auto"/>
              </w:rPr>
              <w:t>Forfeit</w:t>
            </w:r>
          </w:p>
        </w:tc>
        <w:tc>
          <w:tcPr>
            <w:tcW w:w="4160" w:type="dxa"/>
            <w:vAlign w:val="bottom"/>
          </w:tcPr>
          <w:p>
            <w:pPr>
              <w:ind w:left="120"/>
              <w:spacing w:after="0"/>
              <w:rPr>
                <w:sz w:val="20"/>
                <w:szCs w:val="20"/>
                <w:color w:val="auto"/>
              </w:rPr>
            </w:pPr>
            <w:r>
              <w:rPr>
                <w:rFonts w:ascii="Arial" w:cs="Arial" w:eastAsia="Arial" w:hAnsi="Arial"/>
                <w:sz w:val="16"/>
                <w:szCs w:val="16"/>
                <w:color w:val="auto"/>
              </w:rPr>
              <w:t>Prorated based on actual results (as determined at the</w:t>
            </w:r>
          </w:p>
        </w:tc>
      </w:tr>
      <w:tr>
        <w:trPr>
          <w:trHeight w:val="182"/>
        </w:trPr>
        <w:tc>
          <w:tcPr>
            <w:tcW w:w="4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160" w:type="dxa"/>
            <w:vAlign w:val="bottom"/>
          </w:tcPr>
          <w:p>
            <w:pPr>
              <w:ind w:left="120"/>
              <w:spacing w:after="0" w:line="182" w:lineRule="exact"/>
              <w:rPr>
                <w:sz w:val="20"/>
                <w:szCs w:val="20"/>
                <w:color w:val="auto"/>
              </w:rPr>
            </w:pPr>
            <w:r>
              <w:rPr>
                <w:rFonts w:ascii="Arial" w:cs="Arial" w:eastAsia="Arial" w:hAnsi="Arial"/>
                <w:sz w:val="16"/>
                <w:szCs w:val="16"/>
                <w:color w:val="auto"/>
              </w:rPr>
              <w:t>end of the cycle), subject to employment for at least one</w:t>
            </w:r>
          </w:p>
        </w:tc>
      </w:tr>
      <w:tr>
        <w:trPr>
          <w:trHeight w:val="205"/>
        </w:trPr>
        <w:tc>
          <w:tcPr>
            <w:tcW w:w="45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year after the date grant was approved</w:t>
            </w:r>
          </w:p>
        </w:tc>
      </w:tr>
      <w:tr>
        <w:trPr>
          <w:trHeight w:val="41"/>
        </w:trPr>
        <w:tc>
          <w:tcPr>
            <w:tcW w:w="4520" w:type="dxa"/>
            <w:vAlign w:val="bottom"/>
            <w:tcBorders>
              <w:bottom w:val="single" w:sz="8" w:color="7F7F7F"/>
            </w:tcBorders>
          </w:tcPr>
          <w:p>
            <w:pPr>
              <w:spacing w:after="0"/>
              <w:rPr>
                <w:sz w:val="3"/>
                <w:szCs w:val="3"/>
                <w:color w:val="auto"/>
              </w:rPr>
            </w:pPr>
          </w:p>
        </w:tc>
        <w:tc>
          <w:tcPr>
            <w:tcW w:w="194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r>
      <w:tr>
        <w:trPr>
          <w:trHeight w:val="202"/>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Termination for Good Reason in connection with a Change in</w:t>
            </w:r>
          </w:p>
        </w:tc>
        <w:tc>
          <w:tcPr>
            <w:tcW w:w="1940" w:type="dxa"/>
            <w:vAlign w:val="bottom"/>
          </w:tcPr>
          <w:p>
            <w:pPr>
              <w:ind w:left="240"/>
              <w:spacing w:after="0"/>
              <w:rPr>
                <w:sz w:val="20"/>
                <w:szCs w:val="20"/>
                <w:color w:val="auto"/>
              </w:rPr>
            </w:pPr>
            <w:r>
              <w:rPr>
                <w:rFonts w:ascii="Arial" w:cs="Arial" w:eastAsia="Arial" w:hAnsi="Arial"/>
                <w:sz w:val="16"/>
                <w:szCs w:val="16"/>
                <w:color w:val="auto"/>
              </w:rPr>
              <w:t>Immediate Vesting</w:t>
            </w:r>
          </w:p>
        </w:tc>
        <w:tc>
          <w:tcPr>
            <w:tcW w:w="4160" w:type="dxa"/>
            <w:vAlign w:val="bottom"/>
          </w:tcPr>
          <w:p>
            <w:pPr>
              <w:ind w:left="120"/>
              <w:spacing w:after="0"/>
              <w:rPr>
                <w:sz w:val="20"/>
                <w:szCs w:val="20"/>
                <w:color w:val="auto"/>
              </w:rPr>
            </w:pPr>
            <w:r>
              <w:rPr>
                <w:rFonts w:ascii="Arial" w:cs="Arial" w:eastAsia="Arial" w:hAnsi="Arial"/>
                <w:sz w:val="16"/>
                <w:szCs w:val="16"/>
                <w:color w:val="auto"/>
              </w:rPr>
              <w:t>Immediate Vesting at Target</w:t>
            </w:r>
          </w:p>
        </w:tc>
      </w:tr>
      <w:tr>
        <w:trPr>
          <w:trHeight w:val="205"/>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Control</w:t>
            </w:r>
          </w:p>
        </w:tc>
        <w:tc>
          <w:tcPr>
            <w:tcW w:w="194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41"/>
        </w:trPr>
        <w:tc>
          <w:tcPr>
            <w:tcW w:w="4520" w:type="dxa"/>
            <w:vAlign w:val="bottom"/>
            <w:tcBorders>
              <w:bottom w:val="single" w:sz="8" w:color="7F7F7F"/>
            </w:tcBorders>
          </w:tcPr>
          <w:p>
            <w:pPr>
              <w:spacing w:after="0"/>
              <w:rPr>
                <w:sz w:val="3"/>
                <w:szCs w:val="3"/>
                <w:color w:val="auto"/>
              </w:rPr>
            </w:pPr>
          </w:p>
        </w:tc>
        <w:tc>
          <w:tcPr>
            <w:tcW w:w="194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r>
      <w:tr>
        <w:trPr>
          <w:trHeight w:val="225"/>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Termination for Cause</w:t>
            </w:r>
          </w:p>
        </w:tc>
        <w:tc>
          <w:tcPr>
            <w:tcW w:w="1940" w:type="dxa"/>
            <w:vAlign w:val="bottom"/>
          </w:tcPr>
          <w:p>
            <w:pPr>
              <w:ind w:left="240"/>
              <w:spacing w:after="0"/>
              <w:rPr>
                <w:sz w:val="20"/>
                <w:szCs w:val="20"/>
                <w:color w:val="auto"/>
              </w:rPr>
            </w:pPr>
            <w:r>
              <w:rPr>
                <w:rFonts w:ascii="Arial" w:cs="Arial" w:eastAsia="Arial" w:hAnsi="Arial"/>
                <w:sz w:val="16"/>
                <w:szCs w:val="16"/>
                <w:color w:val="auto"/>
              </w:rPr>
              <w:t>Forfeit</w:t>
            </w:r>
          </w:p>
        </w:tc>
        <w:tc>
          <w:tcPr>
            <w:tcW w:w="4160" w:type="dxa"/>
            <w:vAlign w:val="bottom"/>
          </w:tcPr>
          <w:p>
            <w:pPr>
              <w:ind w:left="120"/>
              <w:spacing w:after="0"/>
              <w:rPr>
                <w:sz w:val="20"/>
                <w:szCs w:val="20"/>
                <w:color w:val="auto"/>
              </w:rPr>
            </w:pPr>
            <w:r>
              <w:rPr>
                <w:rFonts w:ascii="Arial" w:cs="Arial" w:eastAsia="Arial" w:hAnsi="Arial"/>
                <w:sz w:val="16"/>
                <w:szCs w:val="16"/>
                <w:color w:val="auto"/>
              </w:rPr>
              <w:t>Forfeit</w:t>
            </w:r>
          </w:p>
        </w:tc>
      </w:tr>
      <w:tr>
        <w:trPr>
          <w:trHeight w:val="41"/>
        </w:trPr>
        <w:tc>
          <w:tcPr>
            <w:tcW w:w="4520" w:type="dxa"/>
            <w:vAlign w:val="bottom"/>
            <w:tcBorders>
              <w:bottom w:val="single" w:sz="8" w:color="7F7F7F"/>
            </w:tcBorders>
          </w:tcPr>
          <w:p>
            <w:pPr>
              <w:spacing w:after="0"/>
              <w:rPr>
                <w:sz w:val="3"/>
                <w:szCs w:val="3"/>
                <w:color w:val="auto"/>
              </w:rPr>
            </w:pPr>
          </w:p>
        </w:tc>
        <w:tc>
          <w:tcPr>
            <w:tcW w:w="194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r>
      <w:tr>
        <w:trPr>
          <w:trHeight w:val="225"/>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Voluntarily Quit</w:t>
            </w:r>
          </w:p>
        </w:tc>
        <w:tc>
          <w:tcPr>
            <w:tcW w:w="1940" w:type="dxa"/>
            <w:vAlign w:val="bottom"/>
          </w:tcPr>
          <w:p>
            <w:pPr>
              <w:ind w:left="240"/>
              <w:spacing w:after="0"/>
              <w:rPr>
                <w:sz w:val="20"/>
                <w:szCs w:val="20"/>
                <w:color w:val="auto"/>
              </w:rPr>
            </w:pPr>
            <w:r>
              <w:rPr>
                <w:rFonts w:ascii="Arial" w:cs="Arial" w:eastAsia="Arial" w:hAnsi="Arial"/>
                <w:sz w:val="16"/>
                <w:szCs w:val="16"/>
                <w:color w:val="auto"/>
              </w:rPr>
              <w:t>Forfeit</w:t>
            </w:r>
          </w:p>
        </w:tc>
        <w:tc>
          <w:tcPr>
            <w:tcW w:w="4160" w:type="dxa"/>
            <w:vAlign w:val="bottom"/>
          </w:tcPr>
          <w:p>
            <w:pPr>
              <w:ind w:left="120"/>
              <w:spacing w:after="0"/>
              <w:rPr>
                <w:sz w:val="20"/>
                <w:szCs w:val="20"/>
                <w:color w:val="auto"/>
              </w:rPr>
            </w:pPr>
            <w:r>
              <w:rPr>
                <w:rFonts w:ascii="Arial" w:cs="Arial" w:eastAsia="Arial" w:hAnsi="Arial"/>
                <w:sz w:val="16"/>
                <w:szCs w:val="16"/>
                <w:color w:val="auto"/>
              </w:rPr>
              <w:t>Forfeit</w:t>
            </w:r>
          </w:p>
        </w:tc>
      </w:tr>
      <w:tr>
        <w:trPr>
          <w:trHeight w:val="41"/>
        </w:trPr>
        <w:tc>
          <w:tcPr>
            <w:tcW w:w="4520" w:type="dxa"/>
            <w:vAlign w:val="bottom"/>
            <w:tcBorders>
              <w:bottom w:val="single" w:sz="8" w:color="7F7F7F"/>
            </w:tcBorders>
          </w:tcPr>
          <w:p>
            <w:pPr>
              <w:spacing w:after="0"/>
              <w:rPr>
                <w:sz w:val="3"/>
                <w:szCs w:val="3"/>
                <w:color w:val="auto"/>
              </w:rPr>
            </w:pPr>
          </w:p>
        </w:tc>
        <w:tc>
          <w:tcPr>
            <w:tcW w:w="194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r>
      <w:tr>
        <w:trPr>
          <w:trHeight w:val="202"/>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Retirement</w:t>
            </w:r>
          </w:p>
        </w:tc>
        <w:tc>
          <w:tcPr>
            <w:tcW w:w="1940" w:type="dxa"/>
            <w:vAlign w:val="bottom"/>
          </w:tcPr>
          <w:p>
            <w:pPr>
              <w:ind w:left="240"/>
              <w:spacing w:after="0"/>
              <w:rPr>
                <w:sz w:val="20"/>
                <w:szCs w:val="20"/>
                <w:color w:val="auto"/>
              </w:rPr>
            </w:pPr>
            <w:r>
              <w:rPr>
                <w:rFonts w:ascii="Arial" w:cs="Arial" w:eastAsia="Arial" w:hAnsi="Arial"/>
                <w:sz w:val="16"/>
                <w:szCs w:val="16"/>
                <w:color w:val="auto"/>
              </w:rPr>
              <w:t>Forfeit</w:t>
            </w:r>
          </w:p>
        </w:tc>
        <w:tc>
          <w:tcPr>
            <w:tcW w:w="4160" w:type="dxa"/>
            <w:vAlign w:val="bottom"/>
          </w:tcPr>
          <w:p>
            <w:pPr>
              <w:ind w:left="120"/>
              <w:spacing w:after="0"/>
              <w:rPr>
                <w:sz w:val="20"/>
                <w:szCs w:val="20"/>
                <w:color w:val="auto"/>
              </w:rPr>
            </w:pPr>
            <w:r>
              <w:rPr>
                <w:rFonts w:ascii="Arial" w:cs="Arial" w:eastAsia="Arial" w:hAnsi="Arial"/>
                <w:sz w:val="16"/>
                <w:szCs w:val="16"/>
                <w:color w:val="auto"/>
              </w:rPr>
              <w:t>Prorated based on actual results (as determined at the</w:t>
            </w:r>
          </w:p>
        </w:tc>
      </w:tr>
      <w:tr>
        <w:trPr>
          <w:trHeight w:val="182"/>
        </w:trPr>
        <w:tc>
          <w:tcPr>
            <w:tcW w:w="4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160" w:type="dxa"/>
            <w:vAlign w:val="bottom"/>
          </w:tcPr>
          <w:p>
            <w:pPr>
              <w:ind w:left="120"/>
              <w:spacing w:after="0" w:line="182" w:lineRule="exact"/>
              <w:rPr>
                <w:sz w:val="20"/>
                <w:szCs w:val="20"/>
                <w:color w:val="auto"/>
              </w:rPr>
            </w:pPr>
            <w:r>
              <w:rPr>
                <w:rFonts w:ascii="Arial" w:cs="Arial" w:eastAsia="Arial" w:hAnsi="Arial"/>
                <w:sz w:val="16"/>
                <w:szCs w:val="16"/>
                <w:color w:val="auto"/>
              </w:rPr>
              <w:t>end of the cycle) for “Normal Retirement” defined as age</w:t>
            </w:r>
          </w:p>
        </w:tc>
      </w:tr>
      <w:tr>
        <w:trPr>
          <w:trHeight w:val="182"/>
        </w:trPr>
        <w:tc>
          <w:tcPr>
            <w:tcW w:w="45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160" w:type="dxa"/>
            <w:vAlign w:val="bottom"/>
          </w:tcPr>
          <w:p>
            <w:pPr>
              <w:ind w:left="120"/>
              <w:spacing w:after="0" w:line="182" w:lineRule="exact"/>
              <w:rPr>
                <w:sz w:val="20"/>
                <w:szCs w:val="20"/>
                <w:color w:val="auto"/>
              </w:rPr>
            </w:pPr>
            <w:r>
              <w:rPr>
                <w:rFonts w:ascii="Arial" w:cs="Arial" w:eastAsia="Arial" w:hAnsi="Arial"/>
                <w:sz w:val="16"/>
                <w:szCs w:val="16"/>
                <w:color w:val="auto"/>
                <w:w w:val="98"/>
              </w:rPr>
              <w:t>62 with 5 years of service or as a combination of age plus</w:t>
            </w:r>
          </w:p>
        </w:tc>
      </w:tr>
      <w:tr>
        <w:trPr>
          <w:trHeight w:val="205"/>
        </w:trPr>
        <w:tc>
          <w:tcPr>
            <w:tcW w:w="45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years of service equal to 70, with a minimum age of 60</w:t>
            </w:r>
          </w:p>
        </w:tc>
      </w:tr>
      <w:tr>
        <w:trPr>
          <w:trHeight w:val="41"/>
        </w:trPr>
        <w:tc>
          <w:tcPr>
            <w:tcW w:w="4520" w:type="dxa"/>
            <w:vAlign w:val="bottom"/>
            <w:tcBorders>
              <w:bottom w:val="single" w:sz="8" w:color="7F7F7F"/>
            </w:tcBorders>
          </w:tcPr>
          <w:p>
            <w:pPr>
              <w:spacing w:after="0"/>
              <w:rPr>
                <w:sz w:val="3"/>
                <w:szCs w:val="3"/>
                <w:color w:val="auto"/>
              </w:rPr>
            </w:pPr>
          </w:p>
        </w:tc>
        <w:tc>
          <w:tcPr>
            <w:tcW w:w="194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r>
      <w:tr>
        <w:trPr>
          <w:trHeight w:val="225"/>
        </w:trPr>
        <w:tc>
          <w:tcPr>
            <w:tcW w:w="4520" w:type="dxa"/>
            <w:vAlign w:val="bottom"/>
          </w:tcPr>
          <w:p>
            <w:pPr>
              <w:ind w:left="80"/>
              <w:spacing w:after="0"/>
              <w:rPr>
                <w:sz w:val="20"/>
                <w:szCs w:val="20"/>
                <w:color w:val="auto"/>
              </w:rPr>
            </w:pPr>
            <w:r>
              <w:rPr>
                <w:rFonts w:ascii="Arial" w:cs="Arial" w:eastAsia="Arial" w:hAnsi="Arial"/>
                <w:sz w:val="16"/>
                <w:szCs w:val="16"/>
                <w:i w:val="1"/>
                <w:iCs w:val="1"/>
                <w:color w:val="auto"/>
              </w:rPr>
              <w:t>Death or Disability</w:t>
            </w:r>
          </w:p>
        </w:tc>
        <w:tc>
          <w:tcPr>
            <w:tcW w:w="1940" w:type="dxa"/>
            <w:vAlign w:val="bottom"/>
          </w:tcPr>
          <w:p>
            <w:pPr>
              <w:ind w:left="240"/>
              <w:spacing w:after="0"/>
              <w:rPr>
                <w:sz w:val="20"/>
                <w:szCs w:val="20"/>
                <w:color w:val="auto"/>
              </w:rPr>
            </w:pPr>
            <w:r>
              <w:rPr>
                <w:rFonts w:ascii="Arial" w:cs="Arial" w:eastAsia="Arial" w:hAnsi="Arial"/>
                <w:sz w:val="16"/>
                <w:szCs w:val="16"/>
                <w:color w:val="auto"/>
              </w:rPr>
              <w:t>Prorated</w:t>
            </w:r>
          </w:p>
        </w:tc>
        <w:tc>
          <w:tcPr>
            <w:tcW w:w="4160" w:type="dxa"/>
            <w:vAlign w:val="bottom"/>
          </w:tcPr>
          <w:p>
            <w:pPr>
              <w:ind w:left="120"/>
              <w:spacing w:after="0"/>
              <w:rPr>
                <w:sz w:val="20"/>
                <w:szCs w:val="20"/>
                <w:color w:val="auto"/>
              </w:rPr>
            </w:pPr>
            <w:r>
              <w:rPr>
                <w:rFonts w:ascii="Arial" w:cs="Arial" w:eastAsia="Arial" w:hAnsi="Arial"/>
                <w:sz w:val="16"/>
                <w:szCs w:val="16"/>
                <w:color w:val="auto"/>
              </w:rPr>
              <w:t>Prorated based on actual results</w:t>
            </w:r>
          </w:p>
        </w:tc>
      </w:tr>
      <w:tr>
        <w:trPr>
          <w:trHeight w:val="41"/>
        </w:trPr>
        <w:tc>
          <w:tcPr>
            <w:tcW w:w="4520" w:type="dxa"/>
            <w:vAlign w:val="bottom"/>
            <w:tcBorders>
              <w:bottom w:val="single" w:sz="8" w:color="7F7F7F"/>
            </w:tcBorders>
          </w:tcPr>
          <w:p>
            <w:pPr>
              <w:spacing w:after="0"/>
              <w:rPr>
                <w:sz w:val="3"/>
                <w:szCs w:val="3"/>
                <w:color w:val="auto"/>
              </w:rPr>
            </w:pPr>
          </w:p>
        </w:tc>
        <w:tc>
          <w:tcPr>
            <w:tcW w:w="1940" w:type="dxa"/>
            <w:vAlign w:val="bottom"/>
            <w:tcBorders>
              <w:bottom w:val="single" w:sz="8" w:color="7F7F7F"/>
            </w:tcBorders>
          </w:tcPr>
          <w:p>
            <w:pPr>
              <w:spacing w:after="0"/>
              <w:rPr>
                <w:sz w:val="3"/>
                <w:szCs w:val="3"/>
                <w:color w:val="auto"/>
              </w:rPr>
            </w:pPr>
          </w:p>
        </w:tc>
        <w:tc>
          <w:tcPr>
            <w:tcW w:w="4160" w:type="dxa"/>
            <w:vAlign w:val="bottom"/>
            <w:tcBorders>
              <w:bottom w:val="single" w:sz="8" w:color="7F7F7F"/>
            </w:tcBorders>
          </w:tcPr>
          <w:p>
            <w:pPr>
              <w:spacing w:after="0"/>
              <w:rPr>
                <w:sz w:val="3"/>
                <w:szCs w:val="3"/>
                <w:color w:val="auto"/>
              </w:rPr>
            </w:pPr>
          </w:p>
        </w:tc>
      </w:tr>
    </w:tbl>
    <w:p>
      <w:pPr>
        <w:spacing w:after="0" w:line="68"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70 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0"/>
          </w:cols>
          <w:pgMar w:left="640" w:top="296" w:right="639" w:bottom="1440" w:gutter="0" w:footer="0" w:header="0"/>
        </w:sectPr>
      </w:pPr>
    </w:p>
    <w:bookmarkStart w:id="72" w:name="page73"/>
    <w:bookmarkEnd w:id="72"/>
    <w:p>
      <w:pPr>
        <w:ind w:left="8304"/>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2023 Executive Compensation Tables</w:t>
      </w:r>
    </w:p>
    <w:p>
      <w:pPr>
        <w:spacing w:after="0" w:line="137" w:lineRule="exact"/>
        <w:rPr>
          <w:sz w:val="20"/>
          <w:szCs w:val="20"/>
          <w:color w:val="auto"/>
        </w:rPr>
      </w:pPr>
    </w:p>
    <w:p>
      <w:pPr>
        <w:ind w:left="4" w:right="380"/>
        <w:spacing w:after="0" w:line="265" w:lineRule="auto"/>
        <w:rPr>
          <w:sz w:val="20"/>
          <w:szCs w:val="20"/>
          <w:color w:val="auto"/>
        </w:rPr>
      </w:pPr>
      <w:r>
        <w:rPr>
          <w:rFonts w:ascii="Arial" w:cs="Arial" w:eastAsia="Arial" w:hAnsi="Arial"/>
          <w:sz w:val="16"/>
          <w:szCs w:val="16"/>
          <w:color w:val="auto"/>
        </w:rPr>
        <w:t>Based on the terms of the severance plans and treatment of LTI awards for each upon termination of employment as outlined above, the table below illustrates the amounts that each named executive officer would receive in each of the potential termination scenarios.</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A9E50"/>
                <w:w w:val="99"/>
              </w:rPr>
              <w:t>Peter W.</w:t>
            </w:r>
          </w:p>
        </w:tc>
        <w:tc>
          <w:tcPr>
            <w:tcW w:w="1100" w:type="dxa"/>
            <w:vAlign w:val="bottom"/>
          </w:tcPr>
          <w:p>
            <w:pPr>
              <w:jc w:val="center"/>
              <w:ind w:right="83"/>
              <w:spacing w:after="0"/>
              <w:rPr>
                <w:sz w:val="20"/>
                <w:szCs w:val="20"/>
                <w:color w:val="auto"/>
              </w:rPr>
            </w:pPr>
            <w:r>
              <w:rPr>
                <w:rFonts w:ascii="Arial" w:cs="Arial" w:eastAsia="Arial" w:hAnsi="Arial"/>
                <w:sz w:val="14"/>
                <w:szCs w:val="14"/>
                <w:b w:val="1"/>
                <w:bCs w:val="1"/>
                <w:color w:val="0A9E50"/>
                <w:w w:val="99"/>
              </w:rPr>
              <w:t>Olivier G.</w:t>
            </w:r>
          </w:p>
        </w:tc>
        <w:tc>
          <w:tcPr>
            <w:tcW w:w="1120" w:type="dxa"/>
            <w:vAlign w:val="bottom"/>
          </w:tcPr>
          <w:p>
            <w:pPr>
              <w:jc w:val="right"/>
              <w:ind w:right="243"/>
              <w:spacing w:after="0"/>
              <w:rPr>
                <w:sz w:val="20"/>
                <w:szCs w:val="20"/>
                <w:color w:val="auto"/>
              </w:rPr>
            </w:pPr>
            <w:r>
              <w:rPr>
                <w:rFonts w:ascii="Arial" w:cs="Arial" w:eastAsia="Arial" w:hAnsi="Arial"/>
                <w:sz w:val="14"/>
                <w:szCs w:val="14"/>
                <w:b w:val="1"/>
                <w:bCs w:val="1"/>
                <w:color w:val="0A9E50"/>
              </w:rPr>
              <w:t>Daniel H.</w:t>
            </w:r>
          </w:p>
        </w:tc>
        <w:tc>
          <w:tcPr>
            <w:tcW w:w="1180" w:type="dxa"/>
            <w:vAlign w:val="bottom"/>
          </w:tcPr>
          <w:p>
            <w:pPr>
              <w:jc w:val="right"/>
              <w:ind w:right="203"/>
              <w:spacing w:after="0"/>
              <w:rPr>
                <w:sz w:val="20"/>
                <w:szCs w:val="20"/>
                <w:color w:val="auto"/>
              </w:rPr>
            </w:pPr>
            <w:r>
              <w:rPr>
                <w:rFonts w:ascii="Arial" w:cs="Arial" w:eastAsia="Arial" w:hAnsi="Arial"/>
                <w:sz w:val="14"/>
                <w:szCs w:val="14"/>
                <w:b w:val="1"/>
                <w:bCs w:val="1"/>
                <w:color w:val="0A9E50"/>
              </w:rPr>
              <w:t>Vanessa P.</w:t>
            </w:r>
          </w:p>
        </w:tc>
      </w:tr>
      <w:tr>
        <w:trPr>
          <w:trHeight w:val="156"/>
        </w:trPr>
        <w:tc>
          <w:tcPr>
            <w:tcW w:w="6040" w:type="dxa"/>
            <w:vAlign w:val="bottom"/>
          </w:tcPr>
          <w:p>
            <w:pPr>
              <w:spacing w:after="0"/>
              <w:rPr>
                <w:sz w:val="13"/>
                <w:szCs w:val="13"/>
                <w:color w:val="auto"/>
              </w:rPr>
            </w:pPr>
          </w:p>
        </w:tc>
        <w:tc>
          <w:tcPr>
            <w:tcW w:w="118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rPr>
              <w:t>Quigley</w:t>
            </w:r>
          </w:p>
        </w:tc>
        <w:tc>
          <w:tcPr>
            <w:tcW w:w="1100" w:type="dxa"/>
            <w:vAlign w:val="bottom"/>
          </w:tcPr>
          <w:p>
            <w:pPr>
              <w:jc w:val="center"/>
              <w:ind w:right="103"/>
              <w:spacing w:after="0" w:line="156" w:lineRule="exact"/>
              <w:rPr>
                <w:sz w:val="20"/>
                <w:szCs w:val="20"/>
                <w:color w:val="auto"/>
              </w:rPr>
            </w:pPr>
            <w:r>
              <w:rPr>
                <w:rFonts w:ascii="Arial" w:cs="Arial" w:eastAsia="Arial" w:hAnsi="Arial"/>
                <w:sz w:val="14"/>
                <w:szCs w:val="14"/>
                <w:b w:val="1"/>
                <w:bCs w:val="1"/>
                <w:color w:val="0A9E50"/>
              </w:rPr>
              <w:t>Thirot</w:t>
            </w:r>
          </w:p>
        </w:tc>
        <w:tc>
          <w:tcPr>
            <w:tcW w:w="1120" w:type="dxa"/>
            <w:vAlign w:val="bottom"/>
          </w:tcPr>
          <w:p>
            <w:pPr>
              <w:jc w:val="right"/>
              <w:ind w:right="343"/>
              <w:spacing w:after="0" w:line="156" w:lineRule="exact"/>
              <w:rPr>
                <w:sz w:val="20"/>
                <w:szCs w:val="20"/>
                <w:color w:val="auto"/>
              </w:rPr>
            </w:pPr>
            <w:r>
              <w:rPr>
                <w:rFonts w:ascii="Arial" w:cs="Arial" w:eastAsia="Arial" w:hAnsi="Arial"/>
                <w:sz w:val="14"/>
                <w:szCs w:val="14"/>
                <w:b w:val="1"/>
                <w:bCs w:val="1"/>
                <w:color w:val="0A9E50"/>
              </w:rPr>
              <w:t>Malan</w:t>
            </w:r>
          </w:p>
        </w:tc>
        <w:tc>
          <w:tcPr>
            <w:tcW w:w="1180" w:type="dxa"/>
            <w:vAlign w:val="bottom"/>
          </w:tcPr>
          <w:p>
            <w:pPr>
              <w:jc w:val="right"/>
              <w:ind w:right="283"/>
              <w:spacing w:after="0" w:line="156" w:lineRule="exact"/>
              <w:rPr>
                <w:sz w:val="20"/>
                <w:szCs w:val="20"/>
                <w:color w:val="auto"/>
              </w:rPr>
            </w:pPr>
            <w:r>
              <w:rPr>
                <w:rFonts w:ascii="Arial" w:cs="Arial" w:eastAsia="Arial" w:hAnsi="Arial"/>
                <w:sz w:val="14"/>
                <w:szCs w:val="14"/>
                <w:b w:val="1"/>
                <w:bCs w:val="1"/>
                <w:color w:val="0A9E50"/>
              </w:rPr>
              <w:t>Williams</w:t>
            </w:r>
          </w:p>
        </w:tc>
      </w:tr>
      <w:tr>
        <w:trPr>
          <w:trHeight w:val="192"/>
        </w:trPr>
        <w:tc>
          <w:tcPr>
            <w:tcW w:w="6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0A9E50"/>
              </w:rPr>
              <w:t>Event and Amounts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9E50"/>
                <w:w w:val="93"/>
              </w:rPr>
              <w:t>($)</w:t>
            </w:r>
          </w:p>
        </w:tc>
        <w:tc>
          <w:tcPr>
            <w:tcW w:w="11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0A9E50"/>
                <w:w w:val="93"/>
              </w:rPr>
              <w:t>($)</w:t>
            </w:r>
          </w:p>
        </w:tc>
        <w:tc>
          <w:tcPr>
            <w:tcW w:w="11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0A9E50"/>
              </w:rPr>
              <w:t>($)</w:t>
            </w: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0A9E50"/>
              </w:rPr>
              <w:t>($)</w:t>
            </w:r>
          </w:p>
        </w:tc>
      </w:tr>
      <w:tr>
        <w:trPr>
          <w:trHeight w:val="246"/>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Involuntary Termination (For Cause)</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38"/>
        </w:trPr>
        <w:tc>
          <w:tcPr>
            <w:tcW w:w="6040" w:type="dxa"/>
            <w:vAlign w:val="bottom"/>
          </w:tcPr>
          <w:p>
            <w:pPr>
              <w:ind w:left="60"/>
              <w:spacing w:after="0"/>
              <w:rPr>
                <w:sz w:val="20"/>
                <w:szCs w:val="20"/>
                <w:color w:val="auto"/>
              </w:rPr>
            </w:pPr>
            <w:r>
              <w:rPr>
                <w:rFonts w:ascii="Arial" w:cs="Arial" w:eastAsia="Arial" w:hAnsi="Arial"/>
                <w:sz w:val="16"/>
                <w:szCs w:val="16"/>
                <w:color w:val="auto"/>
              </w:rPr>
              <w:t>No other payments due</w:t>
            </w: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4"/>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46"/>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Voluntary Termination</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38"/>
        </w:trPr>
        <w:tc>
          <w:tcPr>
            <w:tcW w:w="6040" w:type="dxa"/>
            <w:vAlign w:val="bottom"/>
          </w:tcPr>
          <w:p>
            <w:pPr>
              <w:ind w:left="60"/>
              <w:spacing w:after="0"/>
              <w:rPr>
                <w:sz w:val="20"/>
                <w:szCs w:val="20"/>
                <w:color w:val="auto"/>
              </w:rPr>
            </w:pPr>
            <w:r>
              <w:rPr>
                <w:rFonts w:ascii="Arial" w:cs="Arial" w:eastAsia="Arial" w:hAnsi="Arial"/>
                <w:sz w:val="16"/>
                <w:szCs w:val="16"/>
                <w:color w:val="auto"/>
              </w:rPr>
              <w:t>No other payments due</w:t>
            </w: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4"/>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46"/>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Death or Disability</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Performance Shares (Equity-Based)</w:t>
            </w:r>
            <w:r>
              <w:rPr>
                <w:rFonts w:ascii="Arial" w:cs="Arial" w:eastAsia="Arial" w:hAnsi="Arial"/>
                <w:sz w:val="23"/>
                <w:szCs w:val="23"/>
                <w:color w:val="auto"/>
                <w:vertAlign w:val="superscript"/>
              </w:rPr>
              <w:t>(1)</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1,373,713</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612,149</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208,244</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271,742</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Restricted Shares</w:t>
            </w:r>
            <w:r>
              <w:rPr>
                <w:rFonts w:ascii="Arial" w:cs="Arial" w:eastAsia="Arial" w:hAnsi="Arial"/>
                <w:sz w:val="23"/>
                <w:szCs w:val="23"/>
                <w:color w:val="auto"/>
                <w:vertAlign w:val="superscript"/>
              </w:rPr>
              <w:t>(2)</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763,856</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473,932</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487,357</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185,369</w:t>
            </w:r>
          </w:p>
        </w:tc>
      </w:tr>
      <w:tr>
        <w:trPr>
          <w:trHeight w:val="246"/>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jc w:val="right"/>
              <w:ind w:right="83"/>
              <w:spacing w:after="0"/>
              <w:rPr>
                <w:sz w:val="20"/>
                <w:szCs w:val="20"/>
                <w:color w:val="auto"/>
              </w:rPr>
            </w:pPr>
            <w:r>
              <w:rPr>
                <w:rFonts w:ascii="Arial" w:cs="Arial" w:eastAsia="Arial" w:hAnsi="Arial"/>
                <w:sz w:val="16"/>
                <w:szCs w:val="16"/>
                <w:b w:val="1"/>
                <w:bCs w:val="1"/>
                <w:color w:val="auto"/>
              </w:rPr>
              <w:t>2,137,569</w:t>
            </w:r>
          </w:p>
        </w:tc>
        <w:tc>
          <w:tcPr>
            <w:tcW w:w="1100" w:type="dxa"/>
            <w:vAlign w:val="bottom"/>
          </w:tcPr>
          <w:p>
            <w:pPr>
              <w:jc w:val="right"/>
              <w:ind w:right="143"/>
              <w:spacing w:after="0"/>
              <w:rPr>
                <w:sz w:val="20"/>
                <w:szCs w:val="20"/>
                <w:color w:val="auto"/>
              </w:rPr>
            </w:pPr>
            <w:r>
              <w:rPr>
                <w:rFonts w:ascii="Arial" w:cs="Arial" w:eastAsia="Arial" w:hAnsi="Arial"/>
                <w:sz w:val="16"/>
                <w:szCs w:val="16"/>
                <w:b w:val="1"/>
                <w:bCs w:val="1"/>
                <w:color w:val="auto"/>
              </w:rPr>
              <w:t>1,086,081</w:t>
            </w:r>
          </w:p>
        </w:tc>
        <w:tc>
          <w:tcPr>
            <w:tcW w:w="1120" w:type="dxa"/>
            <w:vAlign w:val="bottom"/>
          </w:tcPr>
          <w:p>
            <w:pPr>
              <w:jc w:val="right"/>
              <w:ind w:right="123"/>
              <w:spacing w:after="0"/>
              <w:rPr>
                <w:sz w:val="20"/>
                <w:szCs w:val="20"/>
                <w:color w:val="auto"/>
              </w:rPr>
            </w:pPr>
            <w:r>
              <w:rPr>
                <w:rFonts w:ascii="Arial" w:cs="Arial" w:eastAsia="Arial" w:hAnsi="Arial"/>
                <w:sz w:val="16"/>
                <w:szCs w:val="16"/>
                <w:b w:val="1"/>
                <w:bCs w:val="1"/>
                <w:color w:val="auto"/>
              </w:rPr>
              <w:t>695,601</w:t>
            </w:r>
          </w:p>
        </w:tc>
        <w:tc>
          <w:tcPr>
            <w:tcW w:w="1180" w:type="dxa"/>
            <w:vAlign w:val="bottom"/>
          </w:tcPr>
          <w:p>
            <w:pPr>
              <w:jc w:val="right"/>
              <w:ind w:right="143"/>
              <w:spacing w:after="0"/>
              <w:rPr>
                <w:sz w:val="20"/>
                <w:szCs w:val="20"/>
                <w:color w:val="auto"/>
              </w:rPr>
            </w:pPr>
            <w:r>
              <w:rPr>
                <w:rFonts w:ascii="Arial" w:cs="Arial" w:eastAsia="Arial" w:hAnsi="Arial"/>
                <w:sz w:val="16"/>
                <w:szCs w:val="16"/>
                <w:b w:val="1"/>
                <w:bCs w:val="1"/>
                <w:color w:val="auto"/>
              </w:rPr>
              <w:t>457,111</w:t>
            </w: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13"/>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Normal Retirement</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2"/>
        </w:trPr>
        <w:tc>
          <w:tcPr>
            <w:tcW w:w="6040" w:type="dxa"/>
            <w:vAlign w:val="bottom"/>
          </w:tcPr>
          <w:p>
            <w:pPr>
              <w:ind w:left="60"/>
              <w:spacing w:after="0" w:line="182" w:lineRule="exact"/>
              <w:rPr>
                <w:sz w:val="20"/>
                <w:szCs w:val="20"/>
                <w:color w:val="auto"/>
              </w:rPr>
            </w:pPr>
            <w:r>
              <w:rPr>
                <w:rFonts w:ascii="Arial" w:cs="Arial" w:eastAsia="Arial" w:hAnsi="Arial"/>
                <w:sz w:val="16"/>
                <w:szCs w:val="16"/>
                <w:b w:val="1"/>
                <w:bCs w:val="1"/>
                <w:color w:val="auto"/>
              </w:rPr>
              <w:t>(Age 62 and 5 Years of Service or any Combination of Age + Service &gt; 70 with</w:t>
            </w: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5"/>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Minimum Age of 60)</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Performance Shares (Equity-Based)</w:t>
            </w:r>
            <w:r>
              <w:rPr>
                <w:rFonts w:ascii="Arial" w:cs="Arial" w:eastAsia="Arial" w:hAnsi="Arial"/>
                <w:sz w:val="23"/>
                <w:szCs w:val="23"/>
                <w:color w:val="auto"/>
                <w:vertAlign w:val="superscript"/>
              </w:rPr>
              <w:t>(1)</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1,373,713</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612,149</w:t>
            </w:r>
          </w:p>
        </w:tc>
        <w:tc>
          <w:tcPr>
            <w:tcW w:w="1120" w:type="dxa"/>
            <w:vAlign w:val="bottom"/>
            <w:tcBorders>
              <w:bottom w:val="single" w:sz="8" w:color="7F7F7F"/>
            </w:tcBorders>
          </w:tcPr>
          <w:p>
            <w:pPr>
              <w:jc w:val="right"/>
              <w:ind w:right="423"/>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7F7F7F"/>
            </w:tcBorders>
          </w:tcPr>
          <w:p>
            <w:pPr>
              <w:jc w:val="right"/>
              <w:ind w:right="463"/>
              <w:spacing w:after="0"/>
              <w:rPr>
                <w:sz w:val="20"/>
                <w:szCs w:val="20"/>
                <w:color w:val="auto"/>
              </w:rPr>
            </w:pPr>
            <w:r>
              <w:rPr>
                <w:rFonts w:ascii="Arial" w:cs="Arial" w:eastAsia="Arial" w:hAnsi="Arial"/>
                <w:sz w:val="16"/>
                <w:szCs w:val="16"/>
                <w:color w:val="auto"/>
              </w:rPr>
              <w:t>—</w:t>
            </w:r>
          </w:p>
        </w:tc>
      </w:tr>
      <w:tr>
        <w:trPr>
          <w:trHeight w:val="246"/>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Involuntary Termination (Not For Cause)</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Cash Severance</w:t>
            </w:r>
            <w:r>
              <w:rPr>
                <w:rFonts w:ascii="Arial" w:cs="Arial" w:eastAsia="Arial" w:hAnsi="Arial"/>
                <w:sz w:val="23"/>
                <w:szCs w:val="23"/>
                <w:color w:val="auto"/>
                <w:vertAlign w:val="superscript"/>
              </w:rPr>
              <w:t>(3)</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1,800,000</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1,000,800</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557,668</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712,500</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Pro-Rated Annual Incentive</w:t>
            </w:r>
            <w:r>
              <w:rPr>
                <w:rFonts w:ascii="Arial" w:cs="Arial" w:eastAsia="Arial" w:hAnsi="Arial"/>
                <w:sz w:val="23"/>
                <w:szCs w:val="23"/>
                <w:color w:val="auto"/>
                <w:vertAlign w:val="superscript"/>
              </w:rPr>
              <w:t>(4)</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1,015,200</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533,093</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244,000</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325,000</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Performance Shares (Equity-Based)</w:t>
            </w:r>
            <w:r>
              <w:rPr>
                <w:rFonts w:ascii="Arial" w:cs="Arial" w:eastAsia="Arial" w:hAnsi="Arial"/>
                <w:sz w:val="23"/>
                <w:szCs w:val="23"/>
                <w:color w:val="auto"/>
                <w:vertAlign w:val="superscript"/>
              </w:rPr>
              <w:t>(1)</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994,390</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487,099</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163,447</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215,919</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Restricted Shares</w:t>
            </w:r>
            <w:r>
              <w:rPr>
                <w:rFonts w:ascii="Arial" w:cs="Arial" w:eastAsia="Arial" w:hAnsi="Arial"/>
                <w:sz w:val="23"/>
                <w:szCs w:val="23"/>
                <w:color w:val="auto"/>
                <w:vertAlign w:val="superscript"/>
              </w:rPr>
              <w:t>(2)</w:t>
            </w:r>
          </w:p>
        </w:tc>
        <w:tc>
          <w:tcPr>
            <w:tcW w:w="1180" w:type="dxa"/>
            <w:vAlign w:val="bottom"/>
            <w:tcBorders>
              <w:bottom w:val="single" w:sz="8" w:color="7F7F7F"/>
            </w:tcBorders>
          </w:tcPr>
          <w:p>
            <w:pPr>
              <w:jc w:val="right"/>
              <w:ind w:right="443"/>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7F7F7F"/>
            </w:tcBorders>
          </w:tcPr>
          <w:p>
            <w:pPr>
              <w:jc w:val="right"/>
              <w:ind w:right="463"/>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7F7F7F"/>
            </w:tcBorders>
          </w:tcPr>
          <w:p>
            <w:pPr>
              <w:jc w:val="right"/>
              <w:ind w:right="423"/>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7F7F7F"/>
            </w:tcBorders>
          </w:tcPr>
          <w:p>
            <w:pPr>
              <w:jc w:val="right"/>
              <w:ind w:right="463"/>
              <w:spacing w:after="0"/>
              <w:rPr>
                <w:sz w:val="20"/>
                <w:szCs w:val="20"/>
                <w:color w:val="auto"/>
              </w:rPr>
            </w:pPr>
            <w:r>
              <w:rPr>
                <w:rFonts w:ascii="Arial" w:cs="Arial" w:eastAsia="Arial" w:hAnsi="Arial"/>
                <w:sz w:val="16"/>
                <w:szCs w:val="16"/>
                <w:color w:val="auto"/>
              </w:rPr>
              <w:t>—</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Benefits Continuation</w:t>
            </w:r>
            <w:r>
              <w:rPr>
                <w:rFonts w:ascii="Arial" w:cs="Arial" w:eastAsia="Arial" w:hAnsi="Arial"/>
                <w:sz w:val="23"/>
                <w:szCs w:val="23"/>
                <w:color w:val="auto"/>
                <w:vertAlign w:val="superscript"/>
              </w:rPr>
              <w:t>(5)</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20,497</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56,681</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6,666</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20,659</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Outplacement Services</w:t>
            </w:r>
            <w:r>
              <w:rPr>
                <w:rFonts w:ascii="Arial" w:cs="Arial" w:eastAsia="Arial" w:hAnsi="Arial"/>
                <w:sz w:val="23"/>
                <w:szCs w:val="23"/>
                <w:color w:val="auto"/>
                <w:vertAlign w:val="superscript"/>
              </w:rPr>
              <w:t>(6)</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10,000</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10,000</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10,000</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10,000</w:t>
            </w:r>
          </w:p>
        </w:tc>
      </w:tr>
      <w:tr>
        <w:trPr>
          <w:trHeight w:val="246"/>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jc w:val="right"/>
              <w:ind w:right="83"/>
              <w:spacing w:after="0"/>
              <w:rPr>
                <w:sz w:val="20"/>
                <w:szCs w:val="20"/>
                <w:color w:val="auto"/>
              </w:rPr>
            </w:pPr>
            <w:r>
              <w:rPr>
                <w:rFonts w:ascii="Arial" w:cs="Arial" w:eastAsia="Arial" w:hAnsi="Arial"/>
                <w:sz w:val="16"/>
                <w:szCs w:val="16"/>
                <w:b w:val="1"/>
                <w:bCs w:val="1"/>
                <w:color w:val="auto"/>
              </w:rPr>
              <w:t>3,840,088</w:t>
            </w:r>
          </w:p>
        </w:tc>
        <w:tc>
          <w:tcPr>
            <w:tcW w:w="1100" w:type="dxa"/>
            <w:vAlign w:val="bottom"/>
          </w:tcPr>
          <w:p>
            <w:pPr>
              <w:jc w:val="right"/>
              <w:ind w:right="143"/>
              <w:spacing w:after="0"/>
              <w:rPr>
                <w:sz w:val="20"/>
                <w:szCs w:val="20"/>
                <w:color w:val="auto"/>
              </w:rPr>
            </w:pPr>
            <w:r>
              <w:rPr>
                <w:rFonts w:ascii="Arial" w:cs="Arial" w:eastAsia="Arial" w:hAnsi="Arial"/>
                <w:sz w:val="16"/>
                <w:szCs w:val="16"/>
                <w:b w:val="1"/>
                <w:bCs w:val="1"/>
                <w:color w:val="auto"/>
              </w:rPr>
              <w:t>2,087,672</w:t>
            </w:r>
          </w:p>
        </w:tc>
        <w:tc>
          <w:tcPr>
            <w:tcW w:w="1120" w:type="dxa"/>
            <w:vAlign w:val="bottom"/>
          </w:tcPr>
          <w:p>
            <w:pPr>
              <w:jc w:val="right"/>
              <w:ind w:right="123"/>
              <w:spacing w:after="0"/>
              <w:rPr>
                <w:sz w:val="20"/>
                <w:szCs w:val="20"/>
                <w:color w:val="auto"/>
              </w:rPr>
            </w:pPr>
            <w:r>
              <w:rPr>
                <w:rFonts w:ascii="Arial" w:cs="Arial" w:eastAsia="Arial" w:hAnsi="Arial"/>
                <w:sz w:val="16"/>
                <w:szCs w:val="16"/>
                <w:b w:val="1"/>
                <w:bCs w:val="1"/>
                <w:color w:val="auto"/>
              </w:rPr>
              <w:t>981,781</w:t>
            </w:r>
          </w:p>
        </w:tc>
        <w:tc>
          <w:tcPr>
            <w:tcW w:w="1180" w:type="dxa"/>
            <w:vAlign w:val="bottom"/>
          </w:tcPr>
          <w:p>
            <w:pPr>
              <w:jc w:val="right"/>
              <w:ind w:right="143"/>
              <w:spacing w:after="0"/>
              <w:rPr>
                <w:sz w:val="20"/>
                <w:szCs w:val="20"/>
                <w:color w:val="auto"/>
              </w:rPr>
            </w:pPr>
            <w:r>
              <w:rPr>
                <w:rFonts w:ascii="Arial" w:cs="Arial" w:eastAsia="Arial" w:hAnsi="Arial"/>
                <w:sz w:val="16"/>
                <w:szCs w:val="16"/>
                <w:b w:val="1"/>
                <w:bCs w:val="1"/>
                <w:color w:val="auto"/>
              </w:rPr>
              <w:t>1,284,078</w:t>
            </w: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13"/>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Termination in Connection with a Change In Control</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(For Good Reason or Not For Cause)</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Cash Severance</w:t>
            </w:r>
            <w:r>
              <w:rPr>
                <w:rFonts w:ascii="Arial" w:cs="Arial" w:eastAsia="Arial" w:hAnsi="Arial"/>
                <w:sz w:val="23"/>
                <w:szCs w:val="23"/>
                <w:color w:val="auto"/>
                <w:vertAlign w:val="superscript"/>
              </w:rPr>
              <w:t>(3)</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3,960,000</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1,851,480</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686,650</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1,175,625</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Pro-Rated Annual Incentive</w:t>
            </w:r>
            <w:r>
              <w:rPr>
                <w:rFonts w:ascii="Arial" w:cs="Arial" w:eastAsia="Arial" w:hAnsi="Arial"/>
                <w:sz w:val="23"/>
                <w:szCs w:val="23"/>
                <w:color w:val="auto"/>
                <w:vertAlign w:val="superscript"/>
              </w:rPr>
              <w:t>(4)</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1,080,000</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567,120</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243,650</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308,750</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Performance Shares (Equity-Based)</w:t>
            </w:r>
            <w:r>
              <w:rPr>
                <w:rFonts w:ascii="Arial" w:cs="Arial" w:eastAsia="Arial" w:hAnsi="Arial"/>
                <w:sz w:val="23"/>
                <w:szCs w:val="23"/>
                <w:color w:val="auto"/>
                <w:vertAlign w:val="superscript"/>
              </w:rPr>
              <w:t>(1)</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3,349,868</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1,331,446</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462,279</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597,901</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Restricted Shares</w:t>
            </w:r>
            <w:r>
              <w:rPr>
                <w:rFonts w:ascii="Arial" w:cs="Arial" w:eastAsia="Arial" w:hAnsi="Arial"/>
                <w:sz w:val="23"/>
                <w:szCs w:val="23"/>
                <w:color w:val="auto"/>
                <w:vertAlign w:val="superscript"/>
              </w:rPr>
              <w:t>(2)</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2,429,548</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1,559,926</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1,109,646</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627,759</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Benefits Continuation</w:t>
            </w:r>
            <w:r>
              <w:rPr>
                <w:rFonts w:ascii="Arial" w:cs="Arial" w:eastAsia="Arial" w:hAnsi="Arial"/>
                <w:sz w:val="23"/>
                <w:szCs w:val="23"/>
                <w:color w:val="auto"/>
                <w:vertAlign w:val="superscript"/>
              </w:rPr>
              <w:t>(5)</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20,497</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56,681</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6,666</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20,659</w:t>
            </w:r>
          </w:p>
        </w:tc>
      </w:tr>
      <w:tr>
        <w:trPr>
          <w:trHeight w:val="292"/>
        </w:trPr>
        <w:tc>
          <w:tcPr>
            <w:tcW w:w="604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Outplacement Services</w:t>
            </w:r>
            <w:r>
              <w:rPr>
                <w:rFonts w:ascii="Arial" w:cs="Arial" w:eastAsia="Arial" w:hAnsi="Arial"/>
                <w:sz w:val="23"/>
                <w:szCs w:val="23"/>
                <w:color w:val="auto"/>
                <w:vertAlign w:val="superscript"/>
              </w:rPr>
              <w:t>(6)</w:t>
            </w:r>
          </w:p>
        </w:tc>
        <w:tc>
          <w:tcPr>
            <w:tcW w:w="1180" w:type="dxa"/>
            <w:vAlign w:val="bottom"/>
            <w:tcBorders>
              <w:bottom w:val="single" w:sz="8" w:color="7F7F7F"/>
            </w:tcBorders>
          </w:tcPr>
          <w:p>
            <w:pPr>
              <w:jc w:val="right"/>
              <w:ind w:right="83"/>
              <w:spacing w:after="0"/>
              <w:rPr>
                <w:sz w:val="20"/>
                <w:szCs w:val="20"/>
                <w:color w:val="auto"/>
              </w:rPr>
            </w:pPr>
            <w:r>
              <w:rPr>
                <w:rFonts w:ascii="Arial" w:cs="Arial" w:eastAsia="Arial" w:hAnsi="Arial"/>
                <w:sz w:val="16"/>
                <w:szCs w:val="16"/>
                <w:color w:val="auto"/>
              </w:rPr>
              <w:t>10,000</w:t>
            </w:r>
          </w:p>
        </w:tc>
        <w:tc>
          <w:tcPr>
            <w:tcW w:w="110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10,000</w:t>
            </w:r>
          </w:p>
        </w:tc>
        <w:tc>
          <w:tcPr>
            <w:tcW w:w="1120" w:type="dxa"/>
            <w:vAlign w:val="bottom"/>
            <w:tcBorders>
              <w:bottom w:val="single" w:sz="8" w:color="7F7F7F"/>
            </w:tcBorders>
          </w:tcPr>
          <w:p>
            <w:pPr>
              <w:jc w:val="right"/>
              <w:ind w:right="123"/>
              <w:spacing w:after="0"/>
              <w:rPr>
                <w:sz w:val="20"/>
                <w:szCs w:val="20"/>
                <w:color w:val="auto"/>
              </w:rPr>
            </w:pPr>
            <w:r>
              <w:rPr>
                <w:rFonts w:ascii="Arial" w:cs="Arial" w:eastAsia="Arial" w:hAnsi="Arial"/>
                <w:sz w:val="16"/>
                <w:szCs w:val="16"/>
                <w:color w:val="auto"/>
              </w:rPr>
              <w:t>10,000</w:t>
            </w:r>
          </w:p>
        </w:tc>
        <w:tc>
          <w:tcPr>
            <w:tcW w:w="1180" w:type="dxa"/>
            <w:vAlign w:val="bottom"/>
            <w:tcBorders>
              <w:bottom w:val="single" w:sz="8" w:color="7F7F7F"/>
            </w:tcBorders>
          </w:tcPr>
          <w:p>
            <w:pPr>
              <w:jc w:val="right"/>
              <w:ind w:right="143"/>
              <w:spacing w:after="0"/>
              <w:rPr>
                <w:sz w:val="20"/>
                <w:szCs w:val="20"/>
                <w:color w:val="auto"/>
              </w:rPr>
            </w:pPr>
            <w:r>
              <w:rPr>
                <w:rFonts w:ascii="Arial" w:cs="Arial" w:eastAsia="Arial" w:hAnsi="Arial"/>
                <w:sz w:val="16"/>
                <w:szCs w:val="16"/>
                <w:color w:val="auto"/>
              </w:rPr>
              <w:t>10,000</w:t>
            </w:r>
          </w:p>
        </w:tc>
      </w:tr>
      <w:tr>
        <w:trPr>
          <w:trHeight w:val="246"/>
        </w:trPr>
        <w:tc>
          <w:tcPr>
            <w:tcW w:w="604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jc w:val="right"/>
              <w:ind w:right="83"/>
              <w:spacing w:after="0"/>
              <w:rPr>
                <w:sz w:val="20"/>
                <w:szCs w:val="20"/>
                <w:color w:val="auto"/>
              </w:rPr>
            </w:pPr>
            <w:r>
              <w:rPr>
                <w:rFonts w:ascii="Arial" w:cs="Arial" w:eastAsia="Arial" w:hAnsi="Arial"/>
                <w:sz w:val="16"/>
                <w:szCs w:val="16"/>
                <w:b w:val="1"/>
                <w:bCs w:val="1"/>
                <w:color w:val="auto"/>
              </w:rPr>
              <w:t>10,849,913</w:t>
            </w:r>
          </w:p>
        </w:tc>
        <w:tc>
          <w:tcPr>
            <w:tcW w:w="1100" w:type="dxa"/>
            <w:vAlign w:val="bottom"/>
          </w:tcPr>
          <w:p>
            <w:pPr>
              <w:jc w:val="right"/>
              <w:ind w:right="143"/>
              <w:spacing w:after="0"/>
              <w:rPr>
                <w:sz w:val="20"/>
                <w:szCs w:val="20"/>
                <w:color w:val="auto"/>
              </w:rPr>
            </w:pPr>
            <w:r>
              <w:rPr>
                <w:rFonts w:ascii="Arial" w:cs="Arial" w:eastAsia="Arial" w:hAnsi="Arial"/>
                <w:sz w:val="16"/>
                <w:szCs w:val="16"/>
                <w:b w:val="1"/>
                <w:bCs w:val="1"/>
                <w:color w:val="auto"/>
              </w:rPr>
              <w:t>5,376,653</w:t>
            </w:r>
          </w:p>
        </w:tc>
        <w:tc>
          <w:tcPr>
            <w:tcW w:w="1120" w:type="dxa"/>
            <w:vAlign w:val="bottom"/>
          </w:tcPr>
          <w:p>
            <w:pPr>
              <w:jc w:val="right"/>
              <w:ind w:right="123"/>
              <w:spacing w:after="0"/>
              <w:rPr>
                <w:sz w:val="20"/>
                <w:szCs w:val="20"/>
                <w:color w:val="auto"/>
              </w:rPr>
            </w:pPr>
            <w:r>
              <w:rPr>
                <w:rFonts w:ascii="Arial" w:cs="Arial" w:eastAsia="Arial" w:hAnsi="Arial"/>
                <w:sz w:val="16"/>
                <w:szCs w:val="16"/>
                <w:b w:val="1"/>
                <w:bCs w:val="1"/>
                <w:color w:val="auto"/>
              </w:rPr>
              <w:t>2,518,891</w:t>
            </w:r>
          </w:p>
        </w:tc>
        <w:tc>
          <w:tcPr>
            <w:tcW w:w="1180" w:type="dxa"/>
            <w:vAlign w:val="bottom"/>
          </w:tcPr>
          <w:p>
            <w:pPr>
              <w:jc w:val="right"/>
              <w:ind w:right="143"/>
              <w:spacing w:after="0"/>
              <w:rPr>
                <w:sz w:val="20"/>
                <w:szCs w:val="20"/>
                <w:color w:val="auto"/>
              </w:rPr>
            </w:pPr>
            <w:r>
              <w:rPr>
                <w:rFonts w:ascii="Arial" w:cs="Arial" w:eastAsia="Arial" w:hAnsi="Arial"/>
                <w:sz w:val="16"/>
                <w:szCs w:val="16"/>
                <w:b w:val="1"/>
                <w:bCs w:val="1"/>
                <w:color w:val="auto"/>
              </w:rPr>
              <w:t>2,740,694</w:t>
            </w:r>
          </w:p>
        </w:tc>
      </w:tr>
      <w:tr>
        <w:trPr>
          <w:trHeight w:val="46"/>
        </w:trPr>
        <w:tc>
          <w:tcPr>
            <w:tcW w:w="604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r>
    </w:tbl>
    <w:p>
      <w:pPr>
        <w:spacing w:after="0" w:line="99" w:lineRule="exact"/>
        <w:rPr>
          <w:sz w:val="20"/>
          <w:szCs w:val="20"/>
          <w:color w:val="auto"/>
        </w:rPr>
      </w:pPr>
    </w:p>
    <w:p>
      <w:pPr>
        <w:ind w:left="304" w:right="120" w:hanging="304"/>
        <w:spacing w:after="0" w:line="231" w:lineRule="auto"/>
        <w:tabs>
          <w:tab w:leader="none" w:pos="304"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 the event of a named executive officer’s termination of employment due to disability, death, normal retirement (defined as age 62 with five years of service or any combination of age + service = 70 with a minimum age of 60), or termination by the Company without Cause, at the end of the performance period and following approval by the Compensation and Talent Management Committee, the named executive officer (or the named executive officer’s beneficiary) would receive a pro rata portion of the equity-based Performance Award that would have otherwise vested if employment had continued until the end of the performance period, based on the portion of the performance period that the officer was employed and based on the performance level achieved. Amounts shown for termination due to death or disability, reflect actual shares earned for the 2021 Year 1, Year 2 and Year 3, 2022 Year 1 and Year 2, and 2023 Year 1 PSU grants. For termination by the Company without Cause, the named executive officer must have been employed for at least one year following the date of each grant in order to be eligible to receive prorated performance shares. Upon a Change in Control, if awards are not assumed, converted, or replaced by the resulting entity, all vesting restrictions on outstanding Performance Awards shall lapse, with any applicable performance goals deemed to be satisfied as if “target” performance had been achieved and all such Awards become fully vested and exercisable, effective as of the date of such Change in Control. The value under the pro rata settlement or Change in Control settlement (assuming the December 29, 2023 stock value of $21.62) is shown in the table.</w:t>
      </w:r>
    </w:p>
    <w:p>
      <w:pPr>
        <w:spacing w:after="0" w:line="2" w:lineRule="exact"/>
        <w:rPr>
          <w:rFonts w:ascii="Arial" w:cs="Arial" w:eastAsia="Arial" w:hAnsi="Arial"/>
          <w:sz w:val="12"/>
          <w:szCs w:val="12"/>
          <w:color w:val="auto"/>
        </w:rPr>
      </w:pPr>
    </w:p>
    <w:p>
      <w:pPr>
        <w:ind w:left="9064" w:hanging="281"/>
        <w:spacing w:after="0"/>
        <w:tabs>
          <w:tab w:leader="none" w:pos="9064" w:val="left"/>
        </w:tabs>
        <w:numPr>
          <w:ilvl w:val="1"/>
          <w:numId w:val="47"/>
        </w:numPr>
        <w:rPr>
          <w:rFonts w:ascii="Arial" w:cs="Arial" w:eastAsia="Arial" w:hAnsi="Arial"/>
          <w:sz w:val="21"/>
          <w:szCs w:val="21"/>
          <w:color w:val="auto"/>
          <w:vertAlign w:val="subscript"/>
        </w:rPr>
      </w:pPr>
      <w:r>
        <w:rPr>
          <w:sz w:val="1"/>
          <w:szCs w:val="1"/>
          <w:color w:val="auto"/>
        </w:rPr>
        <w:drawing>
          <wp:inline distT="0" distB="0" distL="0" distR="0">
            <wp:extent cx="396240" cy="18986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vertAlign w:val="subscript"/>
        </w:rPr>
        <w:t xml:space="preserve">    </w:t>
      </w:r>
      <w:r>
        <w:rPr>
          <w:rFonts w:ascii="Arial" w:cs="Arial" w:eastAsia="Arial" w:hAnsi="Arial"/>
          <w:sz w:val="21"/>
          <w:szCs w:val="21"/>
          <w:color w:val="auto"/>
        </w:rPr>
        <w:t>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6311265</wp:posOffset>
            </wp:positionH>
            <wp:positionV relativeFrom="paragraph">
              <wp:posOffset>-134620</wp:posOffset>
            </wp:positionV>
            <wp:extent cx="8255" cy="2228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bookmarkStart w:id="73" w:name="page74"/>
    <w:bookmarkEnd w:id="73"/>
    <w:p>
      <w:pPr>
        <w:ind w:left="4"/>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2023 Executive Compensation Tables</w:t>
      </w:r>
    </w:p>
    <w:p>
      <w:pPr>
        <w:spacing w:after="0" w:line="132" w:lineRule="exact"/>
        <w:rPr>
          <w:sz w:val="20"/>
          <w:szCs w:val="20"/>
          <w:color w:val="auto"/>
        </w:rPr>
      </w:pPr>
    </w:p>
    <w:p>
      <w:pPr>
        <w:ind w:left="304" w:right="120" w:hanging="304"/>
        <w:spacing w:after="0" w:line="234" w:lineRule="auto"/>
        <w:tabs>
          <w:tab w:leader="none" w:pos="304"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 the event of a named executive officer’s termination of employment due to disability or death, the named executive officer (or the named executive officer’s beneficiary) would receive a pro rata settlement of unvested restricted shares outstanding at the time of termination. For each grant of restricted stock awards/units, the number of shares settled would equal the total number of restricted shares originally granted times the ratio of days employed since the grant date divided by total number of days in the vesting period less the number of restricted shares already settled on the anniversary dates of the grant. Upon a Change in Control, if awards are not assumed, converted, or replaced by the resulting entity, all vesting restrictions on outstanding Restricted Share awards/units shall lapse, and all such Awards become fully vested and exercisable, effective as of the date of such Change in Control. The value under the prorated settlement or Change in Control settlement (assuming the December 29, 2023 stock value of $21.62) is shown in the table.</w:t>
      </w:r>
    </w:p>
    <w:p>
      <w:pPr>
        <w:spacing w:after="0" w:line="51" w:lineRule="exact"/>
        <w:rPr>
          <w:rFonts w:ascii="Arial" w:cs="Arial" w:eastAsia="Arial" w:hAnsi="Arial"/>
          <w:sz w:val="12"/>
          <w:szCs w:val="12"/>
          <w:color w:val="auto"/>
        </w:rPr>
      </w:pPr>
    </w:p>
    <w:p>
      <w:pPr>
        <w:ind w:left="304" w:right="20" w:hanging="304"/>
        <w:spacing w:after="0" w:line="234" w:lineRule="auto"/>
        <w:tabs>
          <w:tab w:leader="none" w:pos="304" w:val="left"/>
        </w:tabs>
        <w:numPr>
          <w:ilvl w:val="0"/>
          <w:numId w:val="48"/>
        </w:numPr>
        <w:rPr>
          <w:rFonts w:ascii="Arial" w:cs="Arial" w:eastAsia="Arial" w:hAnsi="Arial"/>
          <w:sz w:val="12"/>
          <w:szCs w:val="12"/>
          <w:color w:val="auto"/>
        </w:rPr>
      </w:pPr>
      <w:r>
        <w:rPr>
          <w:rFonts w:ascii="Arial" w:cs="Arial" w:eastAsia="Arial" w:hAnsi="Arial"/>
          <w:sz w:val="12"/>
          <w:szCs w:val="12"/>
          <w:color w:val="auto"/>
        </w:rPr>
        <w:t>Per the Severance Plan, for involuntary termination by the Company without cause, the value of cash severance includes base salary continuation for Mr. Quigley for 24 months, Ms. Williams for 18 months, and Mr. Malan for 12 months. For payments under Change in Control, with qualifying termination, Mr. Quigley would receive a lump sum payment equal to 2 times the sum of his annual base salary and target annual incentive; Ms. Williams would receive a lump sum payment equal to 1.5 times the sum of base salary and target annual incentive; and Mr. Malan would receive a lumpsum payment equal to one time the sum of base salary and target annual incentive. Per Mr. Thirot’s Swiss employment agreement, for involuntary termination by the Company without cause, the value of cash severance includes base salary continuation for Mr. Thirot for 18 months. For payments under Change in Control, with qualifying termination, Mr. Thirot would receive a lump sum payment equal to 1.5 times the sum of base salary and target annual incentive</w:t>
      </w:r>
    </w:p>
    <w:p>
      <w:pPr>
        <w:spacing w:after="0" w:line="51" w:lineRule="exact"/>
        <w:rPr>
          <w:rFonts w:ascii="Arial" w:cs="Arial" w:eastAsia="Arial" w:hAnsi="Arial"/>
          <w:sz w:val="12"/>
          <w:szCs w:val="12"/>
          <w:color w:val="auto"/>
        </w:rPr>
      </w:pPr>
    </w:p>
    <w:p>
      <w:pPr>
        <w:ind w:left="304" w:right="20" w:hanging="304"/>
        <w:spacing w:after="0" w:line="236" w:lineRule="auto"/>
        <w:tabs>
          <w:tab w:leader="none" w:pos="304"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 the event of an involuntary termination by the Company without cause and not in connection with a change in control, Messrs. Quigley and Malan, and Ms. Williams were eligible to receive a pro rata portion of their annual Incentive Compensation for such fiscal year, based on the actual performance results for such year. In the event of an involuntary termination by the Company without cause or termination by the named executive officer for good reason, either occurring in connection with a change in control, Messrs. Quigley, Thirot, and Malan and Ms. Williams were eligible to receive a pro rata portion of their annual Incentive Compensation for such fiscal year, paid at the target level. The value of pro rata target incentive with respect to year of termination represents the calculated target incentive for the named executive officers if they had terminated on December 31, 2024.</w:t>
      </w:r>
    </w:p>
    <w:p>
      <w:pPr>
        <w:spacing w:after="0" w:line="50" w:lineRule="exact"/>
        <w:rPr>
          <w:rFonts w:ascii="Arial" w:cs="Arial" w:eastAsia="Arial" w:hAnsi="Arial"/>
          <w:sz w:val="12"/>
          <w:szCs w:val="12"/>
          <w:color w:val="auto"/>
        </w:rPr>
      </w:pPr>
    </w:p>
    <w:p>
      <w:pPr>
        <w:ind w:left="304" w:right="20" w:hanging="304"/>
        <w:spacing w:after="0" w:line="239" w:lineRule="auto"/>
        <w:tabs>
          <w:tab w:leader="none" w:pos="304"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value of the health care benefit provided is calculated as the Company-paid portion of the medical plan cost, times the number of months eligible according to the applicable severance plan. Coverage can include medical, dental, and vision (assumes no change in Health Plan or coverage type) and assumes a 10% health care coverage cost increase in second year (as applicable). Named executive officers participating in the Senior Executive Severance Plan continue to pay the employee rate for COBRA coverage during the severance period. For Mr. Thirot, amounts in this column include continuation of pension contributions.</w:t>
      </w:r>
    </w:p>
    <w:p>
      <w:pPr>
        <w:spacing w:after="0" w:line="48" w:lineRule="exact"/>
        <w:rPr>
          <w:rFonts w:ascii="Arial" w:cs="Arial" w:eastAsia="Arial" w:hAnsi="Arial"/>
          <w:sz w:val="12"/>
          <w:szCs w:val="12"/>
          <w:color w:val="auto"/>
        </w:rPr>
      </w:pPr>
    </w:p>
    <w:p>
      <w:pPr>
        <w:ind w:left="304" w:right="80" w:hanging="304"/>
        <w:spacing w:after="0" w:line="264" w:lineRule="auto"/>
        <w:tabs>
          <w:tab w:leader="none" w:pos="304" w:val="left"/>
        </w:tabs>
        <w:numPr>
          <w:ilvl w:val="0"/>
          <w:numId w:val="48"/>
        </w:numPr>
        <w:rPr>
          <w:rFonts w:ascii="Arial" w:cs="Arial" w:eastAsia="Arial" w:hAnsi="Arial"/>
          <w:sz w:val="12"/>
          <w:szCs w:val="12"/>
          <w:color w:val="auto"/>
        </w:rPr>
      </w:pPr>
      <w:r>
        <w:rPr>
          <w:rFonts w:ascii="Arial" w:cs="Arial" w:eastAsia="Arial" w:hAnsi="Arial"/>
          <w:sz w:val="12"/>
          <w:szCs w:val="12"/>
          <w:color w:val="auto"/>
        </w:rPr>
        <w:t>Represents the maximum allowed benefit for reimbursement of outplacement services for participants in the applicable Severance Plan. Mr. Thirot are eligible for outplacement services under the terms of their employment agreements and the amount shown represents the maximum allowed benefit.</w:t>
      </w:r>
    </w:p>
    <w:p>
      <w:pPr>
        <w:spacing w:after="0" w:line="27" w:lineRule="exact"/>
        <w:rPr>
          <w:sz w:val="20"/>
          <w:szCs w:val="20"/>
          <w:color w:val="auto"/>
        </w:rPr>
      </w:pPr>
    </w:p>
    <w:p>
      <w:pPr>
        <w:ind w:left="4"/>
        <w:spacing w:after="0" w:line="246" w:lineRule="auto"/>
        <w:rPr>
          <w:sz w:val="20"/>
          <w:szCs w:val="20"/>
          <w:color w:val="auto"/>
        </w:rPr>
      </w:pPr>
      <w:r>
        <w:rPr>
          <w:rFonts w:ascii="Arial" w:cs="Arial" w:eastAsia="Arial" w:hAnsi="Arial"/>
          <w:sz w:val="16"/>
          <w:szCs w:val="16"/>
          <w:color w:val="auto"/>
        </w:rPr>
        <w:t>The named executive officers would also be entitled to the vested benefits included in the Outstanding Equity Awards at Fiscal Year-End table and the Nonqualified Deferred Compensation table. In addition, the amounts shown in the table above do not include payments and benefits to the extent they are provided on a non-discriminatory basis to salaried employees generally upon termination of employment or certain types of termination of employment. These include accrued salary and vacation pay, and life insurance benefits.</w:t>
      </w:r>
    </w:p>
    <w:p>
      <w:pPr>
        <w:spacing w:after="0" w:line="52" w:lineRule="exact"/>
        <w:rPr>
          <w:sz w:val="20"/>
          <w:szCs w:val="20"/>
          <w:color w:val="auto"/>
        </w:rPr>
      </w:pPr>
    </w:p>
    <w:p>
      <w:pPr>
        <w:ind w:left="4" w:right="160"/>
        <w:spacing w:after="0" w:line="244" w:lineRule="auto"/>
        <w:rPr>
          <w:sz w:val="20"/>
          <w:szCs w:val="20"/>
          <w:color w:val="auto"/>
        </w:rPr>
      </w:pPr>
      <w:r>
        <w:rPr>
          <w:rFonts w:ascii="Arial" w:cs="Arial" w:eastAsia="Arial" w:hAnsi="Arial"/>
          <w:sz w:val="16"/>
          <w:szCs w:val="16"/>
          <w:color w:val="auto"/>
        </w:rPr>
        <w:t>As part of the completion of the sale of our EMEA staffing operations, Ms. Koolhaas entered into a Termination Agreement, terminating her employment contract with Kelly Services OCG (the “Termination Agreement” filed January 8, 2024) as of March 31, 2024. Under the terms of the Termination Agreement, Ms. Koolhaas was entitled to a severance benefit equal to 12 months of base compensation, 100% of annual incentive compensation at target and certain other benefits. In addition, in exchange for Ms. Koolhaas’ assistance in supporting the preparation for and completion of the sale transaction, she received payment equal to 1% of the Purchase Price as defined in the Transaction Agreement.</w:t>
      </w:r>
    </w:p>
    <w:p>
      <w:pPr>
        <w:spacing w:after="0" w:line="56" w:lineRule="exact"/>
        <w:rPr>
          <w:sz w:val="20"/>
          <w:szCs w:val="20"/>
          <w:color w:val="auto"/>
        </w:rPr>
      </w:pPr>
    </w:p>
    <w:p>
      <w:pPr>
        <w:ind w:left="64"/>
        <w:spacing w:after="0"/>
        <w:tabs>
          <w:tab w:leader="none" w:pos="563" w:val="left"/>
        </w:tabs>
        <w:rPr>
          <w:sz w:val="20"/>
          <w:szCs w:val="20"/>
          <w:color w:val="auto"/>
        </w:rPr>
      </w:pPr>
      <w:r>
        <w:rPr>
          <w:rFonts w:ascii="Arial" w:cs="Arial" w:eastAsia="Arial" w:hAnsi="Arial"/>
          <w:sz w:val="36"/>
          <w:szCs w:val="36"/>
          <w:color w:val="auto"/>
          <w:vertAlign w:val="superscript"/>
        </w:rPr>
        <w:t>72 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-214630</wp:posOffset>
            </wp:positionV>
            <wp:extent cx="8255" cy="2228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04"/>
          </w:cols>
          <w:pgMar w:left="636" w:top="296" w:right="659" w:bottom="1440" w:gutter="0" w:footer="0" w:header="0"/>
        </w:sectPr>
      </w:pPr>
    </w:p>
    <w:bookmarkStart w:id="74" w:name="page75"/>
    <w:bookmarkEnd w:id="74"/>
    <w:p>
      <w:pPr>
        <w:ind w:left="4"/>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CEO Pay Ratio</w:t>
      </w:r>
    </w:p>
    <w:p>
      <w:pPr>
        <w:spacing w:after="0" w:line="336"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As required by Section 953(b) of the Dodd-Frank Act, we are providing the following information about the relationship of the annual total compensation of our employees and the annual total compensation of our CEO. The pay ratio included in this information is a reasonable estimate calculated in a manner that is intended to be consistent with Item 402(u) of Regulation S-K.</w:t>
      </w:r>
    </w:p>
    <w:p>
      <w:pPr>
        <w:spacing w:after="0" w:line="34"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fiscal 2023, our last completed fiscal year, our methodology and finding details are as follows:</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Methodology</w:t>
      </w:r>
    </w:p>
    <w:p>
      <w:pPr>
        <w:spacing w:after="0" w:line="45" w:lineRule="exact"/>
        <w:rPr>
          <w:sz w:val="20"/>
          <w:szCs w:val="20"/>
          <w:color w:val="auto"/>
        </w:rPr>
      </w:pPr>
    </w:p>
    <w:p>
      <w:pPr>
        <w:ind w:left="204" w:hanging="204"/>
        <w:spacing w:after="0"/>
        <w:tabs>
          <w:tab w:leader="none" w:pos="204" w:val="left"/>
        </w:tabs>
        <w:numPr>
          <w:ilvl w:val="0"/>
          <w:numId w:val="4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We selected October 31, 2023, as the date we would use to identify our median employee;</w:t>
      </w:r>
    </w:p>
    <w:p>
      <w:pPr>
        <w:spacing w:after="0" w:line="107" w:lineRule="exact"/>
        <w:rPr>
          <w:rFonts w:ascii="Times New Roman" w:cs="Times New Roman" w:eastAsia="Times New Roman" w:hAnsi="Times New Roman"/>
          <w:sz w:val="24"/>
          <w:szCs w:val="24"/>
          <w:color w:val="0A9E50"/>
          <w:vertAlign w:val="superscript"/>
        </w:rPr>
      </w:pPr>
    </w:p>
    <w:p>
      <w:pPr>
        <w:ind w:left="204" w:hanging="204"/>
        <w:spacing w:after="0" w:line="181" w:lineRule="auto"/>
        <w:tabs>
          <w:tab w:leader="none" w:pos="204" w:val="left"/>
        </w:tabs>
        <w:numPr>
          <w:ilvl w:val="0"/>
          <w:numId w:val="49"/>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as of October 31, 2023, our employee population totaled 103,850 and consisted of all active regular and temporary employees;</w:t>
      </w:r>
    </w:p>
    <w:p>
      <w:pPr>
        <w:spacing w:after="0" w:line="108" w:lineRule="exact"/>
        <w:rPr>
          <w:rFonts w:ascii="Times New Roman" w:cs="Times New Roman" w:eastAsia="Times New Roman" w:hAnsi="Times New Roman"/>
          <w:sz w:val="22"/>
          <w:szCs w:val="22"/>
          <w:color w:val="0A9E50"/>
          <w:vertAlign w:val="superscript"/>
        </w:rPr>
      </w:pPr>
    </w:p>
    <w:p>
      <w:pPr>
        <w:ind w:left="524" w:right="240" w:hanging="316"/>
        <w:spacing w:after="0" w:line="247" w:lineRule="auto"/>
        <w:tabs>
          <w:tab w:leader="none" w:pos="524" w:val="left"/>
        </w:tabs>
        <w:numPr>
          <w:ilvl w:val="1"/>
          <w:numId w:val="49"/>
        </w:numPr>
        <w:rPr>
          <w:rFonts w:ascii="Arial" w:cs="Arial" w:eastAsia="Arial" w:hAnsi="Arial"/>
          <w:sz w:val="16"/>
          <w:szCs w:val="16"/>
          <w:color w:val="auto"/>
        </w:rPr>
      </w:pPr>
      <w:r>
        <w:rPr>
          <w:rFonts w:ascii="Arial" w:cs="Arial" w:eastAsia="Arial" w:hAnsi="Arial"/>
          <w:sz w:val="16"/>
          <w:szCs w:val="16"/>
          <w:color w:val="auto"/>
        </w:rPr>
        <w:t>about 94% are temporary employees who work anywhere from one week to fifty-two weeks in a calendar year, with approximately 26% located outside of the U.S and Canada;</w:t>
      </w:r>
    </w:p>
    <w:p>
      <w:pPr>
        <w:spacing w:after="0" w:line="88" w:lineRule="exact"/>
        <w:rPr>
          <w:rFonts w:ascii="Arial" w:cs="Arial" w:eastAsia="Arial" w:hAnsi="Arial"/>
          <w:sz w:val="16"/>
          <w:szCs w:val="16"/>
          <w:color w:val="auto"/>
        </w:rPr>
      </w:pPr>
    </w:p>
    <w:p>
      <w:pPr>
        <w:ind w:left="524" w:hanging="316"/>
        <w:spacing w:after="0"/>
        <w:tabs>
          <w:tab w:leader="none" w:pos="524" w:val="left"/>
        </w:tabs>
        <w:numPr>
          <w:ilvl w:val="1"/>
          <w:numId w:val="49"/>
        </w:numPr>
        <w:rPr>
          <w:rFonts w:ascii="Arial" w:cs="Arial" w:eastAsia="Arial" w:hAnsi="Arial"/>
          <w:sz w:val="16"/>
          <w:szCs w:val="16"/>
          <w:color w:val="auto"/>
        </w:rPr>
      </w:pPr>
      <w:r>
        <w:rPr>
          <w:rFonts w:ascii="Arial" w:cs="Arial" w:eastAsia="Arial" w:hAnsi="Arial"/>
          <w:sz w:val="16"/>
          <w:szCs w:val="16"/>
          <w:color w:val="auto"/>
        </w:rPr>
        <w:t>for 2023, we did utilize the De Minimis 5% Exemption and excluded the employees from Luxemburg;</w:t>
      </w:r>
    </w:p>
    <w:p>
      <w:pPr>
        <w:spacing w:after="0" w:line="44" w:lineRule="exact"/>
        <w:rPr>
          <w:rFonts w:ascii="Arial" w:cs="Arial" w:eastAsia="Arial" w:hAnsi="Arial"/>
          <w:sz w:val="16"/>
          <w:szCs w:val="16"/>
          <w:color w:val="auto"/>
        </w:rPr>
      </w:pPr>
    </w:p>
    <w:p>
      <w:pPr>
        <w:ind w:left="204" w:hanging="204"/>
        <w:spacing w:after="0"/>
        <w:tabs>
          <w:tab w:leader="none" w:pos="204" w:val="left"/>
        </w:tabs>
        <w:numPr>
          <w:ilvl w:val="0"/>
          <w:numId w:val="49"/>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employee compensation outside the U.S. was converted to U.S. dollars using the Company’s 2023 budgeted exchange rates.</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6"/>
          <w:szCs w:val="16"/>
          <w:color w:val="auto"/>
        </w:rPr>
        <w:t>Findings</w:t>
      </w:r>
    </w:p>
    <w:p>
      <w:pPr>
        <w:spacing w:after="0" w:line="45" w:lineRule="exact"/>
        <w:rPr>
          <w:sz w:val="20"/>
          <w:szCs w:val="20"/>
          <w:color w:val="auto"/>
        </w:rPr>
      </w:pPr>
    </w:p>
    <w:p>
      <w:pPr>
        <w:ind w:left="204" w:hanging="204"/>
        <w:spacing w:after="0"/>
        <w:tabs>
          <w:tab w:leader="none" w:pos="204" w:val="left"/>
        </w:tabs>
        <w:numPr>
          <w:ilvl w:val="0"/>
          <w:numId w:val="5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The median of the annual total compensation of all employees of our company (other than our CEO), was $12,673;</w:t>
      </w:r>
    </w:p>
    <w:p>
      <w:pPr>
        <w:spacing w:after="0" w:line="107" w:lineRule="exact"/>
        <w:rPr>
          <w:rFonts w:ascii="Times New Roman" w:cs="Times New Roman" w:eastAsia="Times New Roman" w:hAnsi="Times New Roman"/>
          <w:sz w:val="24"/>
          <w:szCs w:val="24"/>
          <w:color w:val="0A9E50"/>
          <w:vertAlign w:val="superscript"/>
        </w:rPr>
      </w:pPr>
    </w:p>
    <w:p>
      <w:pPr>
        <w:ind w:left="204" w:hanging="204"/>
        <w:spacing w:after="0" w:line="181" w:lineRule="auto"/>
        <w:tabs>
          <w:tab w:leader="none" w:pos="204" w:val="left"/>
        </w:tabs>
        <w:numPr>
          <w:ilvl w:val="0"/>
          <w:numId w:val="50"/>
        </w:numPr>
        <w:rPr>
          <w:rFonts w:ascii="Times New Roman" w:cs="Times New Roman" w:eastAsia="Times New Roman" w:hAnsi="Times New Roman"/>
          <w:sz w:val="22"/>
          <w:szCs w:val="22"/>
          <w:color w:val="0A9E50"/>
          <w:vertAlign w:val="superscript"/>
        </w:rPr>
      </w:pPr>
      <w:r>
        <w:rPr>
          <w:rFonts w:ascii="Arial" w:cs="Arial" w:eastAsia="Arial" w:hAnsi="Arial"/>
          <w:sz w:val="14"/>
          <w:szCs w:val="14"/>
          <w:color w:val="auto"/>
        </w:rPr>
        <w:t>the annualized total compensation of our CEO, was $4,163,424; and</w:t>
      </w:r>
    </w:p>
    <w:p>
      <w:pPr>
        <w:spacing w:after="0" w:line="108" w:lineRule="exact"/>
        <w:rPr>
          <w:rFonts w:ascii="Times New Roman" w:cs="Times New Roman" w:eastAsia="Times New Roman" w:hAnsi="Times New Roman"/>
          <w:sz w:val="22"/>
          <w:szCs w:val="22"/>
          <w:color w:val="0A9E50"/>
          <w:vertAlign w:val="superscript"/>
        </w:rPr>
      </w:pPr>
    </w:p>
    <w:p>
      <w:pPr>
        <w:ind w:left="204" w:right="200" w:hanging="204"/>
        <w:spacing w:after="0" w:line="194" w:lineRule="auto"/>
        <w:tabs>
          <w:tab w:leader="none" w:pos="204" w:val="left"/>
        </w:tabs>
        <w:numPr>
          <w:ilvl w:val="0"/>
          <w:numId w:val="5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based on this information, the ratio of the annual total compensation for our CEO to the median of the annual total compensation of all employees is 329 to 1;</w:t>
      </w:r>
    </w:p>
    <w:p>
      <w:pPr>
        <w:spacing w:after="0" w:line="24" w:lineRule="exact"/>
        <w:rPr>
          <w:rFonts w:ascii="Times New Roman" w:cs="Times New Roman" w:eastAsia="Times New Roman" w:hAnsi="Times New Roman"/>
          <w:sz w:val="24"/>
          <w:szCs w:val="24"/>
          <w:color w:val="0A9E50"/>
          <w:vertAlign w:val="superscript"/>
        </w:rPr>
      </w:pPr>
    </w:p>
    <w:p>
      <w:pPr>
        <w:ind w:left="204" w:hanging="204"/>
        <w:spacing w:after="0"/>
        <w:tabs>
          <w:tab w:leader="none" w:pos="204" w:val="left"/>
        </w:tabs>
        <w:numPr>
          <w:ilvl w:val="0"/>
          <w:numId w:val="50"/>
        </w:numPr>
        <w:rPr>
          <w:rFonts w:ascii="Times New Roman" w:cs="Times New Roman" w:eastAsia="Times New Roman" w:hAnsi="Times New Roman"/>
          <w:sz w:val="24"/>
          <w:szCs w:val="24"/>
          <w:color w:val="0A9E50"/>
          <w:vertAlign w:val="superscript"/>
        </w:rPr>
      </w:pPr>
      <w:r>
        <w:rPr>
          <w:rFonts w:ascii="Arial" w:cs="Arial" w:eastAsia="Arial" w:hAnsi="Arial"/>
          <w:sz w:val="16"/>
          <w:szCs w:val="16"/>
          <w:color w:val="auto"/>
        </w:rPr>
        <w:t>our median employee was a temporary employee located in the U.S. and worked approximately twenty-three weeks during 2023.</w:t>
      </w:r>
    </w:p>
    <w:p>
      <w:pPr>
        <w:spacing w:after="0" w:line="109" w:lineRule="exact"/>
        <w:rPr>
          <w:rFonts w:ascii="Times New Roman" w:cs="Times New Roman" w:eastAsia="Times New Roman" w:hAnsi="Times New Roman"/>
          <w:sz w:val="24"/>
          <w:szCs w:val="24"/>
          <w:color w:val="0A9E50"/>
          <w:vertAlign w:val="superscript"/>
        </w:rPr>
      </w:pPr>
    </w:p>
    <w:p>
      <w:pPr>
        <w:ind w:left="9064" w:hanging="281"/>
        <w:spacing w:after="0"/>
        <w:tabs>
          <w:tab w:leader="none" w:pos="9064" w:val="left"/>
        </w:tabs>
        <w:numPr>
          <w:ilvl w:val="1"/>
          <w:numId w:val="50"/>
        </w:numPr>
        <w:rPr>
          <w:rFonts w:ascii="Arial" w:cs="Arial" w:eastAsia="Arial" w:hAnsi="Arial"/>
          <w:sz w:val="20"/>
          <w:szCs w:val="20"/>
          <w:color w:val="auto"/>
          <w:vertAlign w:val="subscript"/>
        </w:rPr>
      </w:pPr>
      <w:r>
        <w:rPr>
          <w:sz w:val="1"/>
          <w:szCs w:val="1"/>
          <w:color w:val="auto"/>
        </w:rPr>
        <w:drawing>
          <wp:inline distT="0" distB="0" distL="0" distR="0">
            <wp:extent cx="396240" cy="189865"/>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0"/>
          <w:szCs w:val="20"/>
          <w:color w:val="auto"/>
          <w:vertAlign w:val="subscript"/>
        </w:rPr>
        <w:t xml:space="preserve">    </w:t>
      </w:r>
      <w:r>
        <w:rPr>
          <w:rFonts w:ascii="Arial" w:cs="Arial" w:eastAsia="Arial" w:hAnsi="Arial"/>
          <w:sz w:val="20"/>
          <w:szCs w:val="20"/>
          <w:color w:val="auto"/>
        </w:rPr>
        <w:t>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6311265</wp:posOffset>
            </wp:positionH>
            <wp:positionV relativeFrom="paragraph">
              <wp:posOffset>-201930</wp:posOffset>
            </wp:positionV>
            <wp:extent cx="8255" cy="2228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04"/>
          </w:cols>
          <w:pgMar w:left="636" w:top="423" w:right="659" w:bottom="1440" w:gutter="0" w:footer="0" w:header="0"/>
        </w:sectPr>
      </w:pPr>
    </w:p>
    <w:bookmarkStart w:id="75" w:name="page76"/>
    <w:bookmarkEnd w:id="75"/>
    <w:p>
      <w:pPr>
        <w:ind w:left="4"/>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Pay vs. Performance</w:t>
      </w:r>
    </w:p>
    <w:p>
      <w:pPr>
        <w:spacing w:after="0" w:line="336" w:lineRule="exact"/>
        <w:rPr>
          <w:sz w:val="20"/>
          <w:szCs w:val="20"/>
          <w:color w:val="auto"/>
        </w:rPr>
      </w:pPr>
    </w:p>
    <w:p>
      <w:pPr>
        <w:ind w:left="4" w:right="180"/>
        <w:spacing w:after="0" w:line="288" w:lineRule="auto"/>
        <w:rPr>
          <w:sz w:val="20"/>
          <w:szCs w:val="20"/>
          <w:color w:val="auto"/>
        </w:rPr>
      </w:pPr>
      <w:r>
        <w:rPr>
          <w:rFonts w:ascii="Arial" w:cs="Arial" w:eastAsia="Arial" w:hAnsi="Arial"/>
          <w:sz w:val="14"/>
          <w:szCs w:val="14"/>
          <w:color w:val="auto"/>
        </w:rPr>
        <w:t>The following table sets forth the compensation for our Chief Executive Officer (“CEO”) and the average compensation for our other non-CEO named executive officers (“NEOs”), both as reported in the Summary Compensation Table (“SCT”) and with certain adjustments to reflect the compensation actually paid (“CAP”) to such individuals, as defined under SEC rules, for the years 2023, 2022, 2021, and 2020. The table also provides information on our cumulative total shareholder return (“TSR”) for both our Class A and Class B Common Stock; the cumulative TSR of our peer group; Net Earnings; and the Company-Selected Measure (“CSM”), Non-GAAP Adjusted Earnings from Operations (“EFO”), over such years in accordance with SEC rules.</w:t>
      </w:r>
    </w:p>
    <w:p>
      <w:pPr>
        <w:spacing w:after="0" w:line="243"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Pay vs. Performance Table</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0A9E50"/>
                <w:w w:val="97"/>
              </w:rPr>
              <w:t>Average</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3"/>
            <w:vMerge w:val="restart"/>
          </w:tcPr>
          <w:p>
            <w:pPr>
              <w:jc w:val="center"/>
              <w:ind w:left="511"/>
              <w:spacing w:after="0"/>
              <w:rPr>
                <w:sz w:val="20"/>
                <w:szCs w:val="20"/>
                <w:color w:val="auto"/>
              </w:rPr>
            </w:pPr>
            <w:r>
              <w:rPr>
                <w:rFonts w:ascii="Arial" w:cs="Arial" w:eastAsia="Arial" w:hAnsi="Arial"/>
                <w:sz w:val="14"/>
                <w:szCs w:val="14"/>
                <w:b w:val="1"/>
                <w:bCs w:val="1"/>
                <w:color w:val="0A9E50"/>
                <w:w w:val="98"/>
              </w:rPr>
              <w:t>Value of Initial Fixed $100</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9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80" w:type="dxa"/>
            <w:vAlign w:val="bottom"/>
            <w:gridSpan w:val="2"/>
            <w:vMerge w:val="restart"/>
          </w:tcPr>
          <w:p>
            <w:pPr>
              <w:jc w:val="center"/>
              <w:spacing w:after="0" w:line="156" w:lineRule="exact"/>
              <w:rPr>
                <w:sz w:val="20"/>
                <w:szCs w:val="20"/>
                <w:color w:val="auto"/>
              </w:rPr>
            </w:pPr>
            <w:r>
              <w:rPr>
                <w:rFonts w:ascii="Arial" w:cs="Arial" w:eastAsia="Arial" w:hAnsi="Arial"/>
                <w:sz w:val="14"/>
                <w:szCs w:val="14"/>
                <w:b w:val="1"/>
                <w:bCs w:val="1"/>
                <w:color w:val="0A9E50"/>
                <w:w w:val="97"/>
              </w:rPr>
              <w:t>Summary</w:t>
            </w:r>
          </w:p>
        </w:tc>
        <w:tc>
          <w:tcPr>
            <w:tcW w:w="1260" w:type="dxa"/>
            <w:vAlign w:val="bottom"/>
            <w:gridSpan w:val="2"/>
            <w:vMerge w:val="restart"/>
          </w:tcPr>
          <w:p>
            <w:pPr>
              <w:jc w:val="center"/>
              <w:ind w:right="100"/>
              <w:spacing w:after="0" w:line="156" w:lineRule="exact"/>
              <w:rPr>
                <w:sz w:val="20"/>
                <w:szCs w:val="20"/>
                <w:color w:val="auto"/>
              </w:rPr>
            </w:pPr>
            <w:r>
              <w:rPr>
                <w:rFonts w:ascii="Arial" w:cs="Arial" w:eastAsia="Arial" w:hAnsi="Arial"/>
                <w:sz w:val="14"/>
                <w:szCs w:val="14"/>
                <w:b w:val="1"/>
                <w:bCs w:val="1"/>
                <w:color w:val="0A9E50"/>
              </w:rPr>
              <w:t>Average</w:t>
            </w:r>
          </w:p>
        </w:tc>
        <w:tc>
          <w:tcPr>
            <w:tcW w:w="242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9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420" w:type="dxa"/>
            <w:vAlign w:val="bottom"/>
            <w:gridSpan w:val="3"/>
            <w:vMerge w:val="restart"/>
          </w:tcPr>
          <w:p>
            <w:pPr>
              <w:jc w:val="center"/>
              <w:ind w:left="511"/>
              <w:spacing w:after="0"/>
              <w:rPr>
                <w:sz w:val="20"/>
                <w:szCs w:val="20"/>
                <w:color w:val="auto"/>
              </w:rPr>
            </w:pPr>
            <w:r>
              <w:rPr>
                <w:rFonts w:ascii="Arial" w:cs="Arial" w:eastAsia="Arial" w:hAnsi="Arial"/>
                <w:sz w:val="14"/>
                <w:szCs w:val="14"/>
                <w:b w:val="1"/>
                <w:bCs w:val="1"/>
                <w:color w:val="0A9E50"/>
              </w:rPr>
              <w:t>Investment Based On:</w:t>
            </w: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0A9E50"/>
                <w:w w:val="97"/>
              </w:rPr>
              <w:t>Net</w:t>
            </w: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940" w:type="dxa"/>
            <w:vAlign w:val="bottom"/>
          </w:tcPr>
          <w:p>
            <w:pPr>
              <w:spacing w:after="0"/>
              <w:rPr>
                <w:sz w:val="7"/>
                <w:szCs w:val="7"/>
                <w:color w:val="auto"/>
              </w:rPr>
            </w:pPr>
          </w:p>
        </w:tc>
        <w:tc>
          <w:tcPr>
            <w:tcW w:w="1360" w:type="dxa"/>
            <w:vAlign w:val="bottom"/>
            <w:vMerge w:val="restart"/>
          </w:tcPr>
          <w:p>
            <w:pPr>
              <w:jc w:val="center"/>
              <w:ind w:left="111"/>
              <w:spacing w:after="0" w:line="143" w:lineRule="exact"/>
              <w:rPr>
                <w:sz w:val="20"/>
                <w:szCs w:val="20"/>
                <w:color w:val="auto"/>
              </w:rPr>
            </w:pPr>
            <w:r>
              <w:rPr>
                <w:rFonts w:ascii="Arial" w:cs="Arial" w:eastAsia="Arial" w:hAnsi="Arial"/>
                <w:sz w:val="14"/>
                <w:szCs w:val="14"/>
                <w:b w:val="1"/>
                <w:bCs w:val="1"/>
                <w:color w:val="0A9E50"/>
                <w:w w:val="97"/>
              </w:rPr>
              <w:t>Summary</w:t>
            </w:r>
          </w:p>
        </w:tc>
        <w:tc>
          <w:tcPr>
            <w:tcW w:w="1160" w:type="dxa"/>
            <w:vAlign w:val="bottom"/>
          </w:tcPr>
          <w:p>
            <w:pPr>
              <w:spacing w:after="0"/>
              <w:rPr>
                <w:sz w:val="7"/>
                <w:szCs w:val="7"/>
                <w:color w:val="auto"/>
              </w:rPr>
            </w:pPr>
          </w:p>
        </w:tc>
        <w:tc>
          <w:tcPr>
            <w:tcW w:w="1180" w:type="dxa"/>
            <w:vAlign w:val="bottom"/>
            <w:gridSpan w:val="2"/>
            <w:vMerge w:val="restart"/>
          </w:tcPr>
          <w:p>
            <w:pPr>
              <w:jc w:val="center"/>
              <w:spacing w:after="0" w:line="143" w:lineRule="exact"/>
              <w:rPr>
                <w:sz w:val="20"/>
                <w:szCs w:val="20"/>
                <w:color w:val="auto"/>
              </w:rPr>
            </w:pPr>
            <w:r>
              <w:rPr>
                <w:rFonts w:ascii="Arial" w:cs="Arial" w:eastAsia="Arial" w:hAnsi="Arial"/>
                <w:sz w:val="14"/>
                <w:szCs w:val="14"/>
                <w:b w:val="1"/>
                <w:bCs w:val="1"/>
                <w:color w:val="0A9E50"/>
              </w:rPr>
              <w:t>Compensation</w:t>
            </w:r>
          </w:p>
        </w:tc>
        <w:tc>
          <w:tcPr>
            <w:tcW w:w="1060" w:type="dxa"/>
            <w:vAlign w:val="bottom"/>
            <w:vMerge w:val="restart"/>
          </w:tcPr>
          <w:p>
            <w:pPr>
              <w:jc w:val="center"/>
              <w:ind w:left="34"/>
              <w:spacing w:after="0" w:line="143" w:lineRule="exact"/>
              <w:rPr>
                <w:sz w:val="20"/>
                <w:szCs w:val="20"/>
                <w:color w:val="auto"/>
              </w:rPr>
            </w:pPr>
            <w:r>
              <w:rPr>
                <w:rFonts w:ascii="Arial" w:cs="Arial" w:eastAsia="Arial" w:hAnsi="Arial"/>
                <w:sz w:val="14"/>
                <w:szCs w:val="14"/>
                <w:b w:val="1"/>
                <w:bCs w:val="1"/>
                <w:color w:val="0A9E50"/>
                <w:w w:val="98"/>
              </w:rPr>
              <w:t>Compensation</w:t>
            </w:r>
          </w:p>
        </w:tc>
        <w:tc>
          <w:tcPr>
            <w:tcW w:w="200" w:type="dxa"/>
            <w:vAlign w:val="bottom"/>
            <w:tcBorders>
              <w:bottom w:val="single" w:sz="8" w:color="auto"/>
            </w:tcBorders>
          </w:tcPr>
          <w:p>
            <w:pPr>
              <w:spacing w:after="0"/>
              <w:rPr>
                <w:sz w:val="7"/>
                <w:szCs w:val="7"/>
                <w:color w:val="auto"/>
              </w:rPr>
            </w:pPr>
          </w:p>
        </w:tc>
        <w:tc>
          <w:tcPr>
            <w:tcW w:w="2420" w:type="dxa"/>
            <w:vAlign w:val="bottom"/>
            <w:tcBorders>
              <w:bottom w:val="single" w:sz="8" w:color="auto"/>
            </w:tcBorders>
            <w:gridSpan w:val="3"/>
            <w:vMerge w:val="continue"/>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40" w:type="dxa"/>
            <w:vAlign w:val="bottom"/>
            <w:vMerge w:val="restart"/>
          </w:tcPr>
          <w:p>
            <w:pPr>
              <w:jc w:val="center"/>
              <w:ind w:left="12"/>
              <w:spacing w:after="0" w:line="143" w:lineRule="exact"/>
              <w:rPr>
                <w:sz w:val="20"/>
                <w:szCs w:val="20"/>
                <w:color w:val="auto"/>
              </w:rPr>
            </w:pPr>
            <w:r>
              <w:rPr>
                <w:rFonts w:ascii="Arial" w:cs="Arial" w:eastAsia="Arial" w:hAnsi="Arial"/>
                <w:sz w:val="14"/>
                <w:szCs w:val="14"/>
                <w:b w:val="1"/>
                <w:bCs w:val="1"/>
                <w:color w:val="0A9E50"/>
                <w:w w:val="98"/>
              </w:rPr>
              <w:t>CSM::</w:t>
            </w:r>
          </w:p>
        </w:tc>
        <w:tc>
          <w:tcPr>
            <w:tcW w:w="0" w:type="dxa"/>
            <w:vAlign w:val="bottom"/>
          </w:tcPr>
          <w:p>
            <w:pPr>
              <w:spacing w:after="0"/>
              <w:rPr>
                <w:sz w:val="1"/>
                <w:szCs w:val="1"/>
                <w:color w:val="auto"/>
              </w:rPr>
            </w:pPr>
          </w:p>
        </w:tc>
      </w:tr>
      <w:tr>
        <w:trPr>
          <w:trHeight w:val="36"/>
        </w:trPr>
        <w:tc>
          <w:tcPr>
            <w:tcW w:w="94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tcPr>
          <w:p>
            <w:pPr>
              <w:spacing w:after="0"/>
              <w:rPr>
                <w:sz w:val="13"/>
                <w:szCs w:val="13"/>
                <w:color w:val="auto"/>
              </w:rPr>
            </w:pPr>
          </w:p>
        </w:tc>
        <w:tc>
          <w:tcPr>
            <w:tcW w:w="1360" w:type="dxa"/>
            <w:vAlign w:val="bottom"/>
          </w:tcPr>
          <w:p>
            <w:pPr>
              <w:jc w:val="right"/>
              <w:ind w:right="51"/>
              <w:spacing w:after="0" w:line="156" w:lineRule="exact"/>
              <w:rPr>
                <w:sz w:val="20"/>
                <w:szCs w:val="20"/>
                <w:color w:val="auto"/>
              </w:rPr>
            </w:pPr>
            <w:r>
              <w:rPr>
                <w:rFonts w:ascii="Arial" w:cs="Arial" w:eastAsia="Arial" w:hAnsi="Arial"/>
                <w:sz w:val="14"/>
                <w:szCs w:val="14"/>
                <w:b w:val="1"/>
                <w:bCs w:val="1"/>
                <w:color w:val="0A9E50"/>
              </w:rPr>
              <w:t>Compensation</w:t>
            </w:r>
          </w:p>
        </w:tc>
        <w:tc>
          <w:tcPr>
            <w:tcW w:w="1160" w:type="dxa"/>
            <w:vAlign w:val="bottom"/>
          </w:tcPr>
          <w:p>
            <w:pPr>
              <w:jc w:val="right"/>
              <w:ind w:right="35"/>
              <w:spacing w:after="0" w:line="156" w:lineRule="exact"/>
              <w:rPr>
                <w:sz w:val="20"/>
                <w:szCs w:val="20"/>
                <w:color w:val="auto"/>
              </w:rPr>
            </w:pPr>
            <w:r>
              <w:rPr>
                <w:rFonts w:ascii="Arial" w:cs="Arial" w:eastAsia="Arial" w:hAnsi="Arial"/>
                <w:sz w:val="14"/>
                <w:szCs w:val="14"/>
                <w:b w:val="1"/>
                <w:bCs w:val="1"/>
                <w:color w:val="0A9E50"/>
              </w:rPr>
              <w:t>Compensation</w:t>
            </w:r>
          </w:p>
        </w:tc>
        <w:tc>
          <w:tcPr>
            <w:tcW w:w="118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0A9E50"/>
                <w:w w:val="97"/>
              </w:rPr>
              <w:t>Table Total for</w:t>
            </w:r>
          </w:p>
        </w:tc>
        <w:tc>
          <w:tcPr>
            <w:tcW w:w="126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0A9E50"/>
              </w:rPr>
              <w:t>Actually Paid</w:t>
            </w:r>
          </w:p>
        </w:tc>
        <w:tc>
          <w:tcPr>
            <w:tcW w:w="1120" w:type="dxa"/>
            <w:vAlign w:val="bottom"/>
            <w:vMerge w:val="restart"/>
          </w:tcPr>
          <w:p>
            <w:pPr>
              <w:jc w:val="center"/>
              <w:ind w:right="51"/>
              <w:spacing w:after="0"/>
              <w:rPr>
                <w:sz w:val="20"/>
                <w:szCs w:val="20"/>
                <w:color w:val="auto"/>
              </w:rPr>
            </w:pPr>
            <w:r>
              <w:rPr>
                <w:rFonts w:ascii="Arial" w:cs="Arial" w:eastAsia="Arial" w:hAnsi="Arial"/>
                <w:sz w:val="14"/>
                <w:szCs w:val="14"/>
                <w:b w:val="1"/>
                <w:bCs w:val="1"/>
                <w:color w:val="0A9E50"/>
                <w:w w:val="99"/>
              </w:rPr>
              <w:t>TSR</w:t>
            </w:r>
          </w:p>
        </w:tc>
        <w:tc>
          <w:tcPr>
            <w:tcW w:w="440" w:type="dxa"/>
            <w:vAlign w:val="bottom"/>
          </w:tcPr>
          <w:p>
            <w:pPr>
              <w:spacing w:after="0"/>
              <w:rPr>
                <w:sz w:val="13"/>
                <w:szCs w:val="13"/>
                <w:color w:val="auto"/>
              </w:rPr>
            </w:pPr>
          </w:p>
        </w:tc>
        <w:tc>
          <w:tcPr>
            <w:tcW w:w="860" w:type="dxa"/>
            <w:vAlign w:val="bottom"/>
            <w:vMerge w:val="restart"/>
          </w:tcPr>
          <w:p>
            <w:pPr>
              <w:jc w:val="center"/>
              <w:ind w:right="471"/>
              <w:spacing w:after="0"/>
              <w:rPr>
                <w:sz w:val="20"/>
                <w:szCs w:val="20"/>
                <w:color w:val="auto"/>
              </w:rPr>
            </w:pPr>
            <w:r>
              <w:rPr>
                <w:rFonts w:ascii="Arial" w:cs="Arial" w:eastAsia="Arial" w:hAnsi="Arial"/>
                <w:sz w:val="14"/>
                <w:szCs w:val="14"/>
                <w:b w:val="1"/>
                <w:bCs w:val="1"/>
                <w:color w:val="0A9E50"/>
                <w:w w:val="99"/>
              </w:rPr>
              <w:t>TSR</w:t>
            </w:r>
          </w:p>
        </w:tc>
        <w:tc>
          <w:tcPr>
            <w:tcW w:w="6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0A9E50"/>
                <w:w w:val="98"/>
              </w:rPr>
              <w:t>Peer</w:t>
            </w:r>
          </w:p>
        </w:tc>
        <w:tc>
          <w:tcPr>
            <w:tcW w:w="780" w:type="dxa"/>
            <w:vAlign w:val="bottom"/>
          </w:tcPr>
          <w:p>
            <w:pPr>
              <w:jc w:val="center"/>
              <w:spacing w:after="0" w:line="156" w:lineRule="exact"/>
              <w:rPr>
                <w:sz w:val="20"/>
                <w:szCs w:val="20"/>
                <w:color w:val="auto"/>
              </w:rPr>
            </w:pPr>
            <w:r>
              <w:rPr>
                <w:rFonts w:ascii="Arial" w:cs="Arial" w:eastAsia="Arial" w:hAnsi="Arial"/>
                <w:sz w:val="14"/>
                <w:szCs w:val="14"/>
                <w:b w:val="1"/>
                <w:bCs w:val="1"/>
                <w:color w:val="0A9E50"/>
                <w:w w:val="96"/>
              </w:rPr>
              <w:t>Earnings</w:t>
            </w:r>
          </w:p>
        </w:tc>
        <w:tc>
          <w:tcPr>
            <w:tcW w:w="840" w:type="dxa"/>
            <w:vAlign w:val="bottom"/>
          </w:tcPr>
          <w:p>
            <w:pPr>
              <w:jc w:val="center"/>
              <w:ind w:left="12"/>
              <w:spacing w:after="0" w:line="156" w:lineRule="exact"/>
              <w:rPr>
                <w:sz w:val="20"/>
                <w:szCs w:val="20"/>
                <w:color w:val="auto"/>
              </w:rPr>
            </w:pPr>
            <w:r>
              <w:rPr>
                <w:rFonts w:ascii="Arial" w:cs="Arial" w:eastAsia="Arial" w:hAnsi="Arial"/>
                <w:sz w:val="14"/>
                <w:szCs w:val="14"/>
                <w:b w:val="1"/>
                <w:bCs w:val="1"/>
                <w:color w:val="0A9E50"/>
                <w:w w:val="99"/>
              </w:rPr>
              <w:t>Non-GAAP</w:t>
            </w:r>
          </w:p>
        </w:tc>
        <w:tc>
          <w:tcPr>
            <w:tcW w:w="0" w:type="dxa"/>
            <w:vAlign w:val="bottom"/>
          </w:tcPr>
          <w:p>
            <w:pPr>
              <w:spacing w:after="0"/>
              <w:rPr>
                <w:sz w:val="1"/>
                <w:szCs w:val="1"/>
                <w:color w:val="auto"/>
              </w:rPr>
            </w:pPr>
          </w:p>
        </w:tc>
      </w:tr>
      <w:tr>
        <w:trPr>
          <w:trHeight w:val="91"/>
        </w:trPr>
        <w:tc>
          <w:tcPr>
            <w:tcW w:w="940" w:type="dxa"/>
            <w:vAlign w:val="bottom"/>
          </w:tcPr>
          <w:p>
            <w:pPr>
              <w:spacing w:after="0"/>
              <w:rPr>
                <w:sz w:val="7"/>
                <w:szCs w:val="7"/>
                <w:color w:val="auto"/>
              </w:rPr>
            </w:pPr>
          </w:p>
        </w:tc>
        <w:tc>
          <w:tcPr>
            <w:tcW w:w="1360" w:type="dxa"/>
            <w:vAlign w:val="bottom"/>
            <w:vMerge w:val="restart"/>
          </w:tcPr>
          <w:p>
            <w:pPr>
              <w:jc w:val="center"/>
              <w:ind w:left="91"/>
              <w:spacing w:after="0"/>
              <w:rPr>
                <w:sz w:val="20"/>
                <w:szCs w:val="20"/>
                <w:color w:val="auto"/>
              </w:rPr>
            </w:pPr>
            <w:r>
              <w:rPr>
                <w:rFonts w:ascii="Arial" w:cs="Arial" w:eastAsia="Arial" w:hAnsi="Arial"/>
                <w:sz w:val="14"/>
                <w:szCs w:val="14"/>
                <w:b w:val="1"/>
                <w:bCs w:val="1"/>
                <w:color w:val="0A9E50"/>
                <w:w w:val="96"/>
              </w:rPr>
              <w:t>Table Total to</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0A9E50"/>
              </w:rPr>
              <w:t>Actually Paid</w:t>
            </w: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A9E50"/>
                <w:w w:val="99"/>
              </w:rPr>
              <w:t>Non-CEO</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0A9E50"/>
              </w:rPr>
              <w:t>to Non-CEO</w:t>
            </w:r>
          </w:p>
        </w:tc>
        <w:tc>
          <w:tcPr>
            <w:tcW w:w="11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0A9E50"/>
                <w:w w:val="99"/>
              </w:rPr>
              <w:t>(Loss) in</w:t>
            </w:r>
          </w:p>
        </w:tc>
        <w:tc>
          <w:tcPr>
            <w:tcW w:w="84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0A9E50"/>
                <w:w w:val="97"/>
              </w:rPr>
              <w:t>Adj EFO in</w:t>
            </w:r>
          </w:p>
        </w:tc>
        <w:tc>
          <w:tcPr>
            <w:tcW w:w="0" w:type="dxa"/>
            <w:vAlign w:val="bottom"/>
          </w:tcPr>
          <w:p>
            <w:pPr>
              <w:spacing w:after="0"/>
              <w:rPr>
                <w:sz w:val="1"/>
                <w:szCs w:val="1"/>
                <w:color w:val="auto"/>
              </w:rPr>
            </w:pPr>
          </w:p>
        </w:tc>
      </w:tr>
      <w:tr>
        <w:trPr>
          <w:trHeight w:val="87"/>
        </w:trPr>
        <w:tc>
          <w:tcPr>
            <w:tcW w:w="9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0A9E50"/>
              </w:rPr>
              <w:t>Year</w:t>
            </w:r>
          </w:p>
        </w:tc>
        <w:tc>
          <w:tcPr>
            <w:tcW w:w="13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120" w:type="dxa"/>
            <w:vAlign w:val="bottom"/>
            <w:vMerge w:val="restart"/>
          </w:tcPr>
          <w:p>
            <w:pPr>
              <w:jc w:val="center"/>
              <w:ind w:right="51"/>
              <w:spacing w:after="0"/>
              <w:rPr>
                <w:sz w:val="20"/>
                <w:szCs w:val="20"/>
                <w:color w:val="auto"/>
              </w:rPr>
            </w:pPr>
            <w:r>
              <w:rPr>
                <w:rFonts w:ascii="Arial" w:cs="Arial" w:eastAsia="Arial" w:hAnsi="Arial"/>
                <w:sz w:val="14"/>
                <w:szCs w:val="14"/>
                <w:b w:val="1"/>
                <w:bCs w:val="1"/>
                <w:color w:val="0A9E50"/>
                <w:w w:val="98"/>
              </w:rPr>
              <w:t>(Class A)</w:t>
            </w:r>
          </w:p>
        </w:tc>
        <w:tc>
          <w:tcPr>
            <w:tcW w:w="1300" w:type="dxa"/>
            <w:vAlign w:val="bottom"/>
            <w:gridSpan w:val="2"/>
            <w:vMerge w:val="restart"/>
          </w:tcPr>
          <w:p>
            <w:pPr>
              <w:jc w:val="center"/>
              <w:ind w:right="31"/>
              <w:spacing w:after="0"/>
              <w:rPr>
                <w:sz w:val="20"/>
                <w:szCs w:val="20"/>
                <w:color w:val="auto"/>
              </w:rPr>
            </w:pPr>
            <w:r>
              <w:rPr>
                <w:rFonts w:ascii="Arial" w:cs="Arial" w:eastAsia="Arial" w:hAnsi="Arial"/>
                <w:sz w:val="14"/>
                <w:szCs w:val="14"/>
                <w:b w:val="1"/>
                <w:bCs w:val="1"/>
                <w:color w:val="0A9E50"/>
                <w:w w:val="98"/>
              </w:rPr>
              <w:t>(Class B)</w:t>
            </w:r>
          </w:p>
        </w:tc>
        <w:tc>
          <w:tcPr>
            <w:tcW w:w="380" w:type="dxa"/>
            <w:vAlign w:val="bottom"/>
            <w:vMerge w:val="restart"/>
          </w:tcPr>
          <w:p>
            <w:pPr>
              <w:ind w:left="120"/>
              <w:spacing w:after="0"/>
              <w:rPr>
                <w:sz w:val="20"/>
                <w:szCs w:val="20"/>
                <w:color w:val="auto"/>
              </w:rPr>
            </w:pPr>
            <w:r>
              <w:rPr>
                <w:rFonts w:ascii="Arial" w:cs="Arial" w:eastAsia="Arial" w:hAnsi="Arial"/>
                <w:sz w:val="14"/>
                <w:szCs w:val="14"/>
                <w:b w:val="1"/>
                <w:bCs w:val="1"/>
                <w:color w:val="0A9E50"/>
                <w:w w:val="85"/>
              </w:rPr>
              <w:t>TSR</w:t>
            </w:r>
          </w:p>
        </w:tc>
        <w:tc>
          <w:tcPr>
            <w:tcW w:w="200" w:type="dxa"/>
            <w:vAlign w:val="bottom"/>
          </w:tcPr>
          <w:p>
            <w:pPr>
              <w:jc w:val="right"/>
              <w:ind w:right="37"/>
              <w:spacing w:after="0" w:line="88" w:lineRule="exact"/>
              <w:rPr>
                <w:sz w:val="20"/>
                <w:szCs w:val="20"/>
                <w:color w:val="auto"/>
              </w:rPr>
            </w:pPr>
            <w:r>
              <w:rPr>
                <w:rFonts w:ascii="Arial" w:cs="Arial" w:eastAsia="Arial" w:hAnsi="Arial"/>
                <w:sz w:val="9"/>
                <w:szCs w:val="9"/>
                <w:b w:val="1"/>
                <w:bCs w:val="1"/>
                <w:color w:val="0A9E50"/>
                <w:w w:val="90"/>
              </w:rPr>
              <w:t>(3)</w:t>
            </w: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40" w:type="dxa"/>
            <w:vAlign w:val="bottom"/>
            <w:vMerge w:val="continue"/>
          </w:tcPr>
          <w:p>
            <w:pPr>
              <w:spacing w:after="0"/>
              <w:rPr>
                <w:sz w:val="11"/>
                <w:szCs w:val="11"/>
                <w:color w:val="auto"/>
              </w:rPr>
            </w:pPr>
          </w:p>
        </w:tc>
        <w:tc>
          <w:tcPr>
            <w:tcW w:w="1360" w:type="dxa"/>
            <w:vAlign w:val="bottom"/>
          </w:tcPr>
          <w:p>
            <w:pPr>
              <w:jc w:val="center"/>
              <w:ind w:left="111"/>
              <w:spacing w:after="0" w:line="130" w:lineRule="exact"/>
              <w:rPr>
                <w:sz w:val="20"/>
                <w:szCs w:val="20"/>
                <w:color w:val="auto"/>
              </w:rPr>
            </w:pPr>
            <w:r>
              <w:rPr>
                <w:rFonts w:ascii="Arial" w:cs="Arial" w:eastAsia="Arial" w:hAnsi="Arial"/>
                <w:sz w:val="14"/>
                <w:szCs w:val="14"/>
                <w:b w:val="1"/>
                <w:bCs w:val="1"/>
                <w:color w:val="0A9E50"/>
                <w:w w:val="98"/>
              </w:rPr>
              <w:t>CEO</w:t>
            </w:r>
          </w:p>
        </w:tc>
        <w:tc>
          <w:tcPr>
            <w:tcW w:w="1160" w:type="dxa"/>
            <w:vAlign w:val="bottom"/>
          </w:tcPr>
          <w:p>
            <w:pPr>
              <w:jc w:val="center"/>
              <w:spacing w:after="0" w:line="131" w:lineRule="exact"/>
              <w:rPr>
                <w:sz w:val="20"/>
                <w:szCs w:val="20"/>
                <w:color w:val="auto"/>
              </w:rPr>
            </w:pPr>
            <w:r>
              <w:rPr>
                <w:rFonts w:ascii="Arial" w:cs="Arial" w:eastAsia="Arial" w:hAnsi="Arial"/>
                <w:sz w:val="15"/>
                <w:szCs w:val="15"/>
                <w:b w:val="1"/>
                <w:bCs w:val="1"/>
                <w:color w:val="0A9E50"/>
                <w:vertAlign w:val="subscript"/>
              </w:rPr>
              <w:t>CEO</w:t>
            </w:r>
            <w:r>
              <w:rPr>
                <w:rFonts w:ascii="Arial" w:cs="Arial" w:eastAsia="Arial" w:hAnsi="Arial"/>
                <w:sz w:val="7"/>
                <w:szCs w:val="7"/>
                <w:b w:val="1"/>
                <w:bCs w:val="1"/>
                <w:color w:val="0A9E50"/>
              </w:rPr>
              <w:t>(1)(2)</w:t>
            </w:r>
          </w:p>
        </w:tc>
        <w:tc>
          <w:tcPr>
            <w:tcW w:w="11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0A9E50"/>
                <w:w w:val="99"/>
              </w:rPr>
              <w:t>NEOs</w:t>
            </w:r>
          </w:p>
        </w:tc>
        <w:tc>
          <w:tcPr>
            <w:tcW w:w="1260" w:type="dxa"/>
            <w:vAlign w:val="bottom"/>
            <w:gridSpan w:val="2"/>
          </w:tcPr>
          <w:p>
            <w:pPr>
              <w:jc w:val="center"/>
              <w:ind w:right="100"/>
              <w:spacing w:after="0" w:line="131" w:lineRule="exact"/>
              <w:rPr>
                <w:sz w:val="20"/>
                <w:szCs w:val="20"/>
                <w:color w:val="auto"/>
              </w:rPr>
            </w:pPr>
            <w:r>
              <w:rPr>
                <w:rFonts w:ascii="Arial" w:cs="Arial" w:eastAsia="Arial" w:hAnsi="Arial"/>
                <w:sz w:val="15"/>
                <w:szCs w:val="15"/>
                <w:b w:val="1"/>
                <w:bCs w:val="1"/>
                <w:color w:val="0A9E50"/>
                <w:vertAlign w:val="subscript"/>
              </w:rPr>
              <w:t>NEOs</w:t>
            </w:r>
            <w:r>
              <w:rPr>
                <w:rFonts w:ascii="Arial" w:cs="Arial" w:eastAsia="Arial" w:hAnsi="Arial"/>
                <w:sz w:val="7"/>
                <w:szCs w:val="7"/>
                <w:b w:val="1"/>
                <w:bCs w:val="1"/>
                <w:color w:val="0A9E50"/>
              </w:rPr>
              <w:t>(1)(2)</w:t>
            </w:r>
          </w:p>
        </w:tc>
        <w:tc>
          <w:tcPr>
            <w:tcW w:w="112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spacing w:after="0" w:line="130" w:lineRule="exact"/>
              <w:rPr>
                <w:sz w:val="20"/>
                <w:szCs w:val="20"/>
                <w:color w:val="auto"/>
              </w:rPr>
            </w:pPr>
            <w:r>
              <w:rPr>
                <w:rFonts w:ascii="Arial" w:cs="Arial" w:eastAsia="Arial" w:hAnsi="Arial"/>
                <w:sz w:val="14"/>
                <w:szCs w:val="14"/>
                <w:b w:val="1"/>
                <w:bCs w:val="1"/>
                <w:color w:val="0A9E50"/>
              </w:rPr>
              <w:t>millions</w:t>
            </w:r>
          </w:p>
        </w:tc>
        <w:tc>
          <w:tcPr>
            <w:tcW w:w="840" w:type="dxa"/>
            <w:vAlign w:val="bottom"/>
          </w:tcPr>
          <w:p>
            <w:pPr>
              <w:jc w:val="center"/>
              <w:ind w:left="32"/>
              <w:spacing w:after="0" w:line="131" w:lineRule="exact"/>
              <w:rPr>
                <w:sz w:val="20"/>
                <w:szCs w:val="20"/>
                <w:color w:val="auto"/>
              </w:rPr>
            </w:pPr>
            <w:r>
              <w:rPr>
                <w:rFonts w:ascii="Arial" w:cs="Arial" w:eastAsia="Arial" w:hAnsi="Arial"/>
                <w:sz w:val="12"/>
                <w:szCs w:val="12"/>
                <w:b w:val="1"/>
                <w:bCs w:val="1"/>
                <w:color w:val="0A9E50"/>
              </w:rPr>
              <w:t>millions</w:t>
            </w:r>
            <w:r>
              <w:rPr>
                <w:rFonts w:ascii="Arial" w:cs="Arial" w:eastAsia="Arial" w:hAnsi="Arial"/>
                <w:sz w:val="15"/>
                <w:szCs w:val="15"/>
                <w:b w:val="1"/>
                <w:bCs w:val="1"/>
                <w:color w:val="0A9E50"/>
                <w:vertAlign w:val="superscript"/>
              </w:rPr>
              <w:t>(4)</w:t>
            </w:r>
          </w:p>
        </w:tc>
        <w:tc>
          <w:tcPr>
            <w:tcW w:w="0" w:type="dxa"/>
            <w:vAlign w:val="bottom"/>
          </w:tcPr>
          <w:p>
            <w:pPr>
              <w:spacing w:after="0"/>
              <w:rPr>
                <w:sz w:val="1"/>
                <w:szCs w:val="1"/>
                <w:color w:val="auto"/>
              </w:rPr>
            </w:pPr>
          </w:p>
        </w:tc>
      </w:tr>
      <w:tr>
        <w:trPr>
          <w:trHeight w:val="156"/>
        </w:trPr>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0A9E50"/>
              </w:rPr>
              <w:t>(a)</w:t>
            </w:r>
          </w:p>
        </w:tc>
        <w:tc>
          <w:tcPr>
            <w:tcW w:w="1360" w:type="dxa"/>
            <w:vAlign w:val="bottom"/>
            <w:vMerge w:val="restart"/>
          </w:tcPr>
          <w:p>
            <w:pPr>
              <w:jc w:val="center"/>
              <w:ind w:left="111"/>
              <w:spacing w:after="0"/>
              <w:rPr>
                <w:sz w:val="20"/>
                <w:szCs w:val="20"/>
                <w:color w:val="auto"/>
              </w:rPr>
            </w:pPr>
            <w:r>
              <w:rPr>
                <w:rFonts w:ascii="Arial" w:cs="Arial" w:eastAsia="Arial" w:hAnsi="Arial"/>
                <w:sz w:val="14"/>
                <w:szCs w:val="14"/>
                <w:b w:val="1"/>
                <w:bCs w:val="1"/>
                <w:color w:val="0A9E50"/>
              </w:rPr>
              <w:t>(b)</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0A9E50"/>
                <w:w w:val="93"/>
              </w:rPr>
              <w:t>(c)</w:t>
            </w:r>
          </w:p>
        </w:tc>
        <w:tc>
          <w:tcPr>
            <w:tcW w:w="460" w:type="dxa"/>
            <w:vAlign w:val="bottom"/>
          </w:tcPr>
          <w:p>
            <w:pPr>
              <w:spacing w:after="0"/>
              <w:rPr>
                <w:sz w:val="13"/>
                <w:szCs w:val="13"/>
                <w:color w:val="auto"/>
              </w:rPr>
            </w:pPr>
          </w:p>
        </w:tc>
        <w:tc>
          <w:tcPr>
            <w:tcW w:w="720" w:type="dxa"/>
            <w:vAlign w:val="bottom"/>
            <w:vMerge w:val="restart"/>
          </w:tcPr>
          <w:p>
            <w:pPr>
              <w:jc w:val="center"/>
              <w:ind w:right="391"/>
              <w:spacing w:after="0"/>
              <w:rPr>
                <w:sz w:val="20"/>
                <w:szCs w:val="20"/>
                <w:color w:val="auto"/>
              </w:rPr>
            </w:pPr>
            <w:r>
              <w:rPr>
                <w:rFonts w:ascii="Arial" w:cs="Arial" w:eastAsia="Arial" w:hAnsi="Arial"/>
                <w:sz w:val="14"/>
                <w:szCs w:val="14"/>
                <w:b w:val="1"/>
                <w:bCs w:val="1"/>
                <w:color w:val="0A9E50"/>
              </w:rPr>
              <w:t>(d)</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0A9E50"/>
                <w:w w:val="93"/>
              </w:rPr>
              <w:t>(e)</w:t>
            </w:r>
          </w:p>
        </w:tc>
        <w:tc>
          <w:tcPr>
            <w:tcW w:w="1120" w:type="dxa"/>
            <w:vAlign w:val="bottom"/>
          </w:tcPr>
          <w:p>
            <w:pPr>
              <w:jc w:val="center"/>
              <w:ind w:right="31"/>
              <w:spacing w:after="0" w:line="156" w:lineRule="exact"/>
              <w:rPr>
                <w:sz w:val="20"/>
                <w:szCs w:val="20"/>
                <w:color w:val="auto"/>
              </w:rPr>
            </w:pPr>
            <w:r>
              <w:rPr>
                <w:rFonts w:ascii="Arial" w:cs="Arial" w:eastAsia="Arial" w:hAnsi="Arial"/>
                <w:sz w:val="14"/>
                <w:szCs w:val="14"/>
                <w:b w:val="1"/>
                <w:bCs w:val="1"/>
                <w:color w:val="0A9E50"/>
                <w:w w:val="99"/>
              </w:rPr>
              <w:t>(f)</w:t>
            </w:r>
          </w:p>
        </w:tc>
        <w:tc>
          <w:tcPr>
            <w:tcW w:w="440" w:type="dxa"/>
            <w:vAlign w:val="bottom"/>
          </w:tcPr>
          <w:p>
            <w:pPr>
              <w:spacing w:after="0"/>
              <w:rPr>
                <w:sz w:val="13"/>
                <w:szCs w:val="13"/>
                <w:color w:val="auto"/>
              </w:rPr>
            </w:pPr>
          </w:p>
        </w:tc>
        <w:tc>
          <w:tcPr>
            <w:tcW w:w="860" w:type="dxa"/>
            <w:vAlign w:val="bottom"/>
          </w:tcPr>
          <w:p>
            <w:pPr>
              <w:jc w:val="center"/>
              <w:ind w:right="451"/>
              <w:spacing w:after="0" w:line="156" w:lineRule="exact"/>
              <w:rPr>
                <w:sz w:val="20"/>
                <w:szCs w:val="20"/>
                <w:color w:val="auto"/>
              </w:rPr>
            </w:pPr>
            <w:r>
              <w:rPr>
                <w:rFonts w:ascii="Arial" w:cs="Arial" w:eastAsia="Arial" w:hAnsi="Arial"/>
                <w:sz w:val="14"/>
                <w:szCs w:val="14"/>
                <w:b w:val="1"/>
                <w:bCs w:val="1"/>
                <w:color w:val="0A9E50"/>
              </w:rPr>
              <w:t>(g)</w:t>
            </w:r>
          </w:p>
        </w:tc>
        <w:tc>
          <w:tcPr>
            <w:tcW w:w="680" w:type="dxa"/>
            <w:vAlign w:val="bottom"/>
            <w:gridSpan w:val="3"/>
          </w:tcPr>
          <w:p>
            <w:pPr>
              <w:jc w:val="center"/>
              <w:ind w:right="60"/>
              <w:spacing w:after="0" w:line="156" w:lineRule="exact"/>
              <w:rPr>
                <w:sz w:val="20"/>
                <w:szCs w:val="20"/>
                <w:color w:val="auto"/>
              </w:rPr>
            </w:pPr>
            <w:r>
              <w:rPr>
                <w:rFonts w:ascii="Arial" w:cs="Arial" w:eastAsia="Arial" w:hAnsi="Arial"/>
                <w:sz w:val="14"/>
                <w:szCs w:val="14"/>
                <w:b w:val="1"/>
                <w:bCs w:val="1"/>
                <w:color w:val="0A9E50"/>
              </w:rPr>
              <w:t>(h)</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0A9E50"/>
              </w:rPr>
              <w:t>(i)</w:t>
            </w:r>
          </w:p>
        </w:tc>
        <w:tc>
          <w:tcPr>
            <w:tcW w:w="84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0A9E50"/>
              </w:rPr>
              <w:t>(j)</w:t>
            </w:r>
          </w:p>
        </w:tc>
        <w:tc>
          <w:tcPr>
            <w:tcW w:w="0" w:type="dxa"/>
            <w:vAlign w:val="bottom"/>
          </w:tcPr>
          <w:p>
            <w:pPr>
              <w:spacing w:after="0"/>
              <w:rPr>
                <w:sz w:val="1"/>
                <w:szCs w:val="1"/>
                <w:color w:val="auto"/>
              </w:rPr>
            </w:pPr>
          </w:p>
        </w:tc>
      </w:tr>
      <w:tr>
        <w:trPr>
          <w:trHeight w:val="26"/>
        </w:trPr>
        <w:tc>
          <w:tcPr>
            <w:tcW w:w="940" w:type="dxa"/>
            <w:vAlign w:val="bottom"/>
            <w:tcBorders>
              <w:bottom w:val="single" w:sz="8" w:color="auto"/>
            </w:tcBorders>
            <w:vMerge w:val="continue"/>
          </w:tcPr>
          <w:p>
            <w:pPr>
              <w:spacing w:after="0"/>
              <w:rPr>
                <w:sz w:val="2"/>
                <w:szCs w:val="2"/>
                <w:color w:val="auto"/>
              </w:rPr>
            </w:pPr>
          </w:p>
        </w:tc>
        <w:tc>
          <w:tcPr>
            <w:tcW w:w="1360" w:type="dxa"/>
            <w:vAlign w:val="bottom"/>
            <w:tcBorders>
              <w:bottom w:val="single" w:sz="8" w:color="auto"/>
            </w:tcBorders>
            <w:vMerge w:val="continue"/>
          </w:tcPr>
          <w:p>
            <w:pPr>
              <w:spacing w:after="0"/>
              <w:rPr>
                <w:sz w:val="2"/>
                <w:szCs w:val="2"/>
                <w:color w:val="auto"/>
              </w:rPr>
            </w:pPr>
          </w:p>
        </w:tc>
        <w:tc>
          <w:tcPr>
            <w:tcW w:w="1160" w:type="dxa"/>
            <w:vAlign w:val="bottom"/>
            <w:tcBorders>
              <w:bottom w:val="single" w:sz="8" w:color="auto"/>
            </w:tcBorders>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260" w:type="dxa"/>
            <w:vAlign w:val="bottom"/>
            <w:tcBorders>
              <w:bottom w:val="single" w:sz="8" w:color="auto"/>
            </w:tcBorders>
            <w:gridSpan w:val="2"/>
            <w:vMerge w:val="continue"/>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vMerge w:val="continue"/>
          </w:tcPr>
          <w:p>
            <w:pPr>
              <w:spacing w:after="0"/>
              <w:rPr>
                <w:sz w:val="2"/>
                <w:szCs w:val="2"/>
                <w:color w:val="auto"/>
              </w:rPr>
            </w:pPr>
          </w:p>
        </w:tc>
        <w:tc>
          <w:tcPr>
            <w:tcW w:w="84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940" w:type="dxa"/>
            <w:vAlign w:val="bottom"/>
          </w:tcPr>
          <w:p>
            <w:pPr>
              <w:jc w:val="right"/>
              <w:ind w:right="491"/>
              <w:spacing w:after="0"/>
              <w:rPr>
                <w:sz w:val="20"/>
                <w:szCs w:val="20"/>
                <w:color w:val="auto"/>
              </w:rPr>
            </w:pPr>
            <w:r>
              <w:rPr>
                <w:rFonts w:ascii="Arial" w:cs="Arial" w:eastAsia="Arial" w:hAnsi="Arial"/>
                <w:sz w:val="14"/>
                <w:szCs w:val="14"/>
                <w:color w:val="auto"/>
              </w:rPr>
              <w:t>2023</w:t>
            </w:r>
          </w:p>
        </w:tc>
        <w:tc>
          <w:tcPr>
            <w:tcW w:w="1360" w:type="dxa"/>
            <w:vAlign w:val="bottom"/>
          </w:tcPr>
          <w:p>
            <w:pPr>
              <w:jc w:val="right"/>
              <w:ind w:right="31"/>
              <w:spacing w:after="0"/>
              <w:rPr>
                <w:sz w:val="20"/>
                <w:szCs w:val="20"/>
                <w:color w:val="auto"/>
              </w:rPr>
            </w:pPr>
            <w:r>
              <w:rPr>
                <w:rFonts w:ascii="Arial" w:cs="Arial" w:eastAsia="Arial" w:hAnsi="Arial"/>
                <w:sz w:val="14"/>
                <w:szCs w:val="14"/>
                <w:color w:val="auto"/>
              </w:rPr>
              <w:t>$4,163,424</w:t>
            </w:r>
          </w:p>
        </w:tc>
        <w:tc>
          <w:tcPr>
            <w:tcW w:w="1160" w:type="dxa"/>
            <w:vAlign w:val="bottom"/>
          </w:tcPr>
          <w:p>
            <w:pPr>
              <w:jc w:val="right"/>
              <w:ind w:right="35"/>
              <w:spacing w:after="0"/>
              <w:rPr>
                <w:sz w:val="20"/>
                <w:szCs w:val="20"/>
                <w:color w:val="auto"/>
              </w:rPr>
            </w:pPr>
            <w:r>
              <w:rPr>
                <w:rFonts w:ascii="Arial" w:cs="Arial" w:eastAsia="Arial" w:hAnsi="Arial"/>
                <w:sz w:val="14"/>
                <w:szCs w:val="14"/>
                <w:color w:val="auto"/>
              </w:rPr>
              <w:t>$4,313,597</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w w:val="96"/>
              </w:rPr>
              <w:t>1,407,120</w:t>
            </w:r>
          </w:p>
        </w:tc>
        <w:tc>
          <w:tcPr>
            <w:tcW w:w="1060" w:type="dxa"/>
            <w:vAlign w:val="bottom"/>
          </w:tcPr>
          <w:p>
            <w:pPr>
              <w:ind w:left="360"/>
              <w:spacing w:after="0"/>
              <w:rPr>
                <w:sz w:val="20"/>
                <w:szCs w:val="20"/>
                <w:color w:val="auto"/>
              </w:rPr>
            </w:pPr>
            <w:r>
              <w:rPr>
                <w:rFonts w:ascii="Arial" w:cs="Arial" w:eastAsia="Arial" w:hAnsi="Arial"/>
                <w:sz w:val="14"/>
                <w:szCs w:val="14"/>
                <w:color w:val="auto"/>
                <w:w w:val="96"/>
              </w:rPr>
              <w:t>$1,555,635</w:t>
            </w:r>
          </w:p>
        </w:tc>
        <w:tc>
          <w:tcPr>
            <w:tcW w:w="200" w:type="dxa"/>
            <w:vAlign w:val="bottom"/>
          </w:tcPr>
          <w:p>
            <w:pPr>
              <w:spacing w:after="0"/>
              <w:rPr>
                <w:sz w:val="19"/>
                <w:szCs w:val="19"/>
                <w:color w:val="auto"/>
              </w:rPr>
            </w:pPr>
          </w:p>
        </w:tc>
        <w:tc>
          <w:tcPr>
            <w:tcW w:w="1120" w:type="dxa"/>
            <w:vAlign w:val="bottom"/>
          </w:tcPr>
          <w:p>
            <w:pPr>
              <w:jc w:val="center"/>
              <w:ind w:right="51"/>
              <w:spacing w:after="0"/>
              <w:rPr>
                <w:sz w:val="20"/>
                <w:szCs w:val="20"/>
                <w:color w:val="auto"/>
              </w:rPr>
            </w:pPr>
            <w:r>
              <w:rPr>
                <w:rFonts w:ascii="Arial" w:cs="Arial" w:eastAsia="Arial" w:hAnsi="Arial"/>
                <w:sz w:val="14"/>
                <w:szCs w:val="14"/>
                <w:color w:val="auto"/>
              </w:rPr>
              <w:t>$99.65</w:t>
            </w:r>
          </w:p>
        </w:tc>
        <w:tc>
          <w:tcPr>
            <w:tcW w:w="1300" w:type="dxa"/>
            <w:vAlign w:val="bottom"/>
            <w:gridSpan w:val="2"/>
          </w:tcPr>
          <w:p>
            <w:pPr>
              <w:jc w:val="right"/>
              <w:ind w:right="371"/>
              <w:spacing w:after="0"/>
              <w:rPr>
                <w:sz w:val="20"/>
                <w:szCs w:val="20"/>
                <w:color w:val="auto"/>
              </w:rPr>
            </w:pPr>
            <w:r>
              <w:rPr>
                <w:rFonts w:ascii="Arial" w:cs="Arial" w:eastAsia="Arial" w:hAnsi="Arial"/>
                <w:sz w:val="14"/>
                <w:szCs w:val="14"/>
                <w:color w:val="auto"/>
              </w:rPr>
              <w:t>$103.53</w:t>
            </w:r>
          </w:p>
        </w:tc>
        <w:tc>
          <w:tcPr>
            <w:tcW w:w="680" w:type="dxa"/>
            <w:vAlign w:val="bottom"/>
            <w:gridSpan w:val="3"/>
          </w:tcPr>
          <w:p>
            <w:pPr>
              <w:jc w:val="center"/>
              <w:ind w:right="40"/>
              <w:spacing w:after="0"/>
              <w:rPr>
                <w:sz w:val="20"/>
                <w:szCs w:val="20"/>
                <w:color w:val="auto"/>
              </w:rPr>
            </w:pPr>
            <w:r>
              <w:rPr>
                <w:rFonts w:ascii="Arial" w:cs="Arial" w:eastAsia="Arial" w:hAnsi="Arial"/>
                <w:sz w:val="14"/>
                <w:szCs w:val="14"/>
                <w:color w:val="auto"/>
              </w:rPr>
              <w:t>$121.22</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$36.4</w:t>
            </w:r>
          </w:p>
        </w:tc>
        <w:tc>
          <w:tcPr>
            <w:tcW w:w="840" w:type="dxa"/>
            <w:vAlign w:val="bottom"/>
          </w:tcPr>
          <w:p>
            <w:pPr>
              <w:jc w:val="center"/>
              <w:ind w:left="32"/>
              <w:spacing w:after="0"/>
              <w:rPr>
                <w:sz w:val="20"/>
                <w:szCs w:val="20"/>
                <w:color w:val="auto"/>
              </w:rPr>
            </w:pPr>
            <w:r>
              <w:rPr>
                <w:rFonts w:ascii="Arial" w:cs="Arial" w:eastAsia="Arial" w:hAnsi="Arial"/>
                <w:sz w:val="14"/>
                <w:szCs w:val="14"/>
                <w:color w:val="auto"/>
                <w:w w:val="96"/>
              </w:rPr>
              <w:t>$69.1</w:t>
            </w:r>
          </w:p>
        </w:tc>
        <w:tc>
          <w:tcPr>
            <w:tcW w:w="0" w:type="dxa"/>
            <w:vAlign w:val="bottom"/>
          </w:tcPr>
          <w:p>
            <w:pPr>
              <w:spacing w:after="0"/>
              <w:rPr>
                <w:sz w:val="1"/>
                <w:szCs w:val="1"/>
                <w:color w:val="auto"/>
              </w:rPr>
            </w:pPr>
          </w:p>
        </w:tc>
      </w:tr>
      <w:tr>
        <w:trPr>
          <w:trHeight w:val="47"/>
        </w:trPr>
        <w:tc>
          <w:tcPr>
            <w:tcW w:w="940" w:type="dxa"/>
            <w:vAlign w:val="bottom"/>
            <w:tcBorders>
              <w:bottom w:val="single" w:sz="8" w:color="7F7F7F"/>
            </w:tcBorders>
          </w:tcPr>
          <w:p>
            <w:pPr>
              <w:spacing w:after="0"/>
              <w:rPr>
                <w:sz w:val="4"/>
                <w:szCs w:val="4"/>
                <w:color w:val="auto"/>
              </w:rPr>
            </w:pPr>
          </w:p>
        </w:tc>
        <w:tc>
          <w:tcPr>
            <w:tcW w:w="1360" w:type="dxa"/>
            <w:vAlign w:val="bottom"/>
            <w:tcBorders>
              <w:bottom w:val="single" w:sz="8" w:color="7F7F7F"/>
            </w:tcBorders>
          </w:tcPr>
          <w:p>
            <w:pPr>
              <w:spacing w:after="0"/>
              <w:rPr>
                <w:sz w:val="4"/>
                <w:szCs w:val="4"/>
                <w:color w:val="auto"/>
              </w:rPr>
            </w:pPr>
          </w:p>
        </w:tc>
        <w:tc>
          <w:tcPr>
            <w:tcW w:w="1160" w:type="dxa"/>
            <w:vAlign w:val="bottom"/>
            <w:tcBorders>
              <w:bottom w:val="single" w:sz="8" w:color="7F7F7F"/>
            </w:tcBorders>
          </w:tcPr>
          <w:p>
            <w:pPr>
              <w:spacing w:after="0"/>
              <w:rPr>
                <w:sz w:val="4"/>
                <w:szCs w:val="4"/>
                <w:color w:val="auto"/>
              </w:rPr>
            </w:pPr>
          </w:p>
        </w:tc>
        <w:tc>
          <w:tcPr>
            <w:tcW w:w="46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580" w:type="dxa"/>
            <w:vAlign w:val="bottom"/>
            <w:tcBorders>
              <w:bottom w:val="single" w:sz="8" w:color="7F7F7F"/>
            </w:tcBorders>
            <w:gridSpan w:val="2"/>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940" w:type="dxa"/>
            <w:vAlign w:val="bottom"/>
          </w:tcPr>
          <w:p>
            <w:pPr>
              <w:jc w:val="right"/>
              <w:ind w:right="491"/>
              <w:spacing w:after="0"/>
              <w:rPr>
                <w:sz w:val="20"/>
                <w:szCs w:val="20"/>
                <w:color w:val="auto"/>
              </w:rPr>
            </w:pPr>
            <w:r>
              <w:rPr>
                <w:rFonts w:ascii="Arial" w:cs="Arial" w:eastAsia="Arial" w:hAnsi="Arial"/>
                <w:sz w:val="14"/>
                <w:szCs w:val="14"/>
                <w:color w:val="auto"/>
              </w:rPr>
              <w:t>2022</w:t>
            </w:r>
          </w:p>
        </w:tc>
        <w:tc>
          <w:tcPr>
            <w:tcW w:w="1360" w:type="dxa"/>
            <w:vAlign w:val="bottom"/>
          </w:tcPr>
          <w:p>
            <w:pPr>
              <w:jc w:val="right"/>
              <w:ind w:right="31"/>
              <w:spacing w:after="0"/>
              <w:rPr>
                <w:sz w:val="20"/>
                <w:szCs w:val="20"/>
                <w:color w:val="auto"/>
              </w:rPr>
            </w:pPr>
            <w:r>
              <w:rPr>
                <w:rFonts w:ascii="Arial" w:cs="Arial" w:eastAsia="Arial" w:hAnsi="Arial"/>
                <w:sz w:val="14"/>
                <w:szCs w:val="14"/>
                <w:color w:val="auto"/>
              </w:rPr>
              <w:t>$3,535,281</w:t>
            </w:r>
          </w:p>
        </w:tc>
        <w:tc>
          <w:tcPr>
            <w:tcW w:w="1160" w:type="dxa"/>
            <w:vAlign w:val="bottom"/>
          </w:tcPr>
          <w:p>
            <w:pPr>
              <w:jc w:val="right"/>
              <w:ind w:right="35"/>
              <w:spacing w:after="0"/>
              <w:rPr>
                <w:sz w:val="20"/>
                <w:szCs w:val="20"/>
                <w:color w:val="auto"/>
              </w:rPr>
            </w:pPr>
            <w:r>
              <w:rPr>
                <w:rFonts w:ascii="Arial" w:cs="Arial" w:eastAsia="Arial" w:hAnsi="Arial"/>
                <w:sz w:val="14"/>
                <w:szCs w:val="14"/>
                <w:color w:val="auto"/>
              </w:rPr>
              <w:t>$2,762,629</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w w:val="96"/>
              </w:rPr>
              <w:t>1,331,744</w:t>
            </w:r>
          </w:p>
        </w:tc>
        <w:tc>
          <w:tcPr>
            <w:tcW w:w="1060" w:type="dxa"/>
            <w:vAlign w:val="bottom"/>
          </w:tcPr>
          <w:p>
            <w:pPr>
              <w:ind w:left="360"/>
              <w:spacing w:after="0"/>
              <w:rPr>
                <w:sz w:val="20"/>
                <w:szCs w:val="20"/>
                <w:color w:val="auto"/>
              </w:rPr>
            </w:pPr>
            <w:r>
              <w:rPr>
                <w:rFonts w:ascii="Arial" w:cs="Arial" w:eastAsia="Arial" w:hAnsi="Arial"/>
                <w:sz w:val="14"/>
                <w:szCs w:val="14"/>
                <w:color w:val="auto"/>
                <w:w w:val="96"/>
              </w:rPr>
              <w:t>$1,150,597</w:t>
            </w:r>
          </w:p>
        </w:tc>
        <w:tc>
          <w:tcPr>
            <w:tcW w:w="200" w:type="dxa"/>
            <w:vAlign w:val="bottom"/>
          </w:tcPr>
          <w:p>
            <w:pPr>
              <w:spacing w:after="0"/>
              <w:rPr>
                <w:sz w:val="19"/>
                <w:szCs w:val="19"/>
                <w:color w:val="auto"/>
              </w:rPr>
            </w:pPr>
          </w:p>
        </w:tc>
        <w:tc>
          <w:tcPr>
            <w:tcW w:w="1120" w:type="dxa"/>
            <w:vAlign w:val="bottom"/>
          </w:tcPr>
          <w:p>
            <w:pPr>
              <w:jc w:val="center"/>
              <w:ind w:right="51"/>
              <w:spacing w:after="0"/>
              <w:rPr>
                <w:sz w:val="20"/>
                <w:szCs w:val="20"/>
                <w:color w:val="auto"/>
              </w:rPr>
            </w:pPr>
            <w:r>
              <w:rPr>
                <w:rFonts w:ascii="Arial" w:cs="Arial" w:eastAsia="Arial" w:hAnsi="Arial"/>
                <w:sz w:val="14"/>
                <w:szCs w:val="14"/>
                <w:color w:val="auto"/>
              </w:rPr>
              <w:t>$76.65</w:t>
            </w:r>
          </w:p>
        </w:tc>
        <w:tc>
          <w:tcPr>
            <w:tcW w:w="440" w:type="dxa"/>
            <w:vAlign w:val="bottom"/>
          </w:tcPr>
          <w:p>
            <w:pPr>
              <w:jc w:val="center"/>
              <w:ind w:left="27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71"/>
              <w:spacing w:after="0"/>
              <w:rPr>
                <w:sz w:val="20"/>
                <w:szCs w:val="20"/>
                <w:color w:val="auto"/>
              </w:rPr>
            </w:pPr>
            <w:r>
              <w:rPr>
                <w:rFonts w:ascii="Arial" w:cs="Arial" w:eastAsia="Arial" w:hAnsi="Arial"/>
                <w:sz w:val="14"/>
                <w:szCs w:val="14"/>
                <w:color w:val="auto"/>
              </w:rPr>
              <w:t>81.19</w:t>
            </w:r>
          </w:p>
        </w:tc>
        <w:tc>
          <w:tcPr>
            <w:tcW w:w="680" w:type="dxa"/>
            <w:vAlign w:val="bottom"/>
            <w:gridSpan w:val="3"/>
          </w:tcPr>
          <w:p>
            <w:pPr>
              <w:jc w:val="center"/>
              <w:ind w:right="40"/>
              <w:spacing w:after="0"/>
              <w:rPr>
                <w:sz w:val="20"/>
                <w:szCs w:val="20"/>
                <w:color w:val="auto"/>
              </w:rPr>
            </w:pPr>
            <w:r>
              <w:rPr>
                <w:rFonts w:ascii="Arial" w:cs="Arial" w:eastAsia="Arial" w:hAnsi="Arial"/>
                <w:sz w:val="14"/>
                <w:szCs w:val="14"/>
                <w:color w:val="auto"/>
                <w:w w:val="95"/>
              </w:rPr>
              <w:t>$ 113.87</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($62.5)</w:t>
            </w:r>
          </w:p>
        </w:tc>
        <w:tc>
          <w:tcPr>
            <w:tcW w:w="840" w:type="dxa"/>
            <w:vAlign w:val="bottom"/>
          </w:tcPr>
          <w:p>
            <w:pPr>
              <w:jc w:val="center"/>
              <w:ind w:left="32"/>
              <w:spacing w:after="0"/>
              <w:rPr>
                <w:sz w:val="20"/>
                <w:szCs w:val="20"/>
                <w:color w:val="auto"/>
              </w:rPr>
            </w:pPr>
            <w:r>
              <w:rPr>
                <w:rFonts w:ascii="Arial" w:cs="Arial" w:eastAsia="Arial" w:hAnsi="Arial"/>
                <w:sz w:val="14"/>
                <w:szCs w:val="14"/>
                <w:color w:val="auto"/>
                <w:w w:val="96"/>
              </w:rPr>
              <w:t>$68.3</w:t>
            </w:r>
          </w:p>
        </w:tc>
        <w:tc>
          <w:tcPr>
            <w:tcW w:w="0" w:type="dxa"/>
            <w:vAlign w:val="bottom"/>
          </w:tcPr>
          <w:p>
            <w:pPr>
              <w:spacing w:after="0"/>
              <w:rPr>
                <w:sz w:val="1"/>
                <w:szCs w:val="1"/>
                <w:color w:val="auto"/>
              </w:rPr>
            </w:pPr>
          </w:p>
        </w:tc>
      </w:tr>
      <w:tr>
        <w:trPr>
          <w:trHeight w:val="47"/>
        </w:trPr>
        <w:tc>
          <w:tcPr>
            <w:tcW w:w="940" w:type="dxa"/>
            <w:vAlign w:val="bottom"/>
            <w:tcBorders>
              <w:bottom w:val="single" w:sz="8" w:color="7F7F7F"/>
            </w:tcBorders>
          </w:tcPr>
          <w:p>
            <w:pPr>
              <w:spacing w:after="0"/>
              <w:rPr>
                <w:sz w:val="4"/>
                <w:szCs w:val="4"/>
                <w:color w:val="auto"/>
              </w:rPr>
            </w:pPr>
          </w:p>
        </w:tc>
        <w:tc>
          <w:tcPr>
            <w:tcW w:w="1360" w:type="dxa"/>
            <w:vAlign w:val="bottom"/>
            <w:tcBorders>
              <w:bottom w:val="single" w:sz="8" w:color="7F7F7F"/>
            </w:tcBorders>
          </w:tcPr>
          <w:p>
            <w:pPr>
              <w:spacing w:after="0"/>
              <w:rPr>
                <w:sz w:val="4"/>
                <w:szCs w:val="4"/>
                <w:color w:val="auto"/>
              </w:rPr>
            </w:pPr>
          </w:p>
        </w:tc>
        <w:tc>
          <w:tcPr>
            <w:tcW w:w="1160" w:type="dxa"/>
            <w:vAlign w:val="bottom"/>
            <w:tcBorders>
              <w:bottom w:val="single" w:sz="8" w:color="7F7F7F"/>
            </w:tcBorders>
          </w:tcPr>
          <w:p>
            <w:pPr>
              <w:spacing w:after="0"/>
              <w:rPr>
                <w:sz w:val="4"/>
                <w:szCs w:val="4"/>
                <w:color w:val="auto"/>
              </w:rPr>
            </w:pPr>
          </w:p>
        </w:tc>
        <w:tc>
          <w:tcPr>
            <w:tcW w:w="46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580" w:type="dxa"/>
            <w:vAlign w:val="bottom"/>
            <w:tcBorders>
              <w:bottom w:val="single" w:sz="8" w:color="7F7F7F"/>
            </w:tcBorders>
            <w:gridSpan w:val="2"/>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940" w:type="dxa"/>
            <w:vAlign w:val="bottom"/>
          </w:tcPr>
          <w:p>
            <w:pPr>
              <w:jc w:val="right"/>
              <w:ind w:right="491"/>
              <w:spacing w:after="0"/>
              <w:rPr>
                <w:sz w:val="20"/>
                <w:szCs w:val="20"/>
                <w:color w:val="auto"/>
              </w:rPr>
            </w:pPr>
            <w:r>
              <w:rPr>
                <w:rFonts w:ascii="Arial" w:cs="Arial" w:eastAsia="Arial" w:hAnsi="Arial"/>
                <w:sz w:val="14"/>
                <w:szCs w:val="14"/>
                <w:color w:val="auto"/>
              </w:rPr>
              <w:t>2021</w:t>
            </w:r>
          </w:p>
        </w:tc>
        <w:tc>
          <w:tcPr>
            <w:tcW w:w="1360" w:type="dxa"/>
            <w:vAlign w:val="bottom"/>
          </w:tcPr>
          <w:p>
            <w:pPr>
              <w:jc w:val="right"/>
              <w:ind w:right="31"/>
              <w:spacing w:after="0"/>
              <w:rPr>
                <w:sz w:val="20"/>
                <w:szCs w:val="20"/>
                <w:color w:val="auto"/>
              </w:rPr>
            </w:pPr>
            <w:r>
              <w:rPr>
                <w:rFonts w:ascii="Arial" w:cs="Arial" w:eastAsia="Arial" w:hAnsi="Arial"/>
                <w:sz w:val="14"/>
                <w:szCs w:val="14"/>
                <w:color w:val="auto"/>
              </w:rPr>
              <w:t>$3,938,608</w:t>
            </w:r>
          </w:p>
        </w:tc>
        <w:tc>
          <w:tcPr>
            <w:tcW w:w="1160" w:type="dxa"/>
            <w:vAlign w:val="bottom"/>
          </w:tcPr>
          <w:p>
            <w:pPr>
              <w:jc w:val="right"/>
              <w:ind w:right="35"/>
              <w:spacing w:after="0"/>
              <w:rPr>
                <w:sz w:val="20"/>
                <w:szCs w:val="20"/>
                <w:color w:val="auto"/>
              </w:rPr>
            </w:pPr>
            <w:r>
              <w:rPr>
                <w:rFonts w:ascii="Arial" w:cs="Arial" w:eastAsia="Arial" w:hAnsi="Arial"/>
                <w:sz w:val="14"/>
                <w:szCs w:val="14"/>
                <w:color w:val="auto"/>
              </w:rPr>
              <w:t>$2,864,364</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w w:val="96"/>
              </w:rPr>
              <w:t>1,640,264</w:t>
            </w:r>
          </w:p>
        </w:tc>
        <w:tc>
          <w:tcPr>
            <w:tcW w:w="1060" w:type="dxa"/>
            <w:vAlign w:val="bottom"/>
          </w:tcPr>
          <w:p>
            <w:pPr>
              <w:ind w:left="360"/>
              <w:spacing w:after="0"/>
              <w:rPr>
                <w:sz w:val="20"/>
                <w:szCs w:val="20"/>
                <w:color w:val="auto"/>
              </w:rPr>
            </w:pPr>
            <w:r>
              <w:rPr>
                <w:rFonts w:ascii="Arial" w:cs="Arial" w:eastAsia="Arial" w:hAnsi="Arial"/>
                <w:sz w:val="14"/>
                <w:szCs w:val="14"/>
                <w:color w:val="auto"/>
                <w:w w:val="96"/>
              </w:rPr>
              <w:t>$1,362,908</w:t>
            </w:r>
          </w:p>
        </w:tc>
        <w:tc>
          <w:tcPr>
            <w:tcW w:w="200" w:type="dxa"/>
            <w:vAlign w:val="bottom"/>
          </w:tcPr>
          <w:p>
            <w:pPr>
              <w:spacing w:after="0"/>
              <w:rPr>
                <w:sz w:val="19"/>
                <w:szCs w:val="19"/>
                <w:color w:val="auto"/>
              </w:rPr>
            </w:pPr>
          </w:p>
        </w:tc>
        <w:tc>
          <w:tcPr>
            <w:tcW w:w="1120" w:type="dxa"/>
            <w:vAlign w:val="bottom"/>
          </w:tcPr>
          <w:p>
            <w:pPr>
              <w:jc w:val="center"/>
              <w:ind w:right="51"/>
              <w:spacing w:after="0"/>
              <w:rPr>
                <w:sz w:val="20"/>
                <w:szCs w:val="20"/>
                <w:color w:val="auto"/>
              </w:rPr>
            </w:pPr>
            <w:r>
              <w:rPr>
                <w:rFonts w:ascii="Arial" w:cs="Arial" w:eastAsia="Arial" w:hAnsi="Arial"/>
                <w:sz w:val="14"/>
                <w:szCs w:val="14"/>
                <w:color w:val="auto"/>
              </w:rPr>
              <w:t>$74.94</w:t>
            </w:r>
          </w:p>
        </w:tc>
        <w:tc>
          <w:tcPr>
            <w:tcW w:w="440" w:type="dxa"/>
            <w:vAlign w:val="bottom"/>
          </w:tcPr>
          <w:p>
            <w:pPr>
              <w:jc w:val="center"/>
              <w:ind w:left="27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71"/>
              <w:spacing w:after="0"/>
              <w:rPr>
                <w:sz w:val="20"/>
                <w:szCs w:val="20"/>
                <w:color w:val="auto"/>
              </w:rPr>
            </w:pPr>
            <w:r>
              <w:rPr>
                <w:rFonts w:ascii="Arial" w:cs="Arial" w:eastAsia="Arial" w:hAnsi="Arial"/>
                <w:sz w:val="14"/>
                <w:szCs w:val="14"/>
                <w:color w:val="auto"/>
              </w:rPr>
              <w:t>78.78</w:t>
            </w:r>
          </w:p>
        </w:tc>
        <w:tc>
          <w:tcPr>
            <w:tcW w:w="680" w:type="dxa"/>
            <w:vAlign w:val="bottom"/>
            <w:gridSpan w:val="3"/>
          </w:tcPr>
          <w:p>
            <w:pPr>
              <w:jc w:val="center"/>
              <w:ind w:right="40"/>
              <w:spacing w:after="0"/>
              <w:rPr>
                <w:sz w:val="20"/>
                <w:szCs w:val="20"/>
                <w:color w:val="auto"/>
              </w:rPr>
            </w:pPr>
            <w:r>
              <w:rPr>
                <w:rFonts w:ascii="Arial" w:cs="Arial" w:eastAsia="Arial" w:hAnsi="Arial"/>
                <w:sz w:val="14"/>
                <w:szCs w:val="14"/>
                <w:color w:val="auto"/>
              </w:rPr>
              <w:t>$152.43</w:t>
            </w: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$156.1</w:t>
            </w:r>
          </w:p>
        </w:tc>
        <w:tc>
          <w:tcPr>
            <w:tcW w:w="840" w:type="dxa"/>
            <w:vAlign w:val="bottom"/>
          </w:tcPr>
          <w:p>
            <w:pPr>
              <w:jc w:val="center"/>
              <w:ind w:left="32"/>
              <w:spacing w:after="0"/>
              <w:rPr>
                <w:sz w:val="20"/>
                <w:szCs w:val="20"/>
                <w:color w:val="auto"/>
              </w:rPr>
            </w:pPr>
            <w:r>
              <w:rPr>
                <w:rFonts w:ascii="Arial" w:cs="Arial" w:eastAsia="Arial" w:hAnsi="Arial"/>
                <w:sz w:val="14"/>
                <w:szCs w:val="14"/>
                <w:color w:val="auto"/>
                <w:w w:val="96"/>
              </w:rPr>
              <w:t>$52.6</w:t>
            </w:r>
          </w:p>
        </w:tc>
        <w:tc>
          <w:tcPr>
            <w:tcW w:w="0" w:type="dxa"/>
            <w:vAlign w:val="bottom"/>
          </w:tcPr>
          <w:p>
            <w:pPr>
              <w:spacing w:after="0"/>
              <w:rPr>
                <w:sz w:val="1"/>
                <w:szCs w:val="1"/>
                <w:color w:val="auto"/>
              </w:rPr>
            </w:pPr>
          </w:p>
        </w:tc>
      </w:tr>
      <w:tr>
        <w:trPr>
          <w:trHeight w:val="47"/>
        </w:trPr>
        <w:tc>
          <w:tcPr>
            <w:tcW w:w="940" w:type="dxa"/>
            <w:vAlign w:val="bottom"/>
            <w:tcBorders>
              <w:bottom w:val="single" w:sz="8" w:color="7F7F7F"/>
            </w:tcBorders>
          </w:tcPr>
          <w:p>
            <w:pPr>
              <w:spacing w:after="0"/>
              <w:rPr>
                <w:sz w:val="4"/>
                <w:szCs w:val="4"/>
                <w:color w:val="auto"/>
              </w:rPr>
            </w:pPr>
          </w:p>
        </w:tc>
        <w:tc>
          <w:tcPr>
            <w:tcW w:w="1360" w:type="dxa"/>
            <w:vAlign w:val="bottom"/>
            <w:tcBorders>
              <w:bottom w:val="single" w:sz="8" w:color="7F7F7F"/>
            </w:tcBorders>
          </w:tcPr>
          <w:p>
            <w:pPr>
              <w:spacing w:after="0"/>
              <w:rPr>
                <w:sz w:val="4"/>
                <w:szCs w:val="4"/>
                <w:color w:val="auto"/>
              </w:rPr>
            </w:pPr>
          </w:p>
        </w:tc>
        <w:tc>
          <w:tcPr>
            <w:tcW w:w="1160" w:type="dxa"/>
            <w:vAlign w:val="bottom"/>
            <w:tcBorders>
              <w:bottom w:val="single" w:sz="8" w:color="7F7F7F"/>
            </w:tcBorders>
          </w:tcPr>
          <w:p>
            <w:pPr>
              <w:spacing w:after="0"/>
              <w:rPr>
                <w:sz w:val="4"/>
                <w:szCs w:val="4"/>
                <w:color w:val="auto"/>
              </w:rPr>
            </w:pPr>
          </w:p>
        </w:tc>
        <w:tc>
          <w:tcPr>
            <w:tcW w:w="46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580" w:type="dxa"/>
            <w:vAlign w:val="bottom"/>
            <w:tcBorders>
              <w:bottom w:val="single" w:sz="8" w:color="7F7F7F"/>
            </w:tcBorders>
            <w:gridSpan w:val="2"/>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940" w:type="dxa"/>
            <w:vAlign w:val="bottom"/>
          </w:tcPr>
          <w:p>
            <w:pPr>
              <w:jc w:val="right"/>
              <w:ind w:right="491"/>
              <w:spacing w:after="0"/>
              <w:rPr>
                <w:sz w:val="20"/>
                <w:szCs w:val="20"/>
                <w:color w:val="auto"/>
              </w:rPr>
            </w:pPr>
            <w:r>
              <w:rPr>
                <w:rFonts w:ascii="Arial" w:cs="Arial" w:eastAsia="Arial" w:hAnsi="Arial"/>
                <w:sz w:val="14"/>
                <w:szCs w:val="14"/>
                <w:color w:val="auto"/>
              </w:rPr>
              <w:t>2020</w:t>
            </w:r>
          </w:p>
        </w:tc>
        <w:tc>
          <w:tcPr>
            <w:tcW w:w="1360" w:type="dxa"/>
            <w:vAlign w:val="bottom"/>
          </w:tcPr>
          <w:p>
            <w:pPr>
              <w:jc w:val="right"/>
              <w:ind w:right="31"/>
              <w:spacing w:after="0"/>
              <w:rPr>
                <w:sz w:val="20"/>
                <w:szCs w:val="20"/>
                <w:color w:val="auto"/>
              </w:rPr>
            </w:pPr>
            <w:r>
              <w:rPr>
                <w:rFonts w:ascii="Arial" w:cs="Arial" w:eastAsia="Arial" w:hAnsi="Arial"/>
                <w:sz w:val="14"/>
                <w:szCs w:val="14"/>
                <w:color w:val="auto"/>
              </w:rPr>
              <w:t>$1,550,693</w:t>
            </w:r>
          </w:p>
        </w:tc>
        <w:tc>
          <w:tcPr>
            <w:tcW w:w="1160" w:type="dxa"/>
            <w:vAlign w:val="bottom"/>
          </w:tcPr>
          <w:p>
            <w:pPr>
              <w:jc w:val="right"/>
              <w:ind w:right="35"/>
              <w:spacing w:after="0"/>
              <w:rPr>
                <w:sz w:val="20"/>
                <w:szCs w:val="20"/>
                <w:color w:val="auto"/>
              </w:rPr>
            </w:pPr>
            <w:r>
              <w:rPr>
                <w:rFonts w:ascii="Arial" w:cs="Arial" w:eastAsia="Arial" w:hAnsi="Arial"/>
                <w:sz w:val="14"/>
                <w:szCs w:val="14"/>
                <w:color w:val="auto"/>
              </w:rPr>
              <w:t>$1,334,735</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786,788</w:t>
            </w:r>
          </w:p>
        </w:tc>
        <w:tc>
          <w:tcPr>
            <w:tcW w:w="1260" w:type="dxa"/>
            <w:vAlign w:val="bottom"/>
            <w:gridSpan w:val="2"/>
          </w:tcPr>
          <w:p>
            <w:pPr>
              <w:ind w:left="360"/>
              <w:spacing w:after="0"/>
              <w:rPr>
                <w:sz w:val="20"/>
                <w:szCs w:val="20"/>
                <w:color w:val="auto"/>
              </w:rPr>
            </w:pPr>
            <w:r>
              <w:rPr>
                <w:rFonts w:ascii="Arial" w:cs="Arial" w:eastAsia="Arial" w:hAnsi="Arial"/>
                <w:sz w:val="14"/>
                <w:szCs w:val="14"/>
                <w:color w:val="auto"/>
              </w:rPr>
              <w:t>$  827,855</w:t>
            </w:r>
          </w:p>
        </w:tc>
        <w:tc>
          <w:tcPr>
            <w:tcW w:w="1120" w:type="dxa"/>
            <w:vAlign w:val="bottom"/>
          </w:tcPr>
          <w:p>
            <w:pPr>
              <w:jc w:val="center"/>
              <w:ind w:right="51"/>
              <w:spacing w:after="0"/>
              <w:rPr>
                <w:sz w:val="20"/>
                <w:szCs w:val="20"/>
                <w:color w:val="auto"/>
              </w:rPr>
            </w:pPr>
            <w:r>
              <w:rPr>
                <w:rFonts w:ascii="Arial" w:cs="Arial" w:eastAsia="Arial" w:hAnsi="Arial"/>
                <w:sz w:val="14"/>
                <w:szCs w:val="14"/>
                <w:color w:val="auto"/>
              </w:rPr>
              <w:t>$91.45</w:t>
            </w:r>
          </w:p>
        </w:tc>
        <w:tc>
          <w:tcPr>
            <w:tcW w:w="440" w:type="dxa"/>
            <w:vAlign w:val="bottom"/>
          </w:tcPr>
          <w:p>
            <w:pPr>
              <w:jc w:val="center"/>
              <w:ind w:left="27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371"/>
              <w:spacing w:after="0"/>
              <w:rPr>
                <w:sz w:val="20"/>
                <w:szCs w:val="20"/>
                <w:color w:val="auto"/>
              </w:rPr>
            </w:pPr>
            <w:r>
              <w:rPr>
                <w:rFonts w:ascii="Arial" w:cs="Arial" w:eastAsia="Arial" w:hAnsi="Arial"/>
                <w:sz w:val="14"/>
                <w:szCs w:val="14"/>
                <w:color w:val="auto"/>
              </w:rPr>
              <w:t>94.29</w:t>
            </w:r>
          </w:p>
        </w:tc>
        <w:tc>
          <w:tcPr>
            <w:tcW w:w="680" w:type="dxa"/>
            <w:vAlign w:val="bottom"/>
            <w:gridSpan w:val="3"/>
          </w:tcPr>
          <w:p>
            <w:pPr>
              <w:jc w:val="center"/>
              <w:ind w:right="40"/>
              <w:spacing w:after="0"/>
              <w:rPr>
                <w:sz w:val="20"/>
                <w:szCs w:val="20"/>
                <w:color w:val="auto"/>
              </w:rPr>
            </w:pPr>
            <w:r>
              <w:rPr>
                <w:rFonts w:ascii="Arial" w:cs="Arial" w:eastAsia="Arial" w:hAnsi="Arial"/>
                <w:sz w:val="14"/>
                <w:szCs w:val="14"/>
                <w:color w:val="auto"/>
              </w:rPr>
              <w:t>$100.85</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($72.0)</w:t>
            </w:r>
          </w:p>
        </w:tc>
        <w:tc>
          <w:tcPr>
            <w:tcW w:w="840" w:type="dxa"/>
            <w:vAlign w:val="bottom"/>
          </w:tcPr>
          <w:p>
            <w:pPr>
              <w:jc w:val="center"/>
              <w:ind w:left="32"/>
              <w:spacing w:after="0"/>
              <w:rPr>
                <w:sz w:val="20"/>
                <w:szCs w:val="20"/>
                <w:color w:val="auto"/>
              </w:rPr>
            </w:pPr>
            <w:r>
              <w:rPr>
                <w:rFonts w:ascii="Arial" w:cs="Arial" w:eastAsia="Arial" w:hAnsi="Arial"/>
                <w:sz w:val="14"/>
                <w:szCs w:val="14"/>
                <w:color w:val="auto"/>
                <w:w w:val="96"/>
              </w:rPr>
              <w:t>$44.3</w:t>
            </w:r>
          </w:p>
        </w:tc>
        <w:tc>
          <w:tcPr>
            <w:tcW w:w="0" w:type="dxa"/>
            <w:vAlign w:val="bottom"/>
          </w:tcPr>
          <w:p>
            <w:pPr>
              <w:spacing w:after="0"/>
              <w:rPr>
                <w:sz w:val="1"/>
                <w:szCs w:val="1"/>
                <w:color w:val="auto"/>
              </w:rPr>
            </w:pPr>
          </w:p>
        </w:tc>
      </w:tr>
      <w:tr>
        <w:trPr>
          <w:trHeight w:val="47"/>
        </w:trPr>
        <w:tc>
          <w:tcPr>
            <w:tcW w:w="940" w:type="dxa"/>
            <w:vAlign w:val="bottom"/>
            <w:tcBorders>
              <w:bottom w:val="single" w:sz="8" w:color="7F7F7F"/>
            </w:tcBorders>
          </w:tcPr>
          <w:p>
            <w:pPr>
              <w:spacing w:after="0"/>
              <w:rPr>
                <w:sz w:val="4"/>
                <w:szCs w:val="4"/>
                <w:color w:val="auto"/>
              </w:rPr>
            </w:pPr>
          </w:p>
        </w:tc>
        <w:tc>
          <w:tcPr>
            <w:tcW w:w="1360" w:type="dxa"/>
            <w:vAlign w:val="bottom"/>
            <w:tcBorders>
              <w:bottom w:val="single" w:sz="8" w:color="7F7F7F"/>
            </w:tcBorders>
          </w:tcPr>
          <w:p>
            <w:pPr>
              <w:spacing w:after="0"/>
              <w:rPr>
                <w:sz w:val="4"/>
                <w:szCs w:val="4"/>
                <w:color w:val="auto"/>
              </w:rPr>
            </w:pPr>
          </w:p>
        </w:tc>
        <w:tc>
          <w:tcPr>
            <w:tcW w:w="1160" w:type="dxa"/>
            <w:vAlign w:val="bottom"/>
            <w:tcBorders>
              <w:bottom w:val="single" w:sz="8" w:color="7F7F7F"/>
            </w:tcBorders>
          </w:tcPr>
          <w:p>
            <w:pPr>
              <w:spacing w:after="0"/>
              <w:rPr>
                <w:sz w:val="4"/>
                <w:szCs w:val="4"/>
                <w:color w:val="auto"/>
              </w:rPr>
            </w:pPr>
          </w:p>
        </w:tc>
        <w:tc>
          <w:tcPr>
            <w:tcW w:w="46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38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04" w:right="140" w:hanging="304"/>
        <w:spacing w:after="0" w:line="239" w:lineRule="auto"/>
        <w:tabs>
          <w:tab w:leader="none" w:pos="304" w:val="left"/>
        </w:tabs>
        <w:numPr>
          <w:ilvl w:val="0"/>
          <w:numId w:val="51"/>
        </w:numPr>
        <w:rPr>
          <w:rFonts w:ascii="Arial" w:cs="Arial" w:eastAsia="Arial" w:hAnsi="Arial"/>
          <w:sz w:val="12"/>
          <w:szCs w:val="12"/>
          <w:color w:val="auto"/>
        </w:rPr>
      </w:pPr>
      <w:r>
        <w:rPr>
          <w:rFonts w:ascii="Arial" w:cs="Arial" w:eastAsia="Arial" w:hAnsi="Arial"/>
          <w:sz w:val="12"/>
          <w:szCs w:val="12"/>
          <w:color w:val="auto"/>
        </w:rPr>
        <w:t>SEC rules require certain adjustments be made to the Summary Compensation Table totals to determine compensation actually paid as reported in the Pay versus Performance Table. Compensation actually paid, generally, is calculated as Summary Compensation Table total compensation adjusted to include the fair market value of equity awards as of the end of the fiscal year for the applicable year or, if earlier, the vesting date (rather than the grant date). We do not offer pension plan benefits therefore, there was not a change in pension value for any of the years reflective in this table. To calculate CAP, the following amounts were deducted from and added to SCT total compensation:</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CEO and Non-CEO NEOs SCT Total for CAP Reconciliation:</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296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A9E50"/>
              </w:rPr>
              <w:t>2023</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A9E50"/>
              </w:rPr>
              <w:t>2022</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A9E50"/>
              </w:rPr>
              <w:t>2021</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4"/>
                <w:szCs w:val="14"/>
                <w:b w:val="1"/>
                <w:bCs w:val="1"/>
                <w:color w:val="0A9E50"/>
              </w:rPr>
              <w:t>2020</w:t>
            </w:r>
          </w:p>
        </w:tc>
        <w:tc>
          <w:tcPr>
            <w:tcW w:w="120" w:type="dxa"/>
            <w:vAlign w:val="bottom"/>
          </w:tcPr>
          <w:p>
            <w:pPr>
              <w:spacing w:after="0"/>
              <w:rPr>
                <w:sz w:val="14"/>
                <w:szCs w:val="14"/>
                <w:color w:val="auto"/>
              </w:rPr>
            </w:pPr>
          </w:p>
        </w:tc>
      </w:tr>
      <w:tr>
        <w:trPr>
          <w:trHeight w:val="140"/>
        </w:trPr>
        <w:tc>
          <w:tcPr>
            <w:tcW w:w="2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Pr>
          <w:p>
            <w:pPr>
              <w:jc w:val="right"/>
              <w:ind w:right="11"/>
              <w:spacing w:after="0" w:line="140" w:lineRule="exact"/>
              <w:rPr>
                <w:sz w:val="20"/>
                <w:szCs w:val="20"/>
                <w:color w:val="auto"/>
              </w:rPr>
            </w:pPr>
            <w:r>
              <w:rPr>
                <w:rFonts w:ascii="Arial" w:cs="Arial" w:eastAsia="Arial" w:hAnsi="Arial"/>
                <w:sz w:val="14"/>
                <w:szCs w:val="14"/>
                <w:b w:val="1"/>
                <w:bCs w:val="1"/>
                <w:color w:val="0A9E50"/>
                <w:w w:val="96"/>
              </w:rPr>
              <w:t>Non-CEO</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gridSpan w:val="2"/>
          </w:tcPr>
          <w:p>
            <w:pPr>
              <w:jc w:val="right"/>
              <w:ind w:right="260"/>
              <w:spacing w:after="0" w:line="140" w:lineRule="exact"/>
              <w:rPr>
                <w:sz w:val="20"/>
                <w:szCs w:val="20"/>
                <w:color w:val="auto"/>
              </w:rPr>
            </w:pPr>
            <w:r>
              <w:rPr>
                <w:rFonts w:ascii="Arial" w:cs="Arial" w:eastAsia="Arial" w:hAnsi="Arial"/>
                <w:sz w:val="14"/>
                <w:szCs w:val="14"/>
                <w:b w:val="1"/>
                <w:bCs w:val="1"/>
                <w:color w:val="0A9E50"/>
                <w:w w:val="99"/>
              </w:rPr>
              <w:t>Non-CEO</w:t>
            </w:r>
          </w:p>
        </w:tc>
        <w:tc>
          <w:tcPr>
            <w:tcW w:w="1040" w:type="dxa"/>
            <w:vAlign w:val="bottom"/>
          </w:tcPr>
          <w:p>
            <w:pPr>
              <w:spacing w:after="0"/>
              <w:rPr>
                <w:sz w:val="12"/>
                <w:szCs w:val="12"/>
                <w:color w:val="auto"/>
              </w:rPr>
            </w:pPr>
          </w:p>
        </w:tc>
        <w:tc>
          <w:tcPr>
            <w:tcW w:w="900" w:type="dxa"/>
            <w:vAlign w:val="bottom"/>
            <w:gridSpan w:val="2"/>
          </w:tcPr>
          <w:p>
            <w:pPr>
              <w:jc w:val="right"/>
              <w:ind w:right="260"/>
              <w:spacing w:after="0" w:line="140" w:lineRule="exact"/>
              <w:rPr>
                <w:sz w:val="20"/>
                <w:szCs w:val="20"/>
                <w:color w:val="auto"/>
              </w:rPr>
            </w:pPr>
            <w:r>
              <w:rPr>
                <w:rFonts w:ascii="Arial" w:cs="Arial" w:eastAsia="Arial" w:hAnsi="Arial"/>
                <w:sz w:val="14"/>
                <w:szCs w:val="14"/>
                <w:b w:val="1"/>
                <w:bCs w:val="1"/>
                <w:color w:val="0A9E50"/>
                <w:w w:val="99"/>
              </w:rPr>
              <w:t>Non-CEO</w:t>
            </w:r>
          </w:p>
        </w:tc>
        <w:tc>
          <w:tcPr>
            <w:tcW w:w="880" w:type="dxa"/>
            <w:vAlign w:val="bottom"/>
          </w:tcPr>
          <w:p>
            <w:pPr>
              <w:spacing w:after="0"/>
              <w:rPr>
                <w:sz w:val="12"/>
                <w:szCs w:val="12"/>
                <w:color w:val="auto"/>
              </w:rPr>
            </w:pPr>
          </w:p>
        </w:tc>
        <w:tc>
          <w:tcPr>
            <w:tcW w:w="980" w:type="dxa"/>
            <w:vAlign w:val="bottom"/>
            <w:gridSpan w:val="2"/>
          </w:tcPr>
          <w:p>
            <w:pPr>
              <w:jc w:val="right"/>
              <w:ind w:right="200"/>
              <w:spacing w:after="0" w:line="140" w:lineRule="exact"/>
              <w:rPr>
                <w:sz w:val="20"/>
                <w:szCs w:val="20"/>
                <w:color w:val="auto"/>
              </w:rPr>
            </w:pPr>
            <w:r>
              <w:rPr>
                <w:rFonts w:ascii="Arial" w:cs="Arial" w:eastAsia="Arial" w:hAnsi="Arial"/>
                <w:sz w:val="14"/>
                <w:szCs w:val="14"/>
                <w:b w:val="1"/>
                <w:bCs w:val="1"/>
                <w:color w:val="0A9E50"/>
              </w:rPr>
              <w:t>  Non-CEO</w:t>
            </w:r>
          </w:p>
        </w:tc>
      </w:tr>
      <w:tr>
        <w:trPr>
          <w:trHeight w:val="205"/>
        </w:trPr>
        <w:tc>
          <w:tcPr>
            <w:tcW w:w="2960" w:type="dxa"/>
            <w:vAlign w:val="bottom"/>
          </w:tcPr>
          <w:p>
            <w:pPr>
              <w:spacing w:after="0"/>
              <w:rPr>
                <w:sz w:val="17"/>
                <w:szCs w:val="17"/>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0A9E50"/>
              </w:rPr>
              <w:t>CEO</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0A9E50"/>
              </w:rPr>
              <w:t>NEOs</w:t>
            </w:r>
          </w:p>
        </w:tc>
        <w:tc>
          <w:tcPr>
            <w:tcW w:w="1040" w:type="dxa"/>
            <w:vAlign w:val="bottom"/>
          </w:tcPr>
          <w:p>
            <w:pPr>
              <w:jc w:val="right"/>
              <w:ind w:right="411"/>
              <w:spacing w:after="0"/>
              <w:rPr>
                <w:sz w:val="20"/>
                <w:szCs w:val="20"/>
                <w:color w:val="auto"/>
              </w:rPr>
            </w:pPr>
            <w:r>
              <w:rPr>
                <w:rFonts w:ascii="Arial" w:cs="Arial" w:eastAsia="Arial" w:hAnsi="Arial"/>
                <w:sz w:val="14"/>
                <w:szCs w:val="14"/>
                <w:b w:val="1"/>
                <w:bCs w:val="1"/>
                <w:color w:val="0A9E50"/>
              </w:rPr>
              <w:t>CEO</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0A9E50"/>
              </w:rPr>
              <w:t>NEOs</w:t>
            </w:r>
          </w:p>
        </w:tc>
        <w:tc>
          <w:tcPr>
            <w:tcW w:w="1040" w:type="dxa"/>
            <w:vAlign w:val="bottom"/>
          </w:tcPr>
          <w:p>
            <w:pPr>
              <w:jc w:val="right"/>
              <w:ind w:right="411"/>
              <w:spacing w:after="0"/>
              <w:rPr>
                <w:sz w:val="20"/>
                <w:szCs w:val="20"/>
                <w:color w:val="auto"/>
              </w:rPr>
            </w:pPr>
            <w:r>
              <w:rPr>
                <w:rFonts w:ascii="Arial" w:cs="Arial" w:eastAsia="Arial" w:hAnsi="Arial"/>
                <w:sz w:val="14"/>
                <w:szCs w:val="14"/>
                <w:b w:val="1"/>
                <w:bCs w:val="1"/>
                <w:color w:val="0A9E50"/>
              </w:rPr>
              <w:t>CEO</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0A9E50"/>
              </w:rPr>
              <w:t>NEOs</w:t>
            </w:r>
          </w:p>
        </w:tc>
        <w:tc>
          <w:tcPr>
            <w:tcW w:w="880" w:type="dxa"/>
            <w:vAlign w:val="bottom"/>
          </w:tcPr>
          <w:p>
            <w:pPr>
              <w:jc w:val="right"/>
              <w:ind w:right="271"/>
              <w:spacing w:after="0"/>
              <w:rPr>
                <w:sz w:val="20"/>
                <w:szCs w:val="20"/>
                <w:color w:val="auto"/>
              </w:rPr>
            </w:pPr>
            <w:r>
              <w:rPr>
                <w:rFonts w:ascii="Arial" w:cs="Arial" w:eastAsia="Arial" w:hAnsi="Arial"/>
                <w:sz w:val="14"/>
                <w:szCs w:val="14"/>
                <w:b w:val="1"/>
                <w:bCs w:val="1"/>
                <w:color w:val="0A9E50"/>
              </w:rPr>
              <w:t>CEO</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0A9E50"/>
              </w:rPr>
              <w:t>NEOs</w:t>
            </w:r>
          </w:p>
        </w:tc>
      </w:tr>
      <w:tr>
        <w:trPr>
          <w:trHeight w:val="39"/>
        </w:trPr>
        <w:tc>
          <w:tcPr>
            <w:tcW w:w="29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19"/>
        </w:trPr>
        <w:tc>
          <w:tcPr>
            <w:tcW w:w="2960" w:type="dxa"/>
            <w:vAlign w:val="bottom"/>
          </w:tcPr>
          <w:p>
            <w:pPr>
              <w:ind w:left="60"/>
              <w:spacing w:after="0"/>
              <w:rPr>
                <w:sz w:val="20"/>
                <w:szCs w:val="20"/>
                <w:color w:val="auto"/>
              </w:rPr>
            </w:pPr>
            <w:r>
              <w:rPr>
                <w:rFonts w:ascii="Arial" w:cs="Arial" w:eastAsia="Arial" w:hAnsi="Arial"/>
                <w:sz w:val="14"/>
                <w:szCs w:val="14"/>
                <w:color w:val="auto"/>
              </w:rPr>
              <w:t>Summary Compensation Table Total</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$4,163,424</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$1,407,120</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$3,535,281</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$1,331,744</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$3,938,608</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$1,640,264</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$1,550,693</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$786,788</w:t>
            </w:r>
          </w:p>
        </w:tc>
      </w:tr>
      <w:tr>
        <w:trPr>
          <w:trHeight w:val="47"/>
        </w:trPr>
        <w:tc>
          <w:tcPr>
            <w:tcW w:w="29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r>
      <w:tr>
        <w:trPr>
          <w:trHeight w:val="219"/>
        </w:trPr>
        <w:tc>
          <w:tcPr>
            <w:tcW w:w="2960" w:type="dxa"/>
            <w:vAlign w:val="bottom"/>
          </w:tcPr>
          <w:p>
            <w:pPr>
              <w:ind w:left="60"/>
              <w:spacing w:after="0"/>
              <w:rPr>
                <w:sz w:val="20"/>
                <w:szCs w:val="20"/>
                <w:color w:val="auto"/>
              </w:rPr>
            </w:pPr>
            <w:r>
              <w:rPr>
                <w:rFonts w:ascii="Arial" w:cs="Arial" w:eastAsia="Arial" w:hAnsi="Arial"/>
                <w:sz w:val="14"/>
                <w:szCs w:val="14"/>
                <w:color w:val="auto"/>
              </w:rPr>
              <w:t>Summary Compensation Table Stock Awards</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($2,160,522)</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($555,116)</w:t>
            </w:r>
          </w:p>
        </w:tc>
        <w:tc>
          <w:tcPr>
            <w:tcW w:w="1040" w:type="dxa"/>
            <w:vAlign w:val="bottom"/>
          </w:tcPr>
          <w:p>
            <w:pPr>
              <w:jc w:val="right"/>
              <w:ind w:right="131"/>
              <w:spacing w:after="0"/>
              <w:rPr>
                <w:sz w:val="20"/>
                <w:szCs w:val="20"/>
                <w:color w:val="auto"/>
              </w:rPr>
            </w:pPr>
            <w:r>
              <w:rPr>
                <w:rFonts w:ascii="Arial" w:cs="Arial" w:eastAsia="Arial" w:hAnsi="Arial"/>
                <w:sz w:val="14"/>
                <w:szCs w:val="14"/>
                <w:color w:val="auto"/>
              </w:rPr>
              <w:t>($1,811,085)</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($524,293)</w:t>
            </w:r>
          </w:p>
        </w:tc>
        <w:tc>
          <w:tcPr>
            <w:tcW w:w="1040" w:type="dxa"/>
            <w:vAlign w:val="bottom"/>
          </w:tcPr>
          <w:p>
            <w:pPr>
              <w:jc w:val="right"/>
              <w:ind w:right="131"/>
              <w:spacing w:after="0"/>
              <w:rPr>
                <w:sz w:val="20"/>
                <w:szCs w:val="20"/>
                <w:color w:val="auto"/>
              </w:rPr>
            </w:pPr>
            <w:r>
              <w:rPr>
                <w:rFonts w:ascii="Arial" w:cs="Arial" w:eastAsia="Arial" w:hAnsi="Arial"/>
                <w:sz w:val="14"/>
                <w:szCs w:val="14"/>
                <w:color w:val="auto"/>
              </w:rPr>
              <w:t>($2,734,149)</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($974,762)</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($839,987)</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($326,162)</w:t>
            </w:r>
          </w:p>
        </w:tc>
      </w:tr>
      <w:tr>
        <w:trPr>
          <w:trHeight w:val="47"/>
        </w:trPr>
        <w:tc>
          <w:tcPr>
            <w:tcW w:w="29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r>
      <w:tr>
        <w:trPr>
          <w:trHeight w:val="192"/>
        </w:trPr>
        <w:tc>
          <w:tcPr>
            <w:tcW w:w="2960" w:type="dxa"/>
            <w:vAlign w:val="bottom"/>
          </w:tcPr>
          <w:p>
            <w:pPr>
              <w:ind w:left="60"/>
              <w:spacing w:after="0"/>
              <w:rPr>
                <w:sz w:val="20"/>
                <w:szCs w:val="20"/>
                <w:color w:val="auto"/>
              </w:rPr>
            </w:pPr>
            <w:r>
              <w:rPr>
                <w:rFonts w:ascii="Arial" w:cs="Arial" w:eastAsia="Arial" w:hAnsi="Arial"/>
                <w:sz w:val="14"/>
                <w:szCs w:val="14"/>
                <w:color w:val="auto"/>
              </w:rPr>
              <w:t>FYE value of unvested awards granted</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4"/>
        </w:trPr>
        <w:tc>
          <w:tcPr>
            <w:tcW w:w="2960" w:type="dxa"/>
            <w:vAlign w:val="bottom"/>
          </w:tcPr>
          <w:p>
            <w:pPr>
              <w:ind w:left="60"/>
              <w:spacing w:after="0"/>
              <w:rPr>
                <w:sz w:val="20"/>
                <w:szCs w:val="20"/>
                <w:color w:val="auto"/>
              </w:rPr>
            </w:pPr>
            <w:r>
              <w:rPr>
                <w:rFonts w:ascii="Arial" w:cs="Arial" w:eastAsia="Arial" w:hAnsi="Arial"/>
                <w:sz w:val="14"/>
                <w:szCs w:val="14"/>
                <w:color w:val="auto"/>
              </w:rPr>
              <w:t>during current year</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$2,236,679</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$617,264</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$1,052,644</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$334,843</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$2,045,752</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$789,365</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$764,875</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$405,599</w:t>
            </w:r>
          </w:p>
        </w:tc>
      </w:tr>
      <w:tr>
        <w:trPr>
          <w:trHeight w:val="47"/>
        </w:trPr>
        <w:tc>
          <w:tcPr>
            <w:tcW w:w="29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r>
      <w:tr>
        <w:trPr>
          <w:trHeight w:val="192"/>
        </w:trPr>
        <w:tc>
          <w:tcPr>
            <w:tcW w:w="2960" w:type="dxa"/>
            <w:vAlign w:val="bottom"/>
          </w:tcPr>
          <w:p>
            <w:pPr>
              <w:ind w:left="60"/>
              <w:spacing w:after="0"/>
              <w:rPr>
                <w:sz w:val="20"/>
                <w:szCs w:val="20"/>
                <w:color w:val="auto"/>
              </w:rPr>
            </w:pPr>
            <w:r>
              <w:rPr>
                <w:rFonts w:ascii="Arial" w:cs="Arial" w:eastAsia="Arial" w:hAnsi="Arial"/>
                <w:sz w:val="14"/>
                <w:szCs w:val="14"/>
                <w:color w:val="auto"/>
              </w:rPr>
              <w:t>Change in value of unvested awards from</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4"/>
        </w:trPr>
        <w:tc>
          <w:tcPr>
            <w:tcW w:w="2960" w:type="dxa"/>
            <w:vAlign w:val="bottom"/>
          </w:tcPr>
          <w:p>
            <w:pPr>
              <w:ind w:left="60"/>
              <w:spacing w:after="0"/>
              <w:rPr>
                <w:sz w:val="20"/>
                <w:szCs w:val="20"/>
                <w:color w:val="auto"/>
              </w:rPr>
            </w:pPr>
            <w:r>
              <w:rPr>
                <w:rFonts w:ascii="Arial" w:cs="Arial" w:eastAsia="Arial" w:hAnsi="Arial"/>
                <w:sz w:val="14"/>
                <w:szCs w:val="14"/>
                <w:color w:val="auto"/>
              </w:rPr>
              <w:t>prior years</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$793,531</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$239,143</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$68,855</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$24,517</w:t>
            </w:r>
          </w:p>
        </w:tc>
        <w:tc>
          <w:tcPr>
            <w:tcW w:w="1040" w:type="dxa"/>
            <w:vAlign w:val="bottom"/>
          </w:tcPr>
          <w:p>
            <w:pPr>
              <w:jc w:val="right"/>
              <w:ind w:right="131"/>
              <w:spacing w:after="0"/>
              <w:rPr>
                <w:sz w:val="20"/>
                <w:szCs w:val="20"/>
                <w:color w:val="auto"/>
              </w:rPr>
            </w:pPr>
            <w:r>
              <w:rPr>
                <w:rFonts w:ascii="Arial" w:cs="Arial" w:eastAsia="Arial" w:hAnsi="Arial"/>
                <w:sz w:val="14"/>
                <w:szCs w:val="14"/>
                <w:color w:val="auto"/>
              </w:rPr>
              <w:t>($167,781)</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($41,322)</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($68,333)</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($20,316)</w:t>
            </w:r>
          </w:p>
        </w:tc>
      </w:tr>
      <w:tr>
        <w:trPr>
          <w:trHeight w:val="47"/>
        </w:trPr>
        <w:tc>
          <w:tcPr>
            <w:tcW w:w="29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r>
      <w:tr>
        <w:trPr>
          <w:trHeight w:val="192"/>
        </w:trPr>
        <w:tc>
          <w:tcPr>
            <w:tcW w:w="2960" w:type="dxa"/>
            <w:vAlign w:val="bottom"/>
          </w:tcPr>
          <w:p>
            <w:pPr>
              <w:ind w:left="60"/>
              <w:spacing w:after="0"/>
              <w:rPr>
                <w:sz w:val="20"/>
                <w:szCs w:val="20"/>
                <w:color w:val="auto"/>
              </w:rPr>
            </w:pPr>
            <w:r>
              <w:rPr>
                <w:rFonts w:ascii="Arial" w:cs="Arial" w:eastAsia="Arial" w:hAnsi="Arial"/>
                <w:sz w:val="14"/>
                <w:szCs w:val="14"/>
                <w:color w:val="auto"/>
              </w:rPr>
              <w:t>Change in value of awards vesting during</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4"/>
        </w:trPr>
        <w:tc>
          <w:tcPr>
            <w:tcW w:w="2960" w:type="dxa"/>
            <w:vAlign w:val="bottom"/>
          </w:tcPr>
          <w:p>
            <w:pPr>
              <w:ind w:left="60"/>
              <w:spacing w:after="0"/>
              <w:rPr>
                <w:sz w:val="20"/>
                <w:szCs w:val="20"/>
                <w:color w:val="auto"/>
              </w:rPr>
            </w:pPr>
            <w:r>
              <w:rPr>
                <w:rFonts w:ascii="Arial" w:cs="Arial" w:eastAsia="Arial" w:hAnsi="Arial"/>
                <w:sz w:val="14"/>
                <w:szCs w:val="14"/>
                <w:color w:val="auto"/>
              </w:rPr>
              <w:t>current year from the prior years</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$66,830</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$20,763</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$98,065</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$22,069</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$7,513</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$2,122</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($73,595)</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($18,452)</w:t>
            </w:r>
          </w:p>
        </w:tc>
      </w:tr>
      <w:tr>
        <w:trPr>
          <w:trHeight w:val="47"/>
        </w:trPr>
        <w:tc>
          <w:tcPr>
            <w:tcW w:w="29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r>
      <w:tr>
        <w:trPr>
          <w:trHeight w:val="192"/>
        </w:trPr>
        <w:tc>
          <w:tcPr>
            <w:tcW w:w="2960" w:type="dxa"/>
            <w:vAlign w:val="bottom"/>
          </w:tcPr>
          <w:p>
            <w:pPr>
              <w:ind w:left="60"/>
              <w:spacing w:after="0"/>
              <w:rPr>
                <w:sz w:val="20"/>
                <w:szCs w:val="20"/>
                <w:color w:val="auto"/>
              </w:rPr>
            </w:pPr>
            <w:r>
              <w:rPr>
                <w:rFonts w:ascii="Arial" w:cs="Arial" w:eastAsia="Arial" w:hAnsi="Arial"/>
                <w:sz w:val="14"/>
                <w:szCs w:val="14"/>
                <w:color w:val="auto"/>
              </w:rPr>
              <w:t>Prior FYE value for awards not meeting</w:t>
            </w: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4"/>
        </w:trPr>
        <w:tc>
          <w:tcPr>
            <w:tcW w:w="2960" w:type="dxa"/>
            <w:vAlign w:val="bottom"/>
          </w:tcPr>
          <w:p>
            <w:pPr>
              <w:ind w:left="60"/>
              <w:spacing w:after="0"/>
              <w:rPr>
                <w:sz w:val="20"/>
                <w:szCs w:val="20"/>
                <w:color w:val="auto"/>
              </w:rPr>
            </w:pPr>
            <w:r>
              <w:rPr>
                <w:rFonts w:ascii="Arial" w:cs="Arial" w:eastAsia="Arial" w:hAnsi="Arial"/>
                <w:sz w:val="14"/>
                <w:szCs w:val="14"/>
                <w:color w:val="auto"/>
              </w:rPr>
              <w:t>performance requirements</w:t>
            </w:r>
          </w:p>
        </w:tc>
        <w:tc>
          <w:tcPr>
            <w:tcW w:w="1040" w:type="dxa"/>
            <w:vAlign w:val="bottom"/>
          </w:tcPr>
          <w:p>
            <w:pPr>
              <w:jc w:val="right"/>
              <w:ind w:right="151"/>
              <w:spacing w:after="0"/>
              <w:rPr>
                <w:sz w:val="20"/>
                <w:szCs w:val="20"/>
                <w:color w:val="auto"/>
              </w:rPr>
            </w:pPr>
            <w:r>
              <w:rPr>
                <w:rFonts w:ascii="Arial" w:cs="Arial" w:eastAsia="Arial" w:hAnsi="Arial"/>
                <w:sz w:val="14"/>
                <w:szCs w:val="14"/>
                <w:color w:val="auto"/>
              </w:rPr>
              <w:t>($812,048)</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($183,487)</w:t>
            </w:r>
          </w:p>
        </w:tc>
        <w:tc>
          <w:tcPr>
            <w:tcW w:w="1040" w:type="dxa"/>
            <w:vAlign w:val="bottom"/>
          </w:tcPr>
          <w:p>
            <w:pPr>
              <w:jc w:val="right"/>
              <w:ind w:right="131"/>
              <w:spacing w:after="0"/>
              <w:rPr>
                <w:sz w:val="20"/>
                <w:szCs w:val="20"/>
                <w:color w:val="auto"/>
              </w:rPr>
            </w:pPr>
            <w:r>
              <w:rPr>
                <w:rFonts w:ascii="Arial" w:cs="Arial" w:eastAsia="Arial" w:hAnsi="Arial"/>
                <w:sz w:val="14"/>
                <w:szCs w:val="14"/>
                <w:color w:val="auto"/>
              </w:rPr>
              <w:t>($191,086)</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($41,686)</w:t>
            </w:r>
          </w:p>
        </w:tc>
        <w:tc>
          <w:tcPr>
            <w:tcW w:w="1040" w:type="dxa"/>
            <w:vAlign w:val="bottom"/>
          </w:tcPr>
          <w:p>
            <w:pPr>
              <w:jc w:val="right"/>
              <w:ind w:right="131"/>
              <w:spacing w:after="0"/>
              <w:rPr>
                <w:sz w:val="20"/>
                <w:szCs w:val="20"/>
                <w:color w:val="auto"/>
              </w:rPr>
            </w:pPr>
            <w:r>
              <w:rPr>
                <w:rFonts w:ascii="Arial" w:cs="Arial" w:eastAsia="Arial" w:hAnsi="Arial"/>
                <w:sz w:val="14"/>
                <w:szCs w:val="14"/>
                <w:color w:val="auto"/>
              </w:rPr>
              <w:t>($227,577)</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($53,637)</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47"/>
        </w:trPr>
        <w:tc>
          <w:tcPr>
            <w:tcW w:w="29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r>
      <w:tr>
        <w:trPr>
          <w:trHeight w:val="219"/>
        </w:trPr>
        <w:tc>
          <w:tcPr>
            <w:tcW w:w="2960" w:type="dxa"/>
            <w:vAlign w:val="bottom"/>
          </w:tcPr>
          <w:p>
            <w:pPr>
              <w:ind w:left="60"/>
              <w:spacing w:after="0"/>
              <w:rPr>
                <w:sz w:val="20"/>
                <w:szCs w:val="20"/>
                <w:color w:val="auto"/>
              </w:rPr>
            </w:pPr>
            <w:r>
              <w:rPr>
                <w:rFonts w:ascii="Arial" w:cs="Arial" w:eastAsia="Arial" w:hAnsi="Arial"/>
                <w:sz w:val="14"/>
                <w:szCs w:val="14"/>
                <w:color w:val="auto"/>
              </w:rPr>
              <w:t>Dividends accrued on unvested stock awards</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$25,703</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$9,948</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$9,957</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$3,404</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$1,998</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$877</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$1,082</w:t>
            </w:r>
          </w:p>
        </w:tc>
        <w:tc>
          <w:tcPr>
            <w:tcW w:w="860" w:type="dxa"/>
            <w:vAlign w:val="bottom"/>
          </w:tcPr>
          <w:p>
            <w:pPr>
              <w:jc w:val="right"/>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19"/>
                <w:szCs w:val="19"/>
                <w:color w:val="auto"/>
              </w:rPr>
            </w:pPr>
          </w:p>
        </w:tc>
      </w:tr>
      <w:tr>
        <w:trPr>
          <w:trHeight w:val="47"/>
        </w:trPr>
        <w:tc>
          <w:tcPr>
            <w:tcW w:w="29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r>
      <w:tr>
        <w:trPr>
          <w:trHeight w:val="219"/>
        </w:trPr>
        <w:tc>
          <w:tcPr>
            <w:tcW w:w="2960" w:type="dxa"/>
            <w:vAlign w:val="bottom"/>
          </w:tcPr>
          <w:p>
            <w:pPr>
              <w:ind w:left="60"/>
              <w:spacing w:after="0"/>
              <w:rPr>
                <w:sz w:val="20"/>
                <w:szCs w:val="20"/>
                <w:color w:val="auto"/>
              </w:rPr>
            </w:pPr>
            <w:r>
              <w:rPr>
                <w:rFonts w:ascii="Arial" w:cs="Arial" w:eastAsia="Arial" w:hAnsi="Arial"/>
                <w:sz w:val="14"/>
                <w:szCs w:val="14"/>
                <w:color w:val="auto"/>
              </w:rPr>
              <w:t>Compensation Actually Paid</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$4,313,597</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$1,555,635</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$2,762,629</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$1,150,597</w:t>
            </w:r>
          </w:p>
        </w:tc>
        <w:tc>
          <w:tcPr>
            <w:tcW w:w="1040" w:type="dxa"/>
            <w:vAlign w:val="bottom"/>
          </w:tcPr>
          <w:p>
            <w:pPr>
              <w:jc w:val="right"/>
              <w:ind w:right="171"/>
              <w:spacing w:after="0"/>
              <w:rPr>
                <w:sz w:val="20"/>
                <w:szCs w:val="20"/>
                <w:color w:val="auto"/>
              </w:rPr>
            </w:pPr>
            <w:r>
              <w:rPr>
                <w:rFonts w:ascii="Arial" w:cs="Arial" w:eastAsia="Arial" w:hAnsi="Arial"/>
                <w:sz w:val="14"/>
                <w:szCs w:val="14"/>
                <w:color w:val="auto"/>
              </w:rPr>
              <w:t>$2,864,364</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$1,362,908</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$1,334,735</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$827,855</w:t>
            </w:r>
          </w:p>
        </w:tc>
      </w:tr>
      <w:tr>
        <w:trPr>
          <w:trHeight w:val="47"/>
        </w:trPr>
        <w:tc>
          <w:tcPr>
            <w:tcW w:w="29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r>
    </w:tbl>
    <w:p>
      <w:pPr>
        <w:spacing w:after="0" w:line="99" w:lineRule="exact"/>
        <w:rPr>
          <w:sz w:val="20"/>
          <w:szCs w:val="20"/>
          <w:color w:val="auto"/>
        </w:rPr>
      </w:pPr>
    </w:p>
    <w:p>
      <w:pPr>
        <w:ind w:left="304" w:right="260" w:hanging="304"/>
        <w:spacing w:after="0" w:line="239" w:lineRule="auto"/>
        <w:tabs>
          <w:tab w:leader="none" w:pos="304" w:val="left"/>
        </w:tabs>
        <w:numPr>
          <w:ilvl w:val="0"/>
          <w:numId w:val="52"/>
        </w:numPr>
        <w:rPr>
          <w:rFonts w:ascii="Arial" w:cs="Arial" w:eastAsia="Arial" w:hAnsi="Arial"/>
          <w:sz w:val="12"/>
          <w:szCs w:val="12"/>
          <w:color w:val="auto"/>
        </w:rPr>
      </w:pPr>
      <w:r>
        <w:rPr>
          <w:rFonts w:ascii="Arial" w:cs="Arial" w:eastAsia="Arial" w:hAnsi="Arial"/>
          <w:sz w:val="12"/>
          <w:szCs w:val="12"/>
          <w:color w:val="auto"/>
        </w:rPr>
        <w:t>Compensation for the non-principal executive officer (“CEO”) and average compensation for non-CEO named executive officers (“NEOs”) reflected in columns (c) and (e) represent the following individuals for the years shown: 2023 – Peter W. Quigley, Olivier G. Thirot, Daniel H. Malan, Vanessa P. Williams and Dinette Koolhaas, 2022 – Peter W. Quigley, Olivier G. Thirot, Dinette Koolhaas, Vanessa P. Williams, and Darren L. Simons, 2021 – Peter W. Quigley, Olivier G. Thirot, Dinette Koolhaas, Tammy L. Browning, and Timothy L. Dupree, 2020 – Peter W. Quigley, Olivier G. Thirot, Dinette Koolhaas, Tammy L. Browning, and Daniel H. Malan.</w:t>
      </w:r>
    </w:p>
    <w:p>
      <w:pPr>
        <w:spacing w:after="0" w:line="48" w:lineRule="exact"/>
        <w:rPr>
          <w:rFonts w:ascii="Arial" w:cs="Arial" w:eastAsia="Arial" w:hAnsi="Arial"/>
          <w:sz w:val="12"/>
          <w:szCs w:val="12"/>
          <w:color w:val="auto"/>
        </w:rPr>
      </w:pPr>
    </w:p>
    <w:p>
      <w:pPr>
        <w:ind w:left="304" w:right="200" w:hanging="304"/>
        <w:spacing w:after="0" w:line="239" w:lineRule="auto"/>
        <w:tabs>
          <w:tab w:leader="none" w:pos="304" w:val="left"/>
        </w:tabs>
        <w:numPr>
          <w:ilvl w:val="0"/>
          <w:numId w:val="52"/>
        </w:numPr>
        <w:rPr>
          <w:rFonts w:ascii="Arial" w:cs="Arial" w:eastAsia="Arial" w:hAnsi="Arial"/>
          <w:sz w:val="12"/>
          <w:szCs w:val="12"/>
          <w:color w:val="auto"/>
        </w:rPr>
      </w:pPr>
      <w:r>
        <w:rPr>
          <w:rFonts w:ascii="Arial" w:cs="Arial" w:eastAsia="Arial" w:hAnsi="Arial"/>
          <w:sz w:val="12"/>
          <w:szCs w:val="12"/>
          <w:color w:val="auto"/>
        </w:rPr>
        <w:t>As permitted by SEC rules, the peer group referenced for purpose of the TSR comparison is the group of companies included in the S&amp;P 1500 Human Resources and Employment Services Index, which is the industry peer group used for purposes of item 201(e) of Regulation S-K as well as used in the Company’s Annual Report on Form 10-K for the year ended December 31, 2023. TSR is cumulative (assuming $100 was invested on December 31, 2019) for the measurement period ending December 31, 2019 and ending on December 31 of 2023, 2022, 2021, 2020, respectively.</w:t>
      </w:r>
    </w:p>
    <w:p>
      <w:pPr>
        <w:spacing w:after="0" w:line="57" w:lineRule="exact"/>
        <w:rPr>
          <w:sz w:val="20"/>
          <w:szCs w:val="20"/>
          <w:color w:val="auto"/>
        </w:rPr>
      </w:pPr>
    </w:p>
    <w:p>
      <w:pPr>
        <w:ind w:left="64"/>
        <w:spacing w:after="0"/>
        <w:tabs>
          <w:tab w:leader="none" w:pos="563" w:val="left"/>
        </w:tabs>
        <w:rPr>
          <w:sz w:val="20"/>
          <w:szCs w:val="20"/>
          <w:color w:val="auto"/>
        </w:rPr>
      </w:pPr>
      <w:r>
        <w:rPr>
          <w:rFonts w:ascii="Arial" w:cs="Arial" w:eastAsia="Arial" w:hAnsi="Arial"/>
          <w:sz w:val="36"/>
          <w:szCs w:val="36"/>
          <w:color w:val="auto"/>
          <w:vertAlign w:val="superscript"/>
        </w:rPr>
        <w:t>74 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-214630</wp:posOffset>
            </wp:positionV>
            <wp:extent cx="8255" cy="2228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423" w:right="6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Pay vs. Performance</w:t>
      </w:r>
    </w:p>
    <w:p>
      <w:pPr>
        <w:spacing w:after="0" w:line="132" w:lineRule="exact"/>
        <w:rPr>
          <w:sz w:val="20"/>
          <w:szCs w:val="20"/>
          <w:color w:val="auto"/>
        </w:rPr>
      </w:pPr>
    </w:p>
    <w:tbl>
      <w:tblPr>
        <w:tblLayout w:type="fixed"/>
        <w:tblInd w:w="320" w:type="dxa"/>
        <w:tblCellMar>
          <w:top w:w="0" w:type="dxa"/>
          <w:left w:w="0" w:type="dxa"/>
          <w:bottom w:w="0" w:type="dxa"/>
          <w:right w:w="0" w:type="dxa"/>
        </w:tblCellMar>
      </w:tblPr>
      <w:tr>
        <w:trPr>
          <w:trHeight w:val="160"/>
        </w:trPr>
        <w:tc>
          <w:tcPr>
            <w:tcW w:w="6160" w:type="dxa"/>
            <w:vAlign w:val="bottom"/>
          </w:tcPr>
          <w:p>
            <w:pPr>
              <w:spacing w:after="0"/>
              <w:rPr>
                <w:sz w:val="20"/>
                <w:szCs w:val="20"/>
                <w:color w:val="auto"/>
              </w:rPr>
            </w:pPr>
            <w:r>
              <w:rPr>
                <w:rFonts w:ascii="Arial" w:cs="Arial" w:eastAsia="Arial" w:hAnsi="Arial"/>
                <w:sz w:val="12"/>
                <w:szCs w:val="12"/>
                <w:color w:val="auto"/>
              </w:rPr>
              <w:t>(4)   The following amounts are the reconciliation of the CSM, EFO (in millions):</w:t>
            </w:r>
          </w:p>
        </w:tc>
        <w:tc>
          <w:tcPr>
            <w:tcW w:w="2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04"/>
        </w:trPr>
        <w:tc>
          <w:tcPr>
            <w:tcW w:w="6160" w:type="dxa"/>
            <w:vAlign w:val="bottom"/>
          </w:tcPr>
          <w:p>
            <w:pPr>
              <w:spacing w:after="0"/>
              <w:rPr>
                <w:sz w:val="24"/>
                <w:szCs w:val="24"/>
                <w:color w:val="auto"/>
              </w:rPr>
            </w:pPr>
          </w:p>
        </w:tc>
        <w:tc>
          <w:tcPr>
            <w:tcW w:w="2400" w:type="dxa"/>
            <w:vAlign w:val="bottom"/>
          </w:tcPr>
          <w:p>
            <w:pPr>
              <w:jc w:val="right"/>
              <w:ind w:right="191"/>
              <w:spacing w:after="0"/>
              <w:rPr>
                <w:sz w:val="20"/>
                <w:szCs w:val="20"/>
                <w:color w:val="auto"/>
              </w:rPr>
            </w:pPr>
            <w:r>
              <w:rPr>
                <w:rFonts w:ascii="Arial" w:cs="Arial" w:eastAsia="Arial" w:hAnsi="Arial"/>
                <w:sz w:val="14"/>
                <w:szCs w:val="14"/>
                <w:b w:val="1"/>
                <w:bCs w:val="1"/>
                <w:color w:val="0A9E50"/>
              </w:rPr>
              <w:t>2023</w:t>
            </w:r>
          </w:p>
        </w:tc>
        <w:tc>
          <w:tcPr>
            <w:tcW w:w="700" w:type="dxa"/>
            <w:vAlign w:val="bottom"/>
          </w:tcPr>
          <w:p>
            <w:pPr>
              <w:jc w:val="right"/>
              <w:ind w:right="231"/>
              <w:spacing w:after="0"/>
              <w:rPr>
                <w:sz w:val="20"/>
                <w:szCs w:val="20"/>
                <w:color w:val="auto"/>
              </w:rPr>
            </w:pPr>
            <w:r>
              <w:rPr>
                <w:rFonts w:ascii="Arial" w:cs="Arial" w:eastAsia="Arial" w:hAnsi="Arial"/>
                <w:sz w:val="14"/>
                <w:szCs w:val="14"/>
                <w:b w:val="1"/>
                <w:bCs w:val="1"/>
                <w:color w:val="0A9E50"/>
              </w:rPr>
              <w:t>2022</w:t>
            </w:r>
          </w:p>
        </w:tc>
        <w:tc>
          <w:tcPr>
            <w:tcW w:w="640" w:type="dxa"/>
            <w:vAlign w:val="bottom"/>
          </w:tcPr>
          <w:p>
            <w:pPr>
              <w:jc w:val="right"/>
              <w:ind w:right="171"/>
              <w:spacing w:after="0"/>
              <w:rPr>
                <w:sz w:val="20"/>
                <w:szCs w:val="20"/>
                <w:color w:val="auto"/>
              </w:rPr>
            </w:pPr>
            <w:r>
              <w:rPr>
                <w:rFonts w:ascii="Arial" w:cs="Arial" w:eastAsia="Arial" w:hAnsi="Arial"/>
                <w:sz w:val="14"/>
                <w:szCs w:val="14"/>
                <w:b w:val="1"/>
                <w:bCs w:val="1"/>
                <w:color w:val="0A9E50"/>
              </w:rPr>
              <w:t>2021</w:t>
            </w: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0A9E50"/>
              </w:rPr>
              <w:t>2020</w:t>
            </w:r>
          </w:p>
        </w:tc>
      </w:tr>
      <w:tr>
        <w:trPr>
          <w:trHeight w:val="39"/>
        </w:trPr>
        <w:tc>
          <w:tcPr>
            <w:tcW w:w="616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19"/>
        </w:trPr>
        <w:tc>
          <w:tcPr>
            <w:tcW w:w="6160" w:type="dxa"/>
            <w:vAlign w:val="bottom"/>
          </w:tcPr>
          <w:p>
            <w:pPr>
              <w:ind w:left="60"/>
              <w:spacing w:after="0"/>
              <w:rPr>
                <w:sz w:val="20"/>
                <w:szCs w:val="20"/>
                <w:color w:val="auto"/>
              </w:rPr>
            </w:pPr>
            <w:r>
              <w:rPr>
                <w:rFonts w:ascii="Arial" w:cs="Arial" w:eastAsia="Arial" w:hAnsi="Arial"/>
                <w:sz w:val="14"/>
                <w:szCs w:val="14"/>
                <w:color w:val="auto"/>
              </w:rPr>
              <w:t>As Reported</w:t>
            </w:r>
          </w:p>
        </w:tc>
        <w:tc>
          <w:tcPr>
            <w:tcW w:w="2400" w:type="dxa"/>
            <w:vAlign w:val="bottom"/>
          </w:tcPr>
          <w:p>
            <w:pPr>
              <w:jc w:val="right"/>
              <w:ind w:right="151"/>
              <w:spacing w:after="0"/>
              <w:rPr>
                <w:sz w:val="20"/>
                <w:szCs w:val="20"/>
                <w:color w:val="auto"/>
              </w:rPr>
            </w:pPr>
            <w:r>
              <w:rPr>
                <w:rFonts w:ascii="Arial" w:cs="Arial" w:eastAsia="Arial" w:hAnsi="Arial"/>
                <w:sz w:val="14"/>
                <w:szCs w:val="14"/>
                <w:color w:val="auto"/>
              </w:rPr>
              <w:t>$24.3</w:t>
            </w:r>
          </w:p>
        </w:tc>
        <w:tc>
          <w:tcPr>
            <w:tcW w:w="700" w:type="dxa"/>
            <w:vAlign w:val="bottom"/>
          </w:tcPr>
          <w:p>
            <w:pPr>
              <w:jc w:val="right"/>
              <w:ind w:right="191"/>
              <w:spacing w:after="0"/>
              <w:rPr>
                <w:sz w:val="20"/>
                <w:szCs w:val="20"/>
                <w:color w:val="auto"/>
              </w:rPr>
            </w:pPr>
            <w:r>
              <w:rPr>
                <w:rFonts w:ascii="Arial" w:cs="Arial" w:eastAsia="Arial" w:hAnsi="Arial"/>
                <w:sz w:val="14"/>
                <w:szCs w:val="14"/>
                <w:color w:val="auto"/>
              </w:rPr>
              <w:t>$14.8</w:t>
            </w:r>
          </w:p>
        </w:tc>
        <w:tc>
          <w:tcPr>
            <w:tcW w:w="640" w:type="dxa"/>
            <w:vAlign w:val="bottom"/>
          </w:tcPr>
          <w:p>
            <w:pPr>
              <w:jc w:val="right"/>
              <w:ind w:right="131"/>
              <w:spacing w:after="0"/>
              <w:rPr>
                <w:sz w:val="20"/>
                <w:szCs w:val="20"/>
                <w:color w:val="auto"/>
              </w:rPr>
            </w:pPr>
            <w:r>
              <w:rPr>
                <w:rFonts w:ascii="Arial" w:cs="Arial" w:eastAsia="Arial" w:hAnsi="Arial"/>
                <w:sz w:val="14"/>
                <w:szCs w:val="14"/>
                <w:color w:val="auto"/>
              </w:rPr>
              <w:t>$48.6</w:t>
            </w:r>
          </w:p>
        </w:tc>
        <w:tc>
          <w:tcPr>
            <w:tcW w:w="720" w:type="dxa"/>
            <w:vAlign w:val="bottom"/>
          </w:tcPr>
          <w:p>
            <w:pPr>
              <w:jc w:val="right"/>
              <w:ind w:right="114"/>
              <w:spacing w:after="0"/>
              <w:rPr>
                <w:sz w:val="20"/>
                <w:szCs w:val="20"/>
                <w:color w:val="auto"/>
              </w:rPr>
            </w:pPr>
            <w:r>
              <w:rPr>
                <w:rFonts w:ascii="Arial" w:cs="Arial" w:eastAsia="Arial" w:hAnsi="Arial"/>
                <w:sz w:val="14"/>
                <w:szCs w:val="14"/>
                <w:color w:val="auto"/>
              </w:rPr>
              <w:t>($93.6)</w:t>
            </w:r>
          </w:p>
        </w:tc>
      </w:tr>
      <w:tr>
        <w:trPr>
          <w:trHeight w:val="47"/>
        </w:trPr>
        <w:tc>
          <w:tcPr>
            <w:tcW w:w="6160" w:type="dxa"/>
            <w:vAlign w:val="bottom"/>
            <w:tcBorders>
              <w:bottom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r>
      <w:tr>
        <w:trPr>
          <w:trHeight w:val="266"/>
        </w:trPr>
        <w:tc>
          <w:tcPr>
            <w:tcW w:w="616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Gain on sale of assets</w:t>
            </w:r>
          </w:p>
        </w:tc>
        <w:tc>
          <w:tcPr>
            <w:tcW w:w="2400" w:type="dxa"/>
            <w:vAlign w:val="bottom"/>
            <w:tcBorders>
              <w:bottom w:val="single" w:sz="8" w:color="7F7F7F"/>
            </w:tcBorders>
          </w:tcPr>
          <w:p>
            <w:pPr>
              <w:spacing w:after="0"/>
              <w:rPr>
                <w:sz w:val="23"/>
                <w:szCs w:val="23"/>
                <w:color w:val="auto"/>
              </w:rPr>
            </w:pPr>
          </w:p>
        </w:tc>
        <w:tc>
          <w:tcPr>
            <w:tcW w:w="700" w:type="dxa"/>
            <w:vAlign w:val="bottom"/>
            <w:tcBorders>
              <w:bottom w:val="single" w:sz="8" w:color="7F7F7F"/>
            </w:tcBorders>
          </w:tcPr>
          <w:p>
            <w:pPr>
              <w:jc w:val="right"/>
              <w:ind w:right="51"/>
              <w:spacing w:after="0"/>
              <w:rPr>
                <w:sz w:val="20"/>
                <w:szCs w:val="20"/>
                <w:color w:val="auto"/>
              </w:rPr>
            </w:pPr>
            <w:r>
              <w:rPr>
                <w:rFonts w:ascii="Arial" w:cs="Arial" w:eastAsia="Arial" w:hAnsi="Arial"/>
                <w:sz w:val="14"/>
                <w:szCs w:val="14"/>
                <w:color w:val="auto"/>
              </w:rPr>
              <w:t>(6.2)</w:t>
            </w:r>
            <w:r>
              <w:rPr>
                <w:rFonts w:ascii="Arial" w:cs="Arial" w:eastAsia="Arial" w:hAnsi="Arial"/>
                <w:sz w:val="17"/>
                <w:szCs w:val="17"/>
                <w:color w:val="auto"/>
                <w:vertAlign w:val="superscript"/>
              </w:rPr>
              <w:t>(4)</w:t>
            </w:r>
          </w:p>
        </w:tc>
        <w:tc>
          <w:tcPr>
            <w:tcW w:w="640" w:type="dxa"/>
            <w:vAlign w:val="bottom"/>
            <w:tcBorders>
              <w:bottom w:val="single" w:sz="8" w:color="7F7F7F"/>
            </w:tcBorders>
          </w:tcPr>
          <w:p>
            <w:pPr>
              <w:spacing w:after="0"/>
              <w:rPr>
                <w:sz w:val="23"/>
                <w:szCs w:val="23"/>
                <w:color w:val="auto"/>
              </w:rPr>
            </w:pP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(32.1)</w:t>
            </w:r>
            <w:r>
              <w:rPr>
                <w:rFonts w:ascii="Arial" w:cs="Arial" w:eastAsia="Arial" w:hAnsi="Arial"/>
                <w:sz w:val="17"/>
                <w:szCs w:val="17"/>
                <w:color w:val="auto"/>
                <w:vertAlign w:val="superscript"/>
              </w:rPr>
              <w:t>(8)</w:t>
            </w:r>
          </w:p>
        </w:tc>
      </w:tr>
      <w:tr>
        <w:trPr>
          <w:trHeight w:val="266"/>
        </w:trPr>
        <w:tc>
          <w:tcPr>
            <w:tcW w:w="616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Loss on disposal</w:t>
            </w:r>
          </w:p>
        </w:tc>
        <w:tc>
          <w:tcPr>
            <w:tcW w:w="2400" w:type="dxa"/>
            <w:vAlign w:val="bottom"/>
            <w:tcBorders>
              <w:bottom w:val="single" w:sz="8" w:color="7F7F7F"/>
            </w:tcBorders>
          </w:tcPr>
          <w:p>
            <w:pPr>
              <w:spacing w:after="0"/>
              <w:rPr>
                <w:sz w:val="23"/>
                <w:szCs w:val="23"/>
                <w:color w:val="auto"/>
              </w:rPr>
            </w:pPr>
          </w:p>
        </w:tc>
        <w:tc>
          <w:tcPr>
            <w:tcW w:w="700" w:type="dxa"/>
            <w:vAlign w:val="bottom"/>
            <w:tcBorders>
              <w:bottom w:val="single" w:sz="8" w:color="7F7F7F"/>
            </w:tcBorders>
          </w:tcPr>
          <w:p>
            <w:pPr>
              <w:jc w:val="right"/>
              <w:ind w:right="91"/>
              <w:spacing w:after="0"/>
              <w:rPr>
                <w:sz w:val="20"/>
                <w:szCs w:val="20"/>
                <w:color w:val="auto"/>
              </w:rPr>
            </w:pPr>
            <w:r>
              <w:rPr>
                <w:rFonts w:ascii="Arial" w:cs="Arial" w:eastAsia="Arial" w:hAnsi="Arial"/>
                <w:sz w:val="14"/>
                <w:szCs w:val="14"/>
                <w:color w:val="auto"/>
              </w:rPr>
              <w:t>18.7</w:t>
            </w:r>
            <w:r>
              <w:rPr>
                <w:rFonts w:ascii="Arial" w:cs="Arial" w:eastAsia="Arial" w:hAnsi="Arial"/>
                <w:sz w:val="17"/>
                <w:szCs w:val="17"/>
                <w:color w:val="auto"/>
                <w:vertAlign w:val="superscript"/>
              </w:rPr>
              <w:t>(5)</w:t>
            </w:r>
          </w:p>
        </w:tc>
        <w:tc>
          <w:tcPr>
            <w:tcW w:w="640" w:type="dxa"/>
            <w:vAlign w:val="bottom"/>
            <w:tcBorders>
              <w:bottom w:val="single" w:sz="8" w:color="7F7F7F"/>
            </w:tcBorders>
          </w:tcPr>
          <w:p>
            <w:pPr>
              <w:spacing w:after="0"/>
              <w:rPr>
                <w:sz w:val="23"/>
                <w:szCs w:val="23"/>
                <w:color w:val="auto"/>
              </w:rPr>
            </w:pPr>
          </w:p>
        </w:tc>
        <w:tc>
          <w:tcPr>
            <w:tcW w:w="720" w:type="dxa"/>
            <w:vAlign w:val="bottom"/>
            <w:tcBorders>
              <w:bottom w:val="single" w:sz="8" w:color="7F7F7F"/>
            </w:tcBorders>
          </w:tcPr>
          <w:p>
            <w:pPr>
              <w:spacing w:after="0"/>
              <w:rPr>
                <w:sz w:val="23"/>
                <w:szCs w:val="23"/>
                <w:color w:val="auto"/>
              </w:rPr>
            </w:pPr>
          </w:p>
        </w:tc>
      </w:tr>
      <w:tr>
        <w:trPr>
          <w:trHeight w:val="266"/>
        </w:trPr>
        <w:tc>
          <w:tcPr>
            <w:tcW w:w="616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Goodwill impairment charge</w:t>
            </w:r>
          </w:p>
        </w:tc>
        <w:tc>
          <w:tcPr>
            <w:tcW w:w="2400" w:type="dxa"/>
            <w:vAlign w:val="bottom"/>
            <w:tcBorders>
              <w:bottom w:val="single" w:sz="8" w:color="7F7F7F"/>
            </w:tcBorders>
          </w:tcPr>
          <w:p>
            <w:pPr>
              <w:spacing w:after="0"/>
              <w:rPr>
                <w:sz w:val="23"/>
                <w:szCs w:val="23"/>
                <w:color w:val="auto"/>
              </w:rPr>
            </w:pPr>
          </w:p>
        </w:tc>
        <w:tc>
          <w:tcPr>
            <w:tcW w:w="700" w:type="dxa"/>
            <w:vAlign w:val="bottom"/>
            <w:tcBorders>
              <w:bottom w:val="single" w:sz="8" w:color="7F7F7F"/>
            </w:tcBorders>
          </w:tcPr>
          <w:p>
            <w:pPr>
              <w:jc w:val="right"/>
              <w:ind w:right="91"/>
              <w:spacing w:after="0"/>
              <w:rPr>
                <w:sz w:val="20"/>
                <w:szCs w:val="20"/>
                <w:color w:val="auto"/>
              </w:rPr>
            </w:pPr>
            <w:r>
              <w:rPr>
                <w:rFonts w:ascii="Arial" w:cs="Arial" w:eastAsia="Arial" w:hAnsi="Arial"/>
                <w:sz w:val="14"/>
                <w:szCs w:val="14"/>
                <w:color w:val="auto"/>
              </w:rPr>
              <w:t>41.0</w:t>
            </w:r>
            <w:r>
              <w:rPr>
                <w:rFonts w:ascii="Arial" w:cs="Arial" w:eastAsia="Arial" w:hAnsi="Arial"/>
                <w:sz w:val="17"/>
                <w:szCs w:val="17"/>
                <w:color w:val="auto"/>
                <w:vertAlign w:val="superscript"/>
              </w:rPr>
              <w:t>(6)</w:t>
            </w:r>
          </w:p>
        </w:tc>
        <w:tc>
          <w:tcPr>
            <w:tcW w:w="640" w:type="dxa"/>
            <w:vAlign w:val="bottom"/>
            <w:tcBorders>
              <w:bottom w:val="single" w:sz="8" w:color="7F7F7F"/>
            </w:tcBorders>
          </w:tcPr>
          <w:p>
            <w:pPr>
              <w:spacing w:after="0"/>
              <w:rPr>
                <w:sz w:val="23"/>
                <w:szCs w:val="23"/>
                <w:color w:val="auto"/>
              </w:rPr>
            </w:pPr>
          </w:p>
        </w:tc>
        <w:tc>
          <w:tcPr>
            <w:tcW w:w="720" w:type="dxa"/>
            <w:vAlign w:val="bottom"/>
            <w:tcBorders>
              <w:bottom w:val="single" w:sz="8" w:color="7F7F7F"/>
            </w:tcBorders>
          </w:tcPr>
          <w:p>
            <w:pPr>
              <w:jc w:val="right"/>
              <w:ind w:right="54"/>
              <w:spacing w:after="0"/>
              <w:rPr>
                <w:sz w:val="20"/>
                <w:szCs w:val="20"/>
                <w:color w:val="auto"/>
              </w:rPr>
            </w:pPr>
            <w:r>
              <w:rPr>
                <w:rFonts w:ascii="Arial" w:cs="Arial" w:eastAsia="Arial" w:hAnsi="Arial"/>
                <w:sz w:val="14"/>
                <w:szCs w:val="14"/>
                <w:color w:val="auto"/>
              </w:rPr>
              <w:t>147.7</w:t>
            </w:r>
            <w:r>
              <w:rPr>
                <w:rFonts w:ascii="Arial" w:cs="Arial" w:eastAsia="Arial" w:hAnsi="Arial"/>
                <w:sz w:val="17"/>
                <w:szCs w:val="17"/>
                <w:color w:val="auto"/>
                <w:vertAlign w:val="superscript"/>
              </w:rPr>
              <w:t>(9)</w:t>
            </w:r>
          </w:p>
        </w:tc>
      </w:tr>
      <w:tr>
        <w:trPr>
          <w:trHeight w:val="266"/>
        </w:trPr>
        <w:tc>
          <w:tcPr>
            <w:tcW w:w="616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Asset impairment charge</w:t>
            </w:r>
          </w:p>
        </w:tc>
        <w:tc>
          <w:tcPr>
            <w:tcW w:w="2400" w:type="dxa"/>
            <w:vAlign w:val="bottom"/>
            <w:tcBorders>
              <w:bottom w:val="single" w:sz="8" w:color="7F7F7F"/>
            </w:tcBorders>
          </w:tcPr>
          <w:p>
            <w:pPr>
              <w:jc w:val="right"/>
              <w:ind w:right="31"/>
              <w:spacing w:after="0"/>
              <w:rPr>
                <w:sz w:val="20"/>
                <w:szCs w:val="20"/>
                <w:color w:val="auto"/>
              </w:rPr>
            </w:pPr>
            <w:r>
              <w:rPr>
                <w:rFonts w:ascii="Arial" w:cs="Arial" w:eastAsia="Arial" w:hAnsi="Arial"/>
                <w:sz w:val="14"/>
                <w:szCs w:val="14"/>
                <w:color w:val="auto"/>
              </w:rPr>
              <w:t>2.4</w:t>
            </w:r>
            <w:r>
              <w:rPr>
                <w:rFonts w:ascii="Arial" w:cs="Arial" w:eastAsia="Arial" w:hAnsi="Arial"/>
                <w:sz w:val="17"/>
                <w:szCs w:val="17"/>
                <w:color w:val="auto"/>
                <w:vertAlign w:val="superscript"/>
              </w:rPr>
              <w:t>(1)</w:t>
            </w:r>
          </w:p>
        </w:tc>
        <w:tc>
          <w:tcPr>
            <w:tcW w:w="700" w:type="dxa"/>
            <w:vAlign w:val="bottom"/>
            <w:tcBorders>
              <w:bottom w:val="single" w:sz="8" w:color="7F7F7F"/>
            </w:tcBorders>
          </w:tcPr>
          <w:p>
            <w:pPr>
              <w:spacing w:after="0"/>
              <w:rPr>
                <w:sz w:val="23"/>
                <w:szCs w:val="23"/>
                <w:color w:val="auto"/>
              </w:rPr>
            </w:pPr>
          </w:p>
        </w:tc>
        <w:tc>
          <w:tcPr>
            <w:tcW w:w="640" w:type="dxa"/>
            <w:vAlign w:val="bottom"/>
            <w:tcBorders>
              <w:bottom w:val="single" w:sz="8" w:color="7F7F7F"/>
            </w:tcBorders>
          </w:tcPr>
          <w:p>
            <w:pPr>
              <w:spacing w:after="0"/>
              <w:rPr>
                <w:sz w:val="23"/>
                <w:szCs w:val="23"/>
                <w:color w:val="auto"/>
              </w:rPr>
            </w:pPr>
          </w:p>
        </w:tc>
        <w:tc>
          <w:tcPr>
            <w:tcW w:w="720" w:type="dxa"/>
            <w:vAlign w:val="bottom"/>
            <w:tcBorders>
              <w:bottom w:val="single" w:sz="8" w:color="7F7F7F"/>
            </w:tcBorders>
          </w:tcPr>
          <w:p>
            <w:pPr>
              <w:spacing w:after="0"/>
              <w:rPr>
                <w:sz w:val="23"/>
                <w:szCs w:val="23"/>
                <w:color w:val="auto"/>
              </w:rPr>
            </w:pPr>
          </w:p>
        </w:tc>
      </w:tr>
      <w:tr>
        <w:trPr>
          <w:trHeight w:val="266"/>
        </w:trPr>
        <w:tc>
          <w:tcPr>
            <w:tcW w:w="616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Restructuring charge</w:t>
            </w:r>
          </w:p>
        </w:tc>
        <w:tc>
          <w:tcPr>
            <w:tcW w:w="2400" w:type="dxa"/>
            <w:vAlign w:val="bottom"/>
            <w:tcBorders>
              <w:bottom w:val="single" w:sz="8" w:color="7F7F7F"/>
            </w:tcBorders>
          </w:tcPr>
          <w:p>
            <w:pPr>
              <w:jc w:val="right"/>
              <w:ind w:right="31"/>
              <w:spacing w:after="0"/>
              <w:rPr>
                <w:sz w:val="20"/>
                <w:szCs w:val="20"/>
                <w:color w:val="auto"/>
              </w:rPr>
            </w:pPr>
            <w:r>
              <w:rPr>
                <w:rFonts w:ascii="Arial" w:cs="Arial" w:eastAsia="Arial" w:hAnsi="Arial"/>
                <w:sz w:val="14"/>
                <w:szCs w:val="14"/>
                <w:color w:val="auto"/>
              </w:rPr>
              <w:t>35.5</w:t>
            </w:r>
            <w:r>
              <w:rPr>
                <w:rFonts w:ascii="Arial" w:cs="Arial" w:eastAsia="Arial" w:hAnsi="Arial"/>
                <w:sz w:val="17"/>
                <w:szCs w:val="17"/>
                <w:color w:val="auto"/>
                <w:vertAlign w:val="superscript"/>
              </w:rPr>
              <w:t>(2)</w:t>
            </w:r>
          </w:p>
        </w:tc>
        <w:tc>
          <w:tcPr>
            <w:tcW w:w="700" w:type="dxa"/>
            <w:vAlign w:val="bottom"/>
            <w:tcBorders>
              <w:bottom w:val="single" w:sz="8" w:color="7F7F7F"/>
            </w:tcBorders>
          </w:tcPr>
          <w:p>
            <w:pPr>
              <w:spacing w:after="0"/>
              <w:rPr>
                <w:sz w:val="23"/>
                <w:szCs w:val="23"/>
                <w:color w:val="auto"/>
              </w:rPr>
            </w:pPr>
          </w:p>
        </w:tc>
        <w:tc>
          <w:tcPr>
            <w:tcW w:w="640" w:type="dxa"/>
            <w:vAlign w:val="bottom"/>
            <w:tcBorders>
              <w:bottom w:val="single" w:sz="8" w:color="7F7F7F"/>
            </w:tcBorders>
          </w:tcPr>
          <w:p>
            <w:pPr>
              <w:jc w:val="right"/>
              <w:ind w:right="31"/>
              <w:spacing w:after="0"/>
              <w:rPr>
                <w:sz w:val="20"/>
                <w:szCs w:val="20"/>
                <w:color w:val="auto"/>
              </w:rPr>
            </w:pPr>
            <w:r>
              <w:rPr>
                <w:rFonts w:ascii="Arial" w:cs="Arial" w:eastAsia="Arial" w:hAnsi="Arial"/>
                <w:sz w:val="14"/>
                <w:szCs w:val="14"/>
                <w:color w:val="auto"/>
              </w:rPr>
              <w:t>4.0</w:t>
            </w:r>
            <w:r>
              <w:rPr>
                <w:rFonts w:ascii="Arial" w:cs="Arial" w:eastAsia="Arial" w:hAnsi="Arial"/>
                <w:sz w:val="17"/>
                <w:szCs w:val="17"/>
                <w:color w:val="auto"/>
                <w:vertAlign w:val="superscript"/>
              </w:rPr>
              <w:t>(7)</w:t>
            </w: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12.8</w:t>
            </w:r>
            <w:r>
              <w:rPr>
                <w:rFonts w:ascii="Arial" w:cs="Arial" w:eastAsia="Arial" w:hAnsi="Arial"/>
                <w:sz w:val="17"/>
                <w:szCs w:val="17"/>
                <w:color w:val="auto"/>
                <w:vertAlign w:val="superscript"/>
              </w:rPr>
              <w:t>(10)</w:t>
            </w:r>
          </w:p>
        </w:tc>
      </w:tr>
      <w:tr>
        <w:trPr>
          <w:trHeight w:val="266"/>
        </w:trPr>
        <w:tc>
          <w:tcPr>
            <w:tcW w:w="616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Transaction costs</w:t>
            </w:r>
          </w:p>
        </w:tc>
        <w:tc>
          <w:tcPr>
            <w:tcW w:w="2400" w:type="dxa"/>
            <w:vAlign w:val="bottom"/>
            <w:tcBorders>
              <w:bottom w:val="single" w:sz="8" w:color="7F7F7F"/>
            </w:tcBorders>
          </w:tcPr>
          <w:p>
            <w:pPr>
              <w:jc w:val="right"/>
              <w:ind w:right="31"/>
              <w:spacing w:after="0"/>
              <w:rPr>
                <w:sz w:val="20"/>
                <w:szCs w:val="20"/>
                <w:color w:val="auto"/>
              </w:rPr>
            </w:pPr>
            <w:r>
              <w:rPr>
                <w:rFonts w:ascii="Arial" w:cs="Arial" w:eastAsia="Arial" w:hAnsi="Arial"/>
                <w:sz w:val="14"/>
                <w:szCs w:val="14"/>
                <w:color w:val="auto"/>
              </w:rPr>
              <w:t>6.9</w:t>
            </w:r>
            <w:r>
              <w:rPr>
                <w:rFonts w:ascii="Arial" w:cs="Arial" w:eastAsia="Arial" w:hAnsi="Arial"/>
                <w:sz w:val="17"/>
                <w:szCs w:val="17"/>
                <w:color w:val="auto"/>
                <w:vertAlign w:val="superscript"/>
              </w:rPr>
              <w:t>(3)</w:t>
            </w:r>
          </w:p>
        </w:tc>
        <w:tc>
          <w:tcPr>
            <w:tcW w:w="700" w:type="dxa"/>
            <w:vAlign w:val="bottom"/>
            <w:tcBorders>
              <w:bottom w:val="single" w:sz="8" w:color="7F7F7F"/>
            </w:tcBorders>
          </w:tcPr>
          <w:p>
            <w:pPr>
              <w:spacing w:after="0"/>
              <w:rPr>
                <w:sz w:val="23"/>
                <w:szCs w:val="23"/>
                <w:color w:val="auto"/>
              </w:rPr>
            </w:pPr>
          </w:p>
        </w:tc>
        <w:tc>
          <w:tcPr>
            <w:tcW w:w="640" w:type="dxa"/>
            <w:vAlign w:val="bottom"/>
            <w:tcBorders>
              <w:bottom w:val="single" w:sz="8" w:color="7F7F7F"/>
            </w:tcBorders>
          </w:tcPr>
          <w:p>
            <w:pPr>
              <w:spacing w:after="0"/>
              <w:rPr>
                <w:sz w:val="23"/>
                <w:szCs w:val="23"/>
                <w:color w:val="auto"/>
              </w:rPr>
            </w:pPr>
          </w:p>
        </w:tc>
        <w:tc>
          <w:tcPr>
            <w:tcW w:w="720" w:type="dxa"/>
            <w:vAlign w:val="bottom"/>
            <w:tcBorders>
              <w:bottom w:val="single" w:sz="8" w:color="7F7F7F"/>
            </w:tcBorders>
          </w:tcPr>
          <w:p>
            <w:pPr>
              <w:spacing w:after="0"/>
              <w:rPr>
                <w:sz w:val="23"/>
                <w:szCs w:val="23"/>
                <w:color w:val="auto"/>
              </w:rPr>
            </w:pPr>
          </w:p>
        </w:tc>
      </w:tr>
      <w:tr>
        <w:trPr>
          <w:trHeight w:val="266"/>
        </w:trPr>
        <w:tc>
          <w:tcPr>
            <w:tcW w:w="6160" w:type="dxa"/>
            <w:vAlign w:val="bottom"/>
            <w:tcBorders>
              <w:bottom w:val="single" w:sz="8" w:color="7F7F7F"/>
            </w:tcBorders>
          </w:tcPr>
          <w:p>
            <w:pPr>
              <w:ind w:left="140"/>
              <w:spacing w:after="0"/>
              <w:rPr>
                <w:sz w:val="20"/>
                <w:szCs w:val="20"/>
                <w:color w:val="auto"/>
              </w:rPr>
            </w:pPr>
            <w:r>
              <w:rPr>
                <w:rFonts w:ascii="Arial" w:cs="Arial" w:eastAsia="Arial" w:hAnsi="Arial"/>
                <w:sz w:val="14"/>
                <w:szCs w:val="14"/>
                <w:color w:val="auto"/>
              </w:rPr>
              <w:t>Customer dispute</w:t>
            </w:r>
          </w:p>
        </w:tc>
        <w:tc>
          <w:tcPr>
            <w:tcW w:w="2400" w:type="dxa"/>
            <w:vAlign w:val="bottom"/>
            <w:tcBorders>
              <w:bottom w:val="single" w:sz="8" w:color="7F7F7F"/>
            </w:tcBorders>
          </w:tcPr>
          <w:p>
            <w:pPr>
              <w:spacing w:after="0"/>
              <w:rPr>
                <w:sz w:val="23"/>
                <w:szCs w:val="23"/>
                <w:color w:val="auto"/>
              </w:rPr>
            </w:pPr>
          </w:p>
        </w:tc>
        <w:tc>
          <w:tcPr>
            <w:tcW w:w="700" w:type="dxa"/>
            <w:vAlign w:val="bottom"/>
            <w:tcBorders>
              <w:bottom w:val="single" w:sz="8" w:color="7F7F7F"/>
            </w:tcBorders>
          </w:tcPr>
          <w:p>
            <w:pPr>
              <w:spacing w:after="0"/>
              <w:rPr>
                <w:sz w:val="23"/>
                <w:szCs w:val="23"/>
                <w:color w:val="auto"/>
              </w:rPr>
            </w:pPr>
          </w:p>
        </w:tc>
        <w:tc>
          <w:tcPr>
            <w:tcW w:w="640" w:type="dxa"/>
            <w:vAlign w:val="bottom"/>
            <w:tcBorders>
              <w:bottom w:val="single" w:sz="8" w:color="7F7F7F"/>
            </w:tcBorders>
          </w:tcPr>
          <w:p>
            <w:pPr>
              <w:spacing w:after="0"/>
              <w:rPr>
                <w:sz w:val="23"/>
                <w:szCs w:val="23"/>
                <w:color w:val="auto"/>
              </w:rPr>
            </w:pPr>
          </w:p>
        </w:tc>
        <w:tc>
          <w:tcPr>
            <w:tcW w:w="720" w:type="dxa"/>
            <w:vAlign w:val="bottom"/>
            <w:tcBorders>
              <w:bottom w:val="single" w:sz="8" w:color="7F7F7F"/>
            </w:tcBorders>
          </w:tcPr>
          <w:p>
            <w:pPr>
              <w:jc w:val="right"/>
              <w:ind w:right="14"/>
              <w:spacing w:after="0" w:line="266" w:lineRule="exact"/>
              <w:rPr>
                <w:sz w:val="20"/>
                <w:szCs w:val="20"/>
                <w:color w:val="auto"/>
              </w:rPr>
            </w:pPr>
            <w:r>
              <w:rPr>
                <w:rFonts w:ascii="Arial" w:cs="Arial" w:eastAsia="Arial" w:hAnsi="Arial"/>
                <w:sz w:val="27"/>
                <w:szCs w:val="27"/>
                <w:color w:val="auto"/>
                <w:vertAlign w:val="subscript"/>
              </w:rPr>
              <w:t>9.5</w:t>
            </w:r>
            <w:r>
              <w:rPr>
                <w:rFonts w:ascii="Arial" w:cs="Arial" w:eastAsia="Arial" w:hAnsi="Arial"/>
                <w:sz w:val="9"/>
                <w:szCs w:val="9"/>
                <w:color w:val="auto"/>
              </w:rPr>
              <w:t>(11)</w:t>
            </w:r>
          </w:p>
        </w:tc>
      </w:tr>
      <w:tr>
        <w:trPr>
          <w:trHeight w:val="219"/>
        </w:trPr>
        <w:tc>
          <w:tcPr>
            <w:tcW w:w="6160" w:type="dxa"/>
            <w:vAlign w:val="bottom"/>
          </w:tcPr>
          <w:p>
            <w:pPr>
              <w:ind w:left="60"/>
              <w:spacing w:after="0"/>
              <w:rPr>
                <w:sz w:val="20"/>
                <w:szCs w:val="20"/>
                <w:color w:val="auto"/>
              </w:rPr>
            </w:pPr>
            <w:r>
              <w:rPr>
                <w:rFonts w:ascii="Arial" w:cs="Arial" w:eastAsia="Arial" w:hAnsi="Arial"/>
                <w:sz w:val="14"/>
                <w:szCs w:val="14"/>
                <w:color w:val="auto"/>
              </w:rPr>
              <w:t>Adjusted</w:t>
            </w:r>
          </w:p>
        </w:tc>
        <w:tc>
          <w:tcPr>
            <w:tcW w:w="2400" w:type="dxa"/>
            <w:vAlign w:val="bottom"/>
          </w:tcPr>
          <w:p>
            <w:pPr>
              <w:jc w:val="right"/>
              <w:ind w:right="151"/>
              <w:spacing w:after="0"/>
              <w:rPr>
                <w:sz w:val="20"/>
                <w:szCs w:val="20"/>
                <w:color w:val="auto"/>
              </w:rPr>
            </w:pPr>
            <w:r>
              <w:rPr>
                <w:rFonts w:ascii="Arial" w:cs="Arial" w:eastAsia="Arial" w:hAnsi="Arial"/>
                <w:sz w:val="14"/>
                <w:szCs w:val="14"/>
                <w:color w:val="auto"/>
              </w:rPr>
              <w:t>$69.1</w:t>
            </w:r>
          </w:p>
        </w:tc>
        <w:tc>
          <w:tcPr>
            <w:tcW w:w="700" w:type="dxa"/>
            <w:vAlign w:val="bottom"/>
          </w:tcPr>
          <w:p>
            <w:pPr>
              <w:jc w:val="right"/>
              <w:ind w:right="191"/>
              <w:spacing w:after="0"/>
              <w:rPr>
                <w:sz w:val="20"/>
                <w:szCs w:val="20"/>
                <w:color w:val="auto"/>
              </w:rPr>
            </w:pPr>
            <w:r>
              <w:rPr>
                <w:rFonts w:ascii="Arial" w:cs="Arial" w:eastAsia="Arial" w:hAnsi="Arial"/>
                <w:sz w:val="14"/>
                <w:szCs w:val="14"/>
                <w:color w:val="auto"/>
              </w:rPr>
              <w:t>$68.3</w:t>
            </w:r>
          </w:p>
        </w:tc>
        <w:tc>
          <w:tcPr>
            <w:tcW w:w="640" w:type="dxa"/>
            <w:vAlign w:val="bottom"/>
          </w:tcPr>
          <w:p>
            <w:pPr>
              <w:jc w:val="right"/>
              <w:ind w:right="131"/>
              <w:spacing w:after="0"/>
              <w:rPr>
                <w:sz w:val="20"/>
                <w:szCs w:val="20"/>
                <w:color w:val="auto"/>
              </w:rPr>
            </w:pPr>
            <w:r>
              <w:rPr>
                <w:rFonts w:ascii="Arial" w:cs="Arial" w:eastAsia="Arial" w:hAnsi="Arial"/>
                <w:sz w:val="14"/>
                <w:szCs w:val="14"/>
                <w:color w:val="auto"/>
              </w:rPr>
              <w:t>$52.6</w:t>
            </w:r>
          </w:p>
        </w:tc>
        <w:tc>
          <w:tcPr>
            <w:tcW w:w="720" w:type="dxa"/>
            <w:vAlign w:val="bottom"/>
          </w:tcPr>
          <w:p>
            <w:pPr>
              <w:jc w:val="right"/>
              <w:ind w:right="154"/>
              <w:spacing w:after="0"/>
              <w:rPr>
                <w:sz w:val="20"/>
                <w:szCs w:val="20"/>
                <w:color w:val="auto"/>
              </w:rPr>
            </w:pPr>
            <w:r>
              <w:rPr>
                <w:rFonts w:ascii="Arial" w:cs="Arial" w:eastAsia="Arial" w:hAnsi="Arial"/>
                <w:sz w:val="14"/>
                <w:szCs w:val="14"/>
                <w:color w:val="auto"/>
              </w:rPr>
              <w:t>$44.3</w:t>
            </w:r>
          </w:p>
        </w:tc>
      </w:tr>
      <w:tr>
        <w:trPr>
          <w:trHeight w:val="47"/>
        </w:trPr>
        <w:tc>
          <w:tcPr>
            <w:tcW w:w="6160" w:type="dxa"/>
            <w:vAlign w:val="bottom"/>
            <w:tcBorders>
              <w:bottom w:val="single" w:sz="8" w:color="7F7F7F"/>
            </w:tcBorders>
          </w:tcPr>
          <w:p>
            <w:pPr>
              <w:spacing w:after="0"/>
              <w:rPr>
                <w:sz w:val="4"/>
                <w:szCs w:val="4"/>
                <w:color w:val="auto"/>
              </w:rPr>
            </w:pPr>
          </w:p>
        </w:tc>
        <w:tc>
          <w:tcPr>
            <w:tcW w:w="240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r>
    </w:tbl>
    <w:p>
      <w:pPr>
        <w:spacing w:after="0" w:line="99" w:lineRule="exact"/>
        <w:rPr>
          <w:sz w:val="20"/>
          <w:szCs w:val="20"/>
          <w:color w:val="auto"/>
        </w:rPr>
      </w:pPr>
    </w:p>
    <w:p>
      <w:pPr>
        <w:ind w:left="620" w:hanging="304"/>
        <w:spacing w:after="0"/>
        <w:tabs>
          <w:tab w:leader="none" w:pos="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Asset impairment charge in 2023 represents the impairment of right-of-use assets related to an unoccupied existing office space lease</w:t>
      </w:r>
    </w:p>
    <w:p>
      <w:pPr>
        <w:spacing w:after="0" w:line="70" w:lineRule="exact"/>
        <w:rPr>
          <w:rFonts w:ascii="Arial" w:cs="Arial" w:eastAsia="Arial" w:hAnsi="Arial"/>
          <w:sz w:val="12"/>
          <w:szCs w:val="12"/>
          <w:color w:val="auto"/>
        </w:rPr>
      </w:pPr>
    </w:p>
    <w:p>
      <w:pPr>
        <w:ind w:left="620" w:right="60" w:hanging="304"/>
        <w:spacing w:after="0" w:line="264" w:lineRule="auto"/>
        <w:tabs>
          <w:tab w:leader="none" w:pos="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Restructuring charges in 2023 represents costs related to a comprehensive transformation initiative that includes actions that will further streamline the Company’s operating model to enhance organizational efficiency and effectiveness</w:t>
      </w:r>
    </w:p>
    <w:p>
      <w:pPr>
        <w:spacing w:after="0" w:line="34" w:lineRule="exact"/>
        <w:rPr>
          <w:rFonts w:ascii="Arial" w:cs="Arial" w:eastAsia="Arial" w:hAnsi="Arial"/>
          <w:sz w:val="12"/>
          <w:szCs w:val="12"/>
          <w:color w:val="auto"/>
        </w:rPr>
      </w:pPr>
    </w:p>
    <w:p>
      <w:pPr>
        <w:ind w:left="620" w:hanging="304"/>
        <w:spacing w:after="0"/>
        <w:tabs>
          <w:tab w:leader="none" w:pos="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Transaction costs, which includes employee termination costs, incurred in the fourth quarter of 2023 directly related to the sale of the EMEA staffing operations in the first quarter of 2024</w:t>
      </w:r>
    </w:p>
    <w:p>
      <w:pPr>
        <w:spacing w:after="0" w:line="70" w:lineRule="exact"/>
        <w:rPr>
          <w:rFonts w:ascii="Arial" w:cs="Arial" w:eastAsia="Arial" w:hAnsi="Arial"/>
          <w:sz w:val="12"/>
          <w:szCs w:val="12"/>
          <w:color w:val="auto"/>
        </w:rPr>
      </w:pPr>
    </w:p>
    <w:p>
      <w:pPr>
        <w:ind w:left="620" w:right="280" w:hanging="304"/>
        <w:spacing w:after="0" w:line="264" w:lineRule="auto"/>
        <w:tabs>
          <w:tab w:leader="none" w:pos="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Gain on sale of assets in 2022 is related to the sale of real property in the fourth quarter, under-utilized real property in the second quarter, and other real property sold in the first quarter of 2022</w:t>
      </w:r>
    </w:p>
    <w:p>
      <w:pPr>
        <w:spacing w:after="0" w:line="34" w:lineRule="exact"/>
        <w:rPr>
          <w:rFonts w:ascii="Arial" w:cs="Arial" w:eastAsia="Arial" w:hAnsi="Arial"/>
          <w:sz w:val="12"/>
          <w:szCs w:val="12"/>
          <w:color w:val="auto"/>
        </w:rPr>
      </w:pPr>
    </w:p>
    <w:p>
      <w:pPr>
        <w:ind w:left="620" w:hanging="304"/>
        <w:spacing w:after="0"/>
        <w:tabs>
          <w:tab w:leader="none" w:pos="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Loss on disposal in 2022 represents the write-off of the net assets of our Russian operations that were sold in the third quarter of 2022</w:t>
      </w:r>
    </w:p>
    <w:p>
      <w:pPr>
        <w:spacing w:after="0" w:line="70" w:lineRule="exact"/>
        <w:rPr>
          <w:rFonts w:ascii="Arial" w:cs="Arial" w:eastAsia="Arial" w:hAnsi="Arial"/>
          <w:sz w:val="12"/>
          <w:szCs w:val="12"/>
          <w:color w:val="auto"/>
        </w:rPr>
      </w:pPr>
    </w:p>
    <w:p>
      <w:pPr>
        <w:ind w:left="620" w:hanging="304"/>
        <w:spacing w:after="0"/>
        <w:tabs>
          <w:tab w:leader="none" w:pos="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Goodwill impairment charge in 2022 is the result of interim impairment tests the Company performed related to RocketPower due to triggering events caused by changes in market conditions</w:t>
      </w:r>
    </w:p>
    <w:p>
      <w:pPr>
        <w:spacing w:after="0" w:line="70" w:lineRule="exact"/>
        <w:rPr>
          <w:rFonts w:ascii="Arial" w:cs="Arial" w:eastAsia="Arial" w:hAnsi="Arial"/>
          <w:sz w:val="12"/>
          <w:szCs w:val="12"/>
          <w:color w:val="auto"/>
        </w:rPr>
      </w:pPr>
    </w:p>
    <w:p>
      <w:pPr>
        <w:ind w:left="620" w:right="240" w:hanging="304"/>
        <w:spacing w:after="0" w:line="264" w:lineRule="auto"/>
        <w:tabs>
          <w:tab w:leader="none" w:pos="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Restructuring charges in 2021 represents severance costs as part of cost management actions designed to increase operational efficiencies with enterprise functions that provide centralize support to operating units</w:t>
      </w:r>
    </w:p>
    <w:p>
      <w:pPr>
        <w:spacing w:after="0" w:line="34" w:lineRule="exact"/>
        <w:rPr>
          <w:rFonts w:ascii="Arial" w:cs="Arial" w:eastAsia="Arial" w:hAnsi="Arial"/>
          <w:sz w:val="12"/>
          <w:szCs w:val="12"/>
          <w:color w:val="auto"/>
        </w:rPr>
      </w:pPr>
    </w:p>
    <w:p>
      <w:pPr>
        <w:ind w:left="620" w:hanging="304"/>
        <w:spacing w:after="0"/>
        <w:tabs>
          <w:tab w:leader="none" w:pos="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Gain on sale of assets primarily represents the excess of proceeds over the cost of the headquarters properties sold during the first quarter of 2020</w:t>
      </w:r>
    </w:p>
    <w:p>
      <w:pPr>
        <w:spacing w:after="0" w:line="70" w:lineRule="exact"/>
        <w:rPr>
          <w:rFonts w:ascii="Arial" w:cs="Arial" w:eastAsia="Arial" w:hAnsi="Arial"/>
          <w:sz w:val="12"/>
          <w:szCs w:val="12"/>
          <w:color w:val="auto"/>
        </w:rPr>
      </w:pPr>
    </w:p>
    <w:p>
      <w:pPr>
        <w:ind w:left="620" w:right="20" w:hanging="304"/>
        <w:spacing w:after="0" w:line="264" w:lineRule="auto"/>
        <w:tabs>
          <w:tab w:leader="none" w:pos="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goodwill impairment charge is a result of an interim impairment test the Company performed during the first quarter of 2020, due to a triggering event caused by a decline in the Company’s common stock price</w:t>
      </w:r>
    </w:p>
    <w:p>
      <w:pPr>
        <w:spacing w:after="0" w:line="34" w:lineRule="exact"/>
        <w:rPr>
          <w:rFonts w:ascii="Arial" w:cs="Arial" w:eastAsia="Arial" w:hAnsi="Arial"/>
          <w:sz w:val="12"/>
          <w:szCs w:val="12"/>
          <w:color w:val="auto"/>
        </w:rPr>
      </w:pPr>
    </w:p>
    <w:p>
      <w:pPr>
        <w:ind w:left="620" w:hanging="304"/>
        <w:spacing w:after="0"/>
        <w:tabs>
          <w:tab w:leader="none" w:pos="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Restructuring charges in 2020 represents severance and lease terminations in preparation for a new operating model adopted in the third quarter of 2020</w:t>
      </w:r>
    </w:p>
    <w:p>
      <w:pPr>
        <w:spacing w:after="0" w:line="70" w:lineRule="exact"/>
        <w:rPr>
          <w:rFonts w:ascii="Arial" w:cs="Arial" w:eastAsia="Arial" w:hAnsi="Arial"/>
          <w:sz w:val="12"/>
          <w:szCs w:val="12"/>
          <w:color w:val="auto"/>
        </w:rPr>
      </w:pPr>
    </w:p>
    <w:p>
      <w:pPr>
        <w:ind w:left="620" w:right="360" w:hanging="304"/>
        <w:spacing w:after="0" w:line="264" w:lineRule="auto"/>
        <w:tabs>
          <w:tab w:leader="none" w:pos="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Customer dispute in 2020 represents a non-cash charge in Mexico to increase the reserve against a long-term receivable from a former customer based on an updated probability of loss assessment</w:t>
      </w:r>
    </w:p>
    <w:p>
      <w:pPr>
        <w:spacing w:after="0" w:line="170" w:lineRule="exact"/>
        <w:rPr>
          <w:sz w:val="20"/>
          <w:szCs w:val="20"/>
          <w:color w:val="auto"/>
        </w:rPr>
      </w:pPr>
    </w:p>
    <w:p>
      <w:pPr>
        <w:ind w:left="320" w:right="560"/>
        <w:spacing w:after="0" w:line="265" w:lineRule="auto"/>
        <w:rPr>
          <w:sz w:val="20"/>
          <w:szCs w:val="20"/>
          <w:color w:val="auto"/>
        </w:rPr>
      </w:pPr>
      <w:r>
        <w:rPr>
          <w:rFonts w:ascii="Arial" w:cs="Arial" w:eastAsia="Arial" w:hAnsi="Arial"/>
          <w:sz w:val="16"/>
          <w:szCs w:val="16"/>
          <w:color w:val="auto"/>
        </w:rPr>
        <w:t>As discussed in the CD&amp;A section of this Proxy Statement, the five items listed below represent the most important financial measures we used to determine CAP for FY 2023.</w:t>
      </w:r>
    </w:p>
    <w:p>
      <w:pPr>
        <w:spacing w:after="0" w:line="195" w:lineRule="exact"/>
        <w:rPr>
          <w:sz w:val="20"/>
          <w:szCs w:val="20"/>
          <w:color w:val="auto"/>
        </w:rPr>
      </w:pPr>
    </w:p>
    <w:p>
      <w:pPr>
        <w:jc w:val="center"/>
        <w:ind w:right="5740"/>
        <w:spacing w:after="0"/>
        <w:rPr>
          <w:sz w:val="20"/>
          <w:szCs w:val="20"/>
          <w:color w:val="auto"/>
        </w:rPr>
      </w:pPr>
      <w:r>
        <w:rPr>
          <w:rFonts w:ascii="Arial" w:cs="Arial" w:eastAsia="Arial" w:hAnsi="Arial"/>
          <w:sz w:val="14"/>
          <w:szCs w:val="14"/>
          <w:b w:val="1"/>
          <w:bCs w:val="1"/>
          <w:color w:val="0A9E50"/>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44450</wp:posOffset>
            </wp:positionV>
            <wp:extent cx="289941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53" w:lineRule="exact"/>
        <w:rPr>
          <w:sz w:val="20"/>
          <w:szCs w:val="20"/>
          <w:color w:val="auto"/>
        </w:rPr>
      </w:pPr>
    </w:p>
    <w:p>
      <w:pPr>
        <w:jc w:val="center"/>
        <w:ind w:right="5680"/>
        <w:spacing w:after="0"/>
        <w:rPr>
          <w:sz w:val="20"/>
          <w:szCs w:val="20"/>
          <w:color w:val="auto"/>
        </w:rPr>
      </w:pPr>
      <w:r>
        <w:rPr>
          <w:rFonts w:ascii="Arial" w:cs="Arial" w:eastAsia="Arial" w:hAnsi="Arial"/>
          <w:sz w:val="14"/>
          <w:szCs w:val="14"/>
          <w:color w:val="auto"/>
        </w:rPr>
        <w:t>Adjusted EFO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44450</wp:posOffset>
            </wp:positionV>
            <wp:extent cx="289941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53" w:lineRule="exact"/>
        <w:rPr>
          <w:sz w:val="20"/>
          <w:szCs w:val="20"/>
          <w:color w:val="auto"/>
        </w:rPr>
      </w:pPr>
    </w:p>
    <w:p>
      <w:pPr>
        <w:jc w:val="center"/>
        <w:ind w:right="5680"/>
        <w:spacing w:after="0"/>
        <w:rPr>
          <w:sz w:val="20"/>
          <w:szCs w:val="20"/>
          <w:color w:val="auto"/>
        </w:rPr>
      </w:pPr>
      <w:r>
        <w:rPr>
          <w:rFonts w:ascii="Arial" w:cs="Arial" w:eastAsia="Arial" w:hAnsi="Arial"/>
          <w:sz w:val="14"/>
          <w:szCs w:val="14"/>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44450</wp:posOffset>
            </wp:positionV>
            <wp:extent cx="289941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53" w:lineRule="exact"/>
        <w:rPr>
          <w:sz w:val="20"/>
          <w:szCs w:val="20"/>
          <w:color w:val="auto"/>
        </w:rPr>
      </w:pPr>
    </w:p>
    <w:p>
      <w:pPr>
        <w:jc w:val="center"/>
        <w:ind w:right="5680"/>
        <w:spacing w:after="0"/>
        <w:rPr>
          <w:sz w:val="20"/>
          <w:szCs w:val="20"/>
          <w:color w:val="auto"/>
        </w:rPr>
      </w:pPr>
      <w:r>
        <w:rPr>
          <w:rFonts w:ascii="Arial" w:cs="Arial" w:eastAsia="Arial" w:hAnsi="Arial"/>
          <w:sz w:val="14"/>
          <w:szCs w:val="14"/>
          <w:color w:val="auto"/>
        </w:rPr>
        <w:t>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44450</wp:posOffset>
            </wp:positionV>
            <wp:extent cx="289941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53" w:lineRule="exact"/>
        <w:rPr>
          <w:sz w:val="20"/>
          <w:szCs w:val="20"/>
          <w:color w:val="auto"/>
        </w:rPr>
      </w:pPr>
    </w:p>
    <w:p>
      <w:pPr>
        <w:jc w:val="center"/>
        <w:ind w:right="5680"/>
        <w:spacing w:after="0"/>
        <w:rPr>
          <w:sz w:val="20"/>
          <w:szCs w:val="20"/>
          <w:color w:val="auto"/>
        </w:rPr>
      </w:pPr>
      <w:r>
        <w:rPr>
          <w:rFonts w:ascii="Arial" w:cs="Arial" w:eastAsia="Arial" w:hAnsi="Arial"/>
          <w:sz w:val="14"/>
          <w:szCs w:val="14"/>
          <w:color w:val="auto"/>
        </w:rPr>
        <w:t>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44450</wp:posOffset>
            </wp:positionV>
            <wp:extent cx="289941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53" w:lineRule="exact"/>
        <w:rPr>
          <w:sz w:val="20"/>
          <w:szCs w:val="20"/>
          <w:color w:val="auto"/>
        </w:rPr>
      </w:pPr>
    </w:p>
    <w:p>
      <w:pPr>
        <w:jc w:val="center"/>
        <w:ind w:right="5680"/>
        <w:spacing w:after="0"/>
        <w:rPr>
          <w:sz w:val="20"/>
          <w:szCs w:val="20"/>
          <w:color w:val="auto"/>
        </w:rPr>
      </w:pPr>
      <w:r>
        <w:rPr>
          <w:rFonts w:ascii="Arial" w:cs="Arial" w:eastAsia="Arial" w:hAnsi="Arial"/>
          <w:sz w:val="14"/>
          <w:szCs w:val="14"/>
          <w:color w:val="auto"/>
        </w:rPr>
        <w:t>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44450</wp:posOffset>
            </wp:positionV>
            <wp:extent cx="289941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259" w:lineRule="exact"/>
        <w:rPr>
          <w:sz w:val="20"/>
          <w:szCs w:val="20"/>
          <w:color w:val="auto"/>
        </w:rPr>
      </w:pPr>
    </w:p>
    <w:p>
      <w:pPr>
        <w:ind w:left="320" w:right="80"/>
        <w:spacing w:after="0" w:line="245" w:lineRule="auto"/>
        <w:rPr>
          <w:sz w:val="20"/>
          <w:szCs w:val="20"/>
          <w:color w:val="auto"/>
        </w:rPr>
      </w:pPr>
      <w:r>
        <w:rPr>
          <w:rFonts w:ascii="Arial" w:cs="Arial" w:eastAsia="Arial" w:hAnsi="Arial"/>
          <w:sz w:val="16"/>
          <w:szCs w:val="16"/>
          <w:color w:val="auto"/>
        </w:rPr>
        <w:t>The charts below show, for the past four years, the relationship of the Company’s TSR relative to the S&amp;P 1500 Human Resources and Employment Services index, which reflects the Company’s industry sector, as well as the relationship between the CEO and non-CEO CAP and the Company’s TSR; the Company’s net earnings; and the Company’s non-GAAP adjusted EFO. Compensation in 2020 was impacted by the global pandemic. As a result, no annual cash payout was awarded to NEOs, and equity incentive awards were reduced by 50%.</w:t>
      </w:r>
    </w:p>
    <w:p>
      <w:pPr>
        <w:ind w:left="9100"/>
        <w:spacing w:after="0"/>
        <w:tabs>
          <w:tab w:leader="none" w:pos="1034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-222250</wp:posOffset>
            </wp:positionV>
            <wp:extent cx="8255" cy="2228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940"/>
          </w:cols>
          <w:pgMar w:left="320" w:top="471" w:right="6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Pay vs. Performance</w:t>
      </w:r>
    </w:p>
    <w:p>
      <w:pPr>
        <w:spacing w:after="0" w:line="123" w:lineRule="exact"/>
        <w:rPr>
          <w:sz w:val="20"/>
          <w:szCs w:val="20"/>
          <w:color w:val="auto"/>
        </w:rPr>
      </w:pPr>
    </w:p>
    <w:p>
      <w:pPr>
        <w:jc w:val="right"/>
        <w:ind w:right="7779"/>
        <w:spacing w:after="0"/>
        <w:rPr>
          <w:sz w:val="20"/>
          <w:szCs w:val="20"/>
          <w:color w:val="auto"/>
        </w:rPr>
      </w:pPr>
      <w:r>
        <w:rPr>
          <w:rFonts w:ascii="Arial" w:cs="Arial" w:eastAsia="Arial" w:hAnsi="Arial"/>
          <w:sz w:val="21"/>
          <w:szCs w:val="21"/>
          <w:b w:val="1"/>
          <w:bCs w:val="1"/>
          <w:color w:val="auto"/>
        </w:rPr>
        <w:t>Pay vs.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267970</wp:posOffset>
            </wp:positionV>
            <wp:extent cx="6212205" cy="30727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212205" cy="3072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36"/>
          <w:szCs w:val="36"/>
          <w:color w:val="auto"/>
          <w:vertAlign w:val="superscript"/>
        </w:rPr>
        <w:t>76 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-214630</wp:posOffset>
            </wp:positionV>
            <wp:extent cx="8255" cy="2228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139"/>
          </w:cols>
          <w:pgMar w:left="320" w:top="471" w:right="1440" w:bottom="1440" w:gutter="0" w:footer="0" w:header="0"/>
        </w:sectPr>
      </w:pPr>
    </w:p>
    <w:bookmarkStart w:id="78" w:name="page79"/>
    <w:bookmarkEnd w:id="78"/>
    <w:p>
      <w:pPr>
        <w:ind w:right="160"/>
        <w:spacing w:after="0" w:line="270" w:lineRule="auto"/>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Proposal 3 – Vote for the Amendment of the Company’s Restated Certificate of Incorporation to reflect updated Delaware law provisions permitting officer exculpation.</w:t>
      </w:r>
    </w:p>
    <w:p>
      <w:pPr>
        <w:spacing w:after="0" w:line="218" w:lineRule="exact"/>
        <w:rPr>
          <w:sz w:val="20"/>
          <w:szCs w:val="20"/>
          <w:color w:val="auto"/>
        </w:rPr>
      </w:pPr>
    </w:p>
    <w:p>
      <w:pPr>
        <w:jc w:val="both"/>
        <w:ind w:right="260"/>
        <w:spacing w:after="0" w:line="246" w:lineRule="auto"/>
        <w:rPr>
          <w:sz w:val="20"/>
          <w:szCs w:val="20"/>
          <w:color w:val="auto"/>
        </w:rPr>
      </w:pPr>
      <w:r>
        <w:rPr>
          <w:rFonts w:ascii="Arial" w:cs="Arial" w:eastAsia="Arial" w:hAnsi="Arial"/>
          <w:sz w:val="16"/>
          <w:szCs w:val="16"/>
          <w:color w:val="auto"/>
        </w:rPr>
        <w:t>As a general matter, the Board believes that our Restated Certificate of Incorporation should contain provisions consistent with the Delaware General Corporation Law ( the “DGCL”), as amended from time to time, and that amending our Restated Certificate to add the authorized liability protection for certain officers, which is consistent with the protection currently afforded our directors under the DGCL, is desirable in order to continue to attract and retain experienced and qualified officers.</w:t>
      </w:r>
    </w:p>
    <w:p>
      <w:pPr>
        <w:spacing w:after="0" w:line="39"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new provision of the DGCL, and if this proposal is approved, our Restated Certificate, would only eliminate or limit an officer’s liability in connection with those direct claims, including class actions, brought by stockholders for breach of an officer’s fiduciary duty of care. However, as is currently the case with directors under our Restated Certificate, the proposed amendment would not eliminate or limit liability of officers for breaches of their fiduciary duty of loyalty, acts or omissions not in good faith or that involve intentional misconduct or a knowing violation of law, or any transaction in which the officer derived an improper personal benefit. Further, the proposed amendment would not eliminate or limit officers’ monetary liability for breach of fiduciary duty claims brought by the Company itself or for derivative claims brought by stockholders in the name of the Company.</w:t>
      </w:r>
    </w:p>
    <w:p>
      <w:pPr>
        <w:spacing w:after="0" w:line="53"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The rationale for limiting the scope of liability is to strike a balance between the interests of stockholders in accountability and their interests in the Company being able to attract and retain experienced and qualified officers. The Board believes it is important to provide protection from certain liabilities and expenses that may dissuade prospective or current officers from serving the Company due to the exposure to personal liability and risk of expenses they may incur without such protections.</w:t>
      </w:r>
    </w:p>
    <w:p>
      <w:pPr>
        <w:spacing w:after="0" w:line="39"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The Board has considered the effects of the amendment to the Restated Certificate, if approved, including the narrow scope of the type and class of claims that officers of the Company would be exculpated from, the limited number of officers of the Company that would be subject to the amendment, and the benefits the Company would gain, and have determined that it is in the best interest of the Company and its stockholders to amend the Restated Certificate accordingly.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Text of Proposed Amendment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Board requests stockholders of the Company approve the following resolution:</w:t>
      </w:r>
    </w:p>
    <w:p>
      <w:pPr>
        <w:spacing w:after="0" w:line="6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“RESOLVED, that the Company’s stockholders approve an amendment to the Company’s Restated Certificate of Incorporation to revise Article NINTH as follows:</w:t>
      </w:r>
    </w:p>
    <w:p>
      <w:pPr>
        <w:spacing w:after="0" w:line="23" w:lineRule="exact"/>
        <w:rPr>
          <w:sz w:val="20"/>
          <w:szCs w:val="20"/>
          <w:color w:val="auto"/>
        </w:rPr>
      </w:pPr>
    </w:p>
    <w:p>
      <w:pPr>
        <w:ind w:left="420" w:right="20"/>
        <w:spacing w:after="0"/>
        <w:rPr>
          <w:sz w:val="20"/>
          <w:szCs w:val="20"/>
          <w:color w:val="auto"/>
        </w:rPr>
      </w:pPr>
      <w:r>
        <w:rPr>
          <w:rFonts w:ascii="Arial" w:cs="Arial" w:eastAsia="Arial" w:hAnsi="Arial"/>
          <w:sz w:val="16"/>
          <w:szCs w:val="16"/>
          <w:u w:val="single" w:color="auto"/>
          <w:color w:val="auto"/>
        </w:rPr>
        <w:t>NINTH</w:t>
      </w:r>
      <w:r>
        <w:rPr>
          <w:rFonts w:ascii="Arial" w:cs="Arial" w:eastAsia="Arial" w:hAnsi="Arial"/>
          <w:sz w:val="16"/>
          <w:szCs w:val="16"/>
          <w:color w:val="auto"/>
        </w:rPr>
        <w:t xml:space="preserve">: No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of the corporation shall be personally liable to the corporation or its stockholders for monetary damages for breach of fiduciary duty by such </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w:t>
      </w:r>
      <w:r>
        <w:rPr>
          <w:rFonts w:ascii="Arial" w:cs="Arial" w:eastAsia="Arial" w:hAnsi="Arial"/>
          <w:sz w:val="16"/>
          <w:szCs w:val="16"/>
          <w:color w:val="auto"/>
          <w:strike w:val="1"/>
        </w:rPr>
        <w:t>director</w:t>
      </w:r>
      <w:r>
        <w:rPr>
          <w:rFonts w:ascii="Arial" w:cs="Arial" w:eastAsia="Arial" w:hAnsi="Arial"/>
          <w:sz w:val="16"/>
          <w:szCs w:val="16"/>
          <w:color w:val="auto"/>
        </w:rPr>
        <w:t xml:space="preserve"> as a director or </w:t>
      </w:r>
      <w:r>
        <w:rPr>
          <w:rFonts w:ascii="Arial" w:cs="Arial" w:eastAsia="Arial" w:hAnsi="Arial"/>
          <w:sz w:val="16"/>
          <w:szCs w:val="16"/>
          <w:u w:val="single" w:color="auto"/>
          <w:color w:val="auto"/>
        </w:rPr>
        <w:t>officer</w:t>
      </w:r>
      <w:r>
        <w:rPr>
          <w:rFonts w:ascii="Arial" w:cs="Arial" w:eastAsia="Arial" w:hAnsi="Arial"/>
          <w:sz w:val="16"/>
          <w:szCs w:val="16"/>
          <w:color w:val="auto"/>
        </w:rPr>
        <w:t xml:space="preserve">; provided, however, that this Article NINTH shall not eliminate or limit liability (i) for any breach of the director’s </w:t>
      </w:r>
      <w:r>
        <w:rPr>
          <w:rFonts w:ascii="Arial" w:cs="Arial" w:eastAsia="Arial" w:hAnsi="Arial"/>
          <w:sz w:val="16"/>
          <w:szCs w:val="16"/>
          <w:u w:val="single" w:color="auto"/>
          <w:color w:val="auto"/>
        </w:rPr>
        <w:t>or officer’s</w:t>
      </w:r>
      <w:r>
        <w:rPr>
          <w:rFonts w:ascii="Arial" w:cs="Arial" w:eastAsia="Arial" w:hAnsi="Arial"/>
          <w:sz w:val="16"/>
          <w:szCs w:val="16"/>
          <w:color w:val="auto"/>
        </w:rPr>
        <w:t xml:space="preserve"> duty of loyalty to the corporation or its stockholders, (ii) for acts or omissions not in good faith or which involve intentional misconduct or a knowing violation of law, (iii) of a director under section 174 of the Delaware General Corporation Law, or (iv) for any transaction from which the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derived an improper personal benefit, </w:t>
      </w:r>
      <w:r>
        <w:rPr>
          <w:rFonts w:ascii="Arial" w:cs="Arial" w:eastAsia="Arial" w:hAnsi="Arial"/>
          <w:sz w:val="16"/>
          <w:szCs w:val="16"/>
          <w:u w:val="single" w:color="auto"/>
          <w:color w:val="auto"/>
        </w:rPr>
        <w:t>(v) of an officer in any action by or in the right of the Corporation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or (vi) of a director or officer to the extent that such elimination of liability is prohibited under the Delaware General Corporation Law</w:t>
      </w:r>
      <w:r>
        <w:rPr>
          <w:rFonts w:ascii="Arial" w:cs="Arial" w:eastAsia="Arial" w:hAnsi="Arial"/>
          <w:sz w:val="16"/>
          <w:szCs w:val="16"/>
          <w:color w:val="auto"/>
        </w:rPr>
        <w:t xml:space="preserve">. No amendment or repeal of this Article NINTH shall apply to or have any effect on the liability or alleged liability of any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of the corporation for or with respect to any acts or omissions of such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occurring prior to such amendment or repeal. All references in this </w:t>
      </w:r>
      <w:r>
        <w:rPr>
          <w:rFonts w:ascii="Arial" w:cs="Arial" w:eastAsia="Arial" w:hAnsi="Arial"/>
          <w:sz w:val="16"/>
          <w:szCs w:val="16"/>
          <w:u w:val="single" w:color="auto"/>
          <w:color w:val="auto"/>
        </w:rPr>
        <w:t>paragraph to an “officer” shall mean only a person who, at the time of an act or omission as to which liability is asserted, falls within the meaning of the term “officer” as defined in Section 102-(b)(7) of the Delaware General Corporation Law.</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-713740</wp:posOffset>
            </wp:positionV>
            <wp:extent cx="57848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78485" cy="8255"/>
                    </a:xfrm>
                    <a:prstGeom prst="rect">
                      <a:avLst/>
                    </a:prstGeom>
                    <a:noFill/>
                  </pic:spPr>
                </pic:pic>
              </a:graphicData>
            </a:graphic>
          </wp:anchor>
        </w:drawing>
        <w:drawing>
          <wp:anchor simplePos="0" relativeHeight="251657728" behindDoc="1" locked="0" layoutInCell="0" allowOverlap="1">
            <wp:simplePos x="0" y="0"/>
            <wp:positionH relativeFrom="column">
              <wp:posOffset>5942330</wp:posOffset>
            </wp:positionH>
            <wp:positionV relativeFrom="paragraph">
              <wp:posOffset>-755015</wp:posOffset>
            </wp:positionV>
            <wp:extent cx="14287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4287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-251460</wp:posOffset>
            </wp:positionV>
            <wp:extent cx="9201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Effectiveness of the Amendment</w:t>
      </w:r>
    </w:p>
    <w:p>
      <w:pPr>
        <w:spacing w:after="0" w:line="85"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Upon the approval of this proposal by our stockholders, the Company will file with the Delaware Secretary of State an Amended and Restated Certificate of Incorporation reflecting the changes contemplated by the proposed amendment. Such filing is expected to occur as soon as reasonably practicable following the Annual Meeting. If this proposal is not approved by our stockholders, the Company’s Restated Certificate will not be further amended, and no exculpation will be provided for our officers.</w:t>
      </w:r>
    </w:p>
    <w:p>
      <w:pPr>
        <w:ind w:left="8780"/>
        <w:spacing w:after="0"/>
        <w:tabs>
          <w:tab w:leader="none" w:pos="10020" w:val="left"/>
        </w:tabs>
        <w:rPr>
          <w:sz w:val="20"/>
          <w:szCs w:val="20"/>
          <w:color w:val="auto"/>
        </w:rPr>
      </w:pPr>
      <w:r>
        <w:rPr>
          <w:rFonts w:ascii="Arial" w:cs="Arial" w:eastAsia="Arial" w:hAnsi="Arial"/>
          <w:sz w:val="41"/>
          <w:szCs w:val="41"/>
          <w:color w:val="auto"/>
          <w:vertAlign w:val="subscript"/>
        </w:rPr>
        <w:t xml:space="preserve">   </w:t>
      </w:r>
      <w:r>
        <w:rPr>
          <w:sz w:val="1"/>
          <w:szCs w:val="1"/>
          <w:color w:val="auto"/>
        </w:rPr>
        <w:drawing>
          <wp:inline distT="0" distB="0" distL="0" distR="0">
            <wp:extent cx="396240" cy="189865"/>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42"/>
          <w:szCs w:val="42"/>
          <w:color w:val="auto"/>
          <w:vertAlign w:val="subscript"/>
        </w:rPr>
        <w:t xml:space="preserve">  </w:t>
      </w:r>
      <w:r>
        <w:rPr>
          <w:sz w:val="20"/>
          <w:szCs w:val="20"/>
          <w:color w:val="auto"/>
        </w:rPr>
        <w:tab/>
      </w:r>
      <w:r>
        <w:rPr>
          <w:rFonts w:ascii="Arial" w:cs="Arial" w:eastAsia="Arial" w:hAnsi="Arial"/>
          <w:sz w:val="16"/>
          <w:szCs w:val="16"/>
          <w:color w:val="auto"/>
        </w:rPr>
        <w:t>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6308725</wp:posOffset>
            </wp:positionH>
            <wp:positionV relativeFrom="paragraph">
              <wp:posOffset>-222250</wp:posOffset>
            </wp:positionV>
            <wp:extent cx="8255" cy="2228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580"/>
          </w:cols>
          <w:pgMar w:left="640" w:top="423" w:right="679" w:bottom="1440" w:gutter="0" w:footer="0" w:header="0"/>
        </w:sectPr>
      </w:pPr>
    </w:p>
    <w:bookmarkStart w:id="79" w:name="page80"/>
    <w:bookmarkEnd w:id="79"/>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Proposal 3 – Vote for the Amendment of the Company’s Restated Certificate of Incorporation to reflect updated Delaware law provisions permitting officer exculpation.</w:t>
      </w:r>
    </w:p>
    <w:p>
      <w:pPr>
        <w:spacing w:after="0" w:line="1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Required Vote and Board Recommendation</w:t>
      </w:r>
    </w:p>
    <w:p>
      <w:pPr>
        <w:spacing w:after="0" w:line="72" w:lineRule="exact"/>
        <w:rPr>
          <w:sz w:val="20"/>
          <w:szCs w:val="20"/>
          <w:color w:val="auto"/>
        </w:rPr>
      </w:pPr>
    </w:p>
    <w:p>
      <w:pPr>
        <w:ind w:right="220"/>
        <w:spacing w:after="0" w:line="244" w:lineRule="auto"/>
        <w:rPr>
          <w:sz w:val="20"/>
          <w:szCs w:val="20"/>
          <w:color w:val="auto"/>
        </w:rPr>
      </w:pPr>
      <w:r>
        <w:rPr>
          <w:rFonts w:ascii="Arial" w:cs="Arial" w:eastAsia="Arial" w:hAnsi="Arial"/>
          <w:sz w:val="16"/>
          <w:szCs w:val="16"/>
          <w:color w:val="auto"/>
        </w:rPr>
        <w:t>The affirmative vote of the holders of a majority of the outstanding shares of our Class B Common Stock entitled to vote on this proposal is required to approve this proposal. If you hold your shares in your own name and abstain from voting on this matter, your abstention will have the effect of a vote against this proposal. If you hold your shares through a bank, broker or other holder of record and you do not instruct them on how to vote on this proposal, they will not have the authority to vote your shares. Abstentions and broker non-votes will each be counted as present for purposes of determining the presence of a quorum but will have the same effect as a vote against this proposal.</w:t>
      </w:r>
    </w:p>
    <w:p>
      <w:pPr>
        <w:spacing w:after="0" w:line="5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Board believes that the proposed amendment to our Restated Certificate is in the best interests of the Company and its stockholders for the reasons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6773545" cy="4959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773545" cy="49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78 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540"/>
          </w:cols>
          <w:pgMar w:left="640" w:top="296" w:right="719" w:bottom="1440" w:gutter="0" w:footer="0" w:header="0"/>
        </w:sectPr>
      </w:pPr>
    </w:p>
    <w:bookmarkStart w:id="80" w:name="page81"/>
    <w:bookmarkEnd w:id="80"/>
    <w:p>
      <w:pPr>
        <w:ind w:right="1500"/>
        <w:spacing w:after="0" w:line="270" w:lineRule="auto"/>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Proposal 4 – Ratification of the Appointment of PricewaterhouseCoopers LLP as the Company’s Independent Registered Public Accounting Firm for the 2024 Fiscal Year</w:t>
      </w:r>
    </w:p>
    <w:p>
      <w:pPr>
        <w:spacing w:after="0" w:line="218"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On an annual basis, the Audit Committee approves and appoints the independent registered public accounting firm. During its February 13, 2024, meeting, PricewaterhouseCoopers LLP (“PwC”) was appointed to audit the consolidated financial statements of the Company for the year ending December 29, 2024. This firm has served as the Company’s independent registered public accounting firm since 1960 and is considered to be well qualified. The reappointment process for the independent registered public accounting firm includes an annual assessment that takes into consideration, but is not limited to, a review of the following:</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A9E50"/>
        </w:rPr>
        <w:t>1. Quality of services and sufficiency of resources provided by the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7405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Knowledge and skills to meet the Company’s audit requirements</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Partner rotation (every 5 years)</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Appropriate audit engagement partner</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Engagement letter compliance</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Industry experience</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Results of consultations</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Audit cost (fee negotiations included)</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Long tenure and familiarity with the Company’s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67405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7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A9E50"/>
        </w:rPr>
        <w:t>2. Communication and interaction during the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7405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Professional and open dialog</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Accessibility</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Current accounting developments conversations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67405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7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A9E50"/>
        </w:rPr>
        <w:t>3. Independence, objectivity, and professional skepticism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7405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Assessment of audit evidence</w:t>
      </w:r>
    </w:p>
    <w:p>
      <w:pPr>
        <w:spacing w:after="0" w:line="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0A9E50"/>
        </w:rPr>
        <w:t>●</w:t>
      </w:r>
      <w:r>
        <w:rPr>
          <w:rFonts w:ascii="Arial" w:cs="Arial" w:eastAsia="Arial" w:hAnsi="Arial"/>
          <w:sz w:val="15"/>
          <w:szCs w:val="15"/>
          <w:color w:val="000000"/>
        </w:rPr>
        <w:t xml:space="preserve">  Internal Audit reliance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67405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88"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The Board of Directors seeks ratification of the appointment of PwC. The representatives of the firm are expected to be present at the Annual Meeting and will be available to respond to all appropriate questions.</w:t>
      </w:r>
    </w:p>
    <w:p>
      <w:pPr>
        <w:spacing w:after="0" w:line="2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Audit and Non-Audit Fees</w:t>
      </w:r>
    </w:p>
    <w:p>
      <w:pPr>
        <w:spacing w:after="0" w:line="72" w:lineRule="exact"/>
        <w:rPr>
          <w:sz w:val="20"/>
          <w:szCs w:val="20"/>
          <w:color w:val="auto"/>
        </w:rPr>
      </w:pPr>
    </w:p>
    <w:p>
      <w:pPr>
        <w:jc w:val="both"/>
        <w:ind w:right="320"/>
        <w:spacing w:after="0" w:line="246" w:lineRule="auto"/>
        <w:rPr>
          <w:sz w:val="20"/>
          <w:szCs w:val="20"/>
          <w:color w:val="auto"/>
        </w:rPr>
      </w:pPr>
      <w:r>
        <w:rPr>
          <w:rFonts w:ascii="Arial" w:cs="Arial" w:eastAsia="Arial" w:hAnsi="Arial"/>
          <w:sz w:val="16"/>
          <w:szCs w:val="16"/>
          <w:color w:val="auto"/>
        </w:rPr>
        <w:t xml:space="preserve">The Audit Committee is responsible for the compensation (including negotiations) of the independent registered public accounting firm and requires pre-approval of all audit and non-audit services prior to engagement by the Company. In conjunction with the pre-approval, the Committee considers whether non-audit services are consistent with the rules and regulations of the SEC on auditor independence. The authority of the Audit Committee is detailed in its charter, which is posted on the Company’s website at </w:t>
      </w:r>
      <w:r>
        <w:rPr>
          <w:rFonts w:ascii="Arial" w:cs="Arial" w:eastAsia="Arial" w:hAnsi="Arial"/>
          <w:sz w:val="16"/>
          <w:szCs w:val="16"/>
          <w:i w:val="1"/>
          <w:iCs w:val="1"/>
          <w:color w:val="auto"/>
        </w:rPr>
        <w:t>kellyservices.com</w:t>
      </w:r>
      <w:r>
        <w:rPr>
          <w:rFonts w:ascii="Arial" w:cs="Arial" w:eastAsia="Arial" w:hAnsi="Arial"/>
          <w:sz w:val="16"/>
          <w:szCs w:val="16"/>
          <w:color w:val="auto"/>
        </w:rPr>
        <w:t>.</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displays the fees incurred from the audit and non-audit services provided by PwC.</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0A9E50"/>
              </w:rPr>
              <w:t>2022 ($)</w:t>
            </w:r>
          </w:p>
        </w:tc>
        <w:tc>
          <w:tcPr>
            <w:tcW w:w="78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4"/>
                <w:szCs w:val="14"/>
                <w:b w:val="1"/>
                <w:bCs w:val="1"/>
                <w:color w:val="0A9E50"/>
              </w:rPr>
              <w:t>2023 ($)</w:t>
            </w:r>
          </w:p>
        </w:tc>
        <w:tc>
          <w:tcPr>
            <w:tcW w:w="0" w:type="dxa"/>
            <w:vAlign w:val="bottom"/>
          </w:tcPr>
          <w:p>
            <w:pPr>
              <w:spacing w:after="0"/>
              <w:rPr>
                <w:sz w:val="1"/>
                <w:szCs w:val="1"/>
                <w:color w:val="auto"/>
              </w:rPr>
            </w:pPr>
          </w:p>
        </w:tc>
      </w:tr>
      <w:tr>
        <w:trPr>
          <w:trHeight w:val="219"/>
        </w:trPr>
        <w:tc>
          <w:tcPr>
            <w:tcW w:w="8960" w:type="dxa"/>
            <w:vAlign w:val="bottom"/>
          </w:tcPr>
          <w:p>
            <w:pPr>
              <w:ind w:left="60"/>
              <w:spacing w:after="0"/>
              <w:rPr>
                <w:sz w:val="20"/>
                <w:szCs w:val="20"/>
                <w:color w:val="auto"/>
              </w:rPr>
            </w:pPr>
            <w:r>
              <w:rPr>
                <w:rFonts w:ascii="Arial" w:cs="Arial" w:eastAsia="Arial" w:hAnsi="Arial"/>
                <w:sz w:val="14"/>
                <w:szCs w:val="14"/>
                <w:color w:val="auto"/>
              </w:rPr>
              <w:t>Audit Fees</w:t>
            </w:r>
          </w:p>
        </w:tc>
        <w:tc>
          <w:tcPr>
            <w:tcW w:w="880" w:type="dxa"/>
            <w:vAlign w:val="bottom"/>
          </w:tcPr>
          <w:p>
            <w:pPr>
              <w:jc w:val="right"/>
              <w:ind w:right="86"/>
              <w:spacing w:after="0"/>
              <w:rPr>
                <w:sz w:val="20"/>
                <w:szCs w:val="20"/>
                <w:color w:val="auto"/>
              </w:rPr>
            </w:pPr>
            <w:r>
              <w:rPr>
                <w:rFonts w:ascii="Arial" w:cs="Arial" w:eastAsia="Arial" w:hAnsi="Arial"/>
                <w:sz w:val="14"/>
                <w:szCs w:val="14"/>
                <w:color w:val="auto"/>
              </w:rPr>
              <w:t>4,103,600</w:t>
            </w:r>
          </w:p>
        </w:tc>
        <w:tc>
          <w:tcPr>
            <w:tcW w:w="780" w:type="dxa"/>
            <w:vAlign w:val="bottom"/>
            <w:gridSpan w:val="2"/>
          </w:tcPr>
          <w:p>
            <w:pPr>
              <w:jc w:val="right"/>
              <w:ind w:right="16"/>
              <w:spacing w:after="0"/>
              <w:rPr>
                <w:sz w:val="20"/>
                <w:szCs w:val="20"/>
                <w:color w:val="auto"/>
              </w:rPr>
            </w:pPr>
            <w:r>
              <w:rPr>
                <w:rFonts w:ascii="Arial" w:cs="Arial" w:eastAsia="Arial" w:hAnsi="Arial"/>
                <w:sz w:val="14"/>
                <w:szCs w:val="14"/>
                <w:color w:val="auto"/>
              </w:rPr>
              <w:t>4,594,500</w:t>
            </w:r>
          </w:p>
        </w:tc>
        <w:tc>
          <w:tcPr>
            <w:tcW w:w="0" w:type="dxa"/>
            <w:vAlign w:val="bottom"/>
          </w:tcPr>
          <w:p>
            <w:pPr>
              <w:spacing w:after="0"/>
              <w:rPr>
                <w:sz w:val="1"/>
                <w:szCs w:val="1"/>
                <w:color w:val="auto"/>
              </w:rPr>
            </w:pPr>
          </w:p>
        </w:tc>
      </w:tr>
      <w:tr>
        <w:trPr>
          <w:trHeight w:val="47"/>
        </w:trPr>
        <w:tc>
          <w:tcPr>
            <w:tcW w:w="896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8960" w:type="dxa"/>
            <w:vAlign w:val="bottom"/>
          </w:tcPr>
          <w:p>
            <w:pPr>
              <w:ind w:left="60"/>
              <w:spacing w:after="0"/>
              <w:rPr>
                <w:sz w:val="20"/>
                <w:szCs w:val="20"/>
                <w:color w:val="auto"/>
              </w:rPr>
            </w:pPr>
            <w:r>
              <w:rPr>
                <w:rFonts w:ascii="Arial" w:cs="Arial" w:eastAsia="Arial" w:hAnsi="Arial"/>
                <w:sz w:val="14"/>
                <w:szCs w:val="14"/>
                <w:color w:val="auto"/>
              </w:rPr>
              <w:t>Audit Related Fees</w:t>
            </w:r>
          </w:p>
        </w:tc>
        <w:tc>
          <w:tcPr>
            <w:tcW w:w="880" w:type="dxa"/>
            <w:vAlign w:val="bottom"/>
          </w:tcPr>
          <w:p>
            <w:pPr>
              <w:jc w:val="right"/>
              <w:ind w:right="86"/>
              <w:spacing w:after="0"/>
              <w:rPr>
                <w:sz w:val="20"/>
                <w:szCs w:val="20"/>
                <w:color w:val="auto"/>
              </w:rPr>
            </w:pPr>
            <w:r>
              <w:rPr>
                <w:rFonts w:ascii="Arial" w:cs="Arial" w:eastAsia="Arial" w:hAnsi="Arial"/>
                <w:sz w:val="14"/>
                <w:szCs w:val="14"/>
                <w:color w:val="auto"/>
              </w:rPr>
              <w:t>5,000</w:t>
            </w:r>
          </w:p>
        </w:tc>
        <w:tc>
          <w:tcPr>
            <w:tcW w:w="780" w:type="dxa"/>
            <w:vAlign w:val="bottom"/>
            <w:gridSpan w:val="2"/>
          </w:tcPr>
          <w:p>
            <w:pPr>
              <w:jc w:val="right"/>
              <w:ind w:right="16"/>
              <w:spacing w:after="0"/>
              <w:rPr>
                <w:sz w:val="20"/>
                <w:szCs w:val="20"/>
                <w:color w:val="auto"/>
              </w:rPr>
            </w:pPr>
            <w:r>
              <w:rPr>
                <w:rFonts w:ascii="Arial" w:cs="Arial" w:eastAsia="Arial" w:hAnsi="Arial"/>
                <w:sz w:val="14"/>
                <w:szCs w:val="14"/>
                <w:color w:val="auto"/>
              </w:rPr>
              <w:t>7,100</w:t>
            </w:r>
          </w:p>
        </w:tc>
        <w:tc>
          <w:tcPr>
            <w:tcW w:w="0" w:type="dxa"/>
            <w:vAlign w:val="bottom"/>
          </w:tcPr>
          <w:p>
            <w:pPr>
              <w:spacing w:after="0"/>
              <w:rPr>
                <w:sz w:val="1"/>
                <w:szCs w:val="1"/>
                <w:color w:val="auto"/>
              </w:rPr>
            </w:pPr>
          </w:p>
        </w:tc>
      </w:tr>
      <w:tr>
        <w:trPr>
          <w:trHeight w:val="47"/>
        </w:trPr>
        <w:tc>
          <w:tcPr>
            <w:tcW w:w="896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8960" w:type="dxa"/>
            <w:vAlign w:val="bottom"/>
          </w:tcPr>
          <w:p>
            <w:pPr>
              <w:ind w:left="60"/>
              <w:spacing w:after="0"/>
              <w:rPr>
                <w:sz w:val="20"/>
                <w:szCs w:val="20"/>
                <w:color w:val="auto"/>
              </w:rPr>
            </w:pPr>
            <w:r>
              <w:rPr>
                <w:rFonts w:ascii="Arial" w:cs="Arial" w:eastAsia="Arial" w:hAnsi="Arial"/>
                <w:sz w:val="14"/>
                <w:szCs w:val="14"/>
                <w:color w:val="auto"/>
              </w:rPr>
              <w:t>Tax Fees</w:t>
            </w:r>
          </w:p>
        </w:tc>
        <w:tc>
          <w:tcPr>
            <w:tcW w:w="880" w:type="dxa"/>
            <w:vAlign w:val="bottom"/>
          </w:tcPr>
          <w:p>
            <w:pPr>
              <w:jc w:val="right"/>
              <w:ind w:right="86"/>
              <w:spacing w:after="0"/>
              <w:rPr>
                <w:sz w:val="20"/>
                <w:szCs w:val="20"/>
                <w:color w:val="auto"/>
              </w:rPr>
            </w:pPr>
            <w:r>
              <w:rPr>
                <w:rFonts w:ascii="Arial" w:cs="Arial" w:eastAsia="Arial" w:hAnsi="Arial"/>
                <w:sz w:val="14"/>
                <w:szCs w:val="14"/>
                <w:color w:val="auto"/>
              </w:rPr>
              <w:t>381,000</w:t>
            </w:r>
          </w:p>
        </w:tc>
        <w:tc>
          <w:tcPr>
            <w:tcW w:w="780" w:type="dxa"/>
            <w:vAlign w:val="bottom"/>
            <w:gridSpan w:val="2"/>
          </w:tcPr>
          <w:p>
            <w:pPr>
              <w:jc w:val="right"/>
              <w:ind w:right="16"/>
              <w:spacing w:after="0"/>
              <w:rPr>
                <w:sz w:val="20"/>
                <w:szCs w:val="20"/>
                <w:color w:val="auto"/>
              </w:rPr>
            </w:pPr>
            <w:r>
              <w:rPr>
                <w:rFonts w:ascii="Arial" w:cs="Arial" w:eastAsia="Arial" w:hAnsi="Arial"/>
                <w:sz w:val="14"/>
                <w:szCs w:val="14"/>
                <w:color w:val="auto"/>
              </w:rPr>
              <w:t>111,600</w:t>
            </w:r>
          </w:p>
        </w:tc>
        <w:tc>
          <w:tcPr>
            <w:tcW w:w="0" w:type="dxa"/>
            <w:vAlign w:val="bottom"/>
          </w:tcPr>
          <w:p>
            <w:pPr>
              <w:spacing w:after="0"/>
              <w:rPr>
                <w:sz w:val="1"/>
                <w:szCs w:val="1"/>
                <w:color w:val="auto"/>
              </w:rPr>
            </w:pPr>
          </w:p>
        </w:tc>
      </w:tr>
      <w:tr>
        <w:trPr>
          <w:trHeight w:val="47"/>
        </w:trPr>
        <w:tc>
          <w:tcPr>
            <w:tcW w:w="896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8960" w:type="dxa"/>
            <w:vAlign w:val="bottom"/>
          </w:tcPr>
          <w:p>
            <w:pPr>
              <w:ind w:left="60"/>
              <w:spacing w:after="0"/>
              <w:rPr>
                <w:sz w:val="20"/>
                <w:szCs w:val="20"/>
                <w:color w:val="auto"/>
              </w:rPr>
            </w:pPr>
            <w:r>
              <w:rPr>
                <w:rFonts w:ascii="Arial" w:cs="Arial" w:eastAsia="Arial" w:hAnsi="Arial"/>
                <w:sz w:val="14"/>
                <w:szCs w:val="14"/>
                <w:color w:val="auto"/>
              </w:rPr>
              <w:t>All Other Fees</w:t>
            </w:r>
          </w:p>
        </w:tc>
        <w:tc>
          <w:tcPr>
            <w:tcW w:w="880" w:type="dxa"/>
            <w:vAlign w:val="bottom"/>
          </w:tcPr>
          <w:p>
            <w:pPr>
              <w:jc w:val="right"/>
              <w:ind w:right="86"/>
              <w:spacing w:after="0"/>
              <w:rPr>
                <w:sz w:val="20"/>
                <w:szCs w:val="20"/>
                <w:color w:val="auto"/>
              </w:rPr>
            </w:pPr>
            <w:r>
              <w:rPr>
                <w:rFonts w:ascii="Arial" w:cs="Arial" w:eastAsia="Arial" w:hAnsi="Arial"/>
                <w:sz w:val="14"/>
                <w:szCs w:val="14"/>
                <w:color w:val="auto"/>
              </w:rPr>
              <w:t>17,200</w:t>
            </w:r>
          </w:p>
        </w:tc>
        <w:tc>
          <w:tcPr>
            <w:tcW w:w="780" w:type="dxa"/>
            <w:vAlign w:val="bottom"/>
            <w:gridSpan w:val="2"/>
          </w:tcPr>
          <w:p>
            <w:pPr>
              <w:jc w:val="right"/>
              <w:ind w:right="16"/>
              <w:spacing w:after="0"/>
              <w:rPr>
                <w:sz w:val="20"/>
                <w:szCs w:val="20"/>
                <w:color w:val="auto"/>
              </w:rPr>
            </w:pPr>
            <w:r>
              <w:rPr>
                <w:rFonts w:ascii="Arial" w:cs="Arial" w:eastAsia="Arial" w:hAnsi="Arial"/>
                <w:sz w:val="14"/>
                <w:szCs w:val="14"/>
                <w:color w:val="auto"/>
              </w:rPr>
              <w:t>17,200</w:t>
            </w:r>
          </w:p>
        </w:tc>
        <w:tc>
          <w:tcPr>
            <w:tcW w:w="0" w:type="dxa"/>
            <w:vAlign w:val="bottom"/>
          </w:tcPr>
          <w:p>
            <w:pPr>
              <w:spacing w:after="0"/>
              <w:rPr>
                <w:sz w:val="1"/>
                <w:szCs w:val="1"/>
                <w:color w:val="auto"/>
              </w:rPr>
            </w:pPr>
          </w:p>
        </w:tc>
      </w:tr>
      <w:tr>
        <w:trPr>
          <w:trHeight w:val="47"/>
        </w:trPr>
        <w:tc>
          <w:tcPr>
            <w:tcW w:w="896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8960" w:type="dxa"/>
            <w:vAlign w:val="bottom"/>
          </w:tcPr>
          <w:p>
            <w:pPr>
              <w:ind w:left="60"/>
              <w:spacing w:after="0"/>
              <w:rPr>
                <w:sz w:val="20"/>
                <w:szCs w:val="20"/>
                <w:color w:val="auto"/>
              </w:rPr>
            </w:pPr>
            <w:r>
              <w:rPr>
                <w:rFonts w:ascii="Arial" w:cs="Arial" w:eastAsia="Arial" w:hAnsi="Arial"/>
                <w:sz w:val="14"/>
                <w:szCs w:val="14"/>
                <w:b w:val="1"/>
                <w:bCs w:val="1"/>
                <w:color w:val="auto"/>
              </w:rPr>
              <w:t>   Total</w:t>
            </w:r>
          </w:p>
        </w:tc>
        <w:tc>
          <w:tcPr>
            <w:tcW w:w="880" w:type="dxa"/>
            <w:vAlign w:val="bottom"/>
          </w:tcPr>
          <w:p>
            <w:pPr>
              <w:jc w:val="right"/>
              <w:ind w:right="86"/>
              <w:spacing w:after="0"/>
              <w:rPr>
                <w:sz w:val="20"/>
                <w:szCs w:val="20"/>
                <w:color w:val="auto"/>
              </w:rPr>
            </w:pPr>
            <w:r>
              <w:rPr>
                <w:rFonts w:ascii="Arial" w:cs="Arial" w:eastAsia="Arial" w:hAnsi="Arial"/>
                <w:sz w:val="14"/>
                <w:szCs w:val="14"/>
                <w:b w:val="1"/>
                <w:bCs w:val="1"/>
                <w:color w:val="auto"/>
              </w:rPr>
              <w:t>4,506,800</w:t>
            </w:r>
          </w:p>
        </w:tc>
        <w:tc>
          <w:tcPr>
            <w:tcW w:w="7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4,730,400</w:t>
            </w:r>
          </w:p>
        </w:tc>
        <w:tc>
          <w:tcPr>
            <w:tcW w:w="0" w:type="dxa"/>
            <w:vAlign w:val="bottom"/>
          </w:tcPr>
          <w:p>
            <w:pPr>
              <w:spacing w:after="0"/>
              <w:rPr>
                <w:sz w:val="1"/>
                <w:szCs w:val="1"/>
                <w:color w:val="auto"/>
              </w:rPr>
            </w:pPr>
          </w:p>
        </w:tc>
      </w:tr>
      <w:tr>
        <w:trPr>
          <w:trHeight w:val="39"/>
        </w:trPr>
        <w:tc>
          <w:tcPr>
            <w:tcW w:w="8960" w:type="dxa"/>
            <w:vAlign w:val="bottom"/>
            <w:tcBorders>
              <w:bottom w:val="single" w:sz="8" w:color="7F7F7F"/>
            </w:tcBorders>
          </w:tcPr>
          <w:p>
            <w:pPr>
              <w:spacing w:after="0"/>
              <w:rPr>
                <w:sz w:val="3"/>
                <w:szCs w:val="3"/>
                <w:color w:val="auto"/>
              </w:rPr>
            </w:pPr>
          </w:p>
        </w:tc>
        <w:tc>
          <w:tcPr>
            <w:tcW w:w="880" w:type="dxa"/>
            <w:vAlign w:val="bottom"/>
            <w:tcBorders>
              <w:bottom w:val="single" w:sz="8" w:color="7F7F7F"/>
            </w:tcBorders>
          </w:tcPr>
          <w:p>
            <w:pPr>
              <w:spacing w:after="0"/>
              <w:rPr>
                <w:sz w:val="3"/>
                <w:szCs w:val="3"/>
                <w:color w:val="auto"/>
              </w:rPr>
            </w:pPr>
          </w:p>
        </w:tc>
        <w:tc>
          <w:tcPr>
            <w:tcW w:w="120" w:type="dxa"/>
            <w:vAlign w:val="bottom"/>
            <w:tcBorders>
              <w:bottom w:val="single" w:sz="8" w:color="7F7F7F"/>
            </w:tcBorders>
          </w:tcPr>
          <w:p>
            <w:pPr>
              <w:spacing w:after="0"/>
              <w:rPr>
                <w:sz w:val="3"/>
                <w:szCs w:val="3"/>
                <w:color w:val="auto"/>
              </w:rPr>
            </w:pPr>
          </w:p>
        </w:tc>
        <w:tc>
          <w:tcPr>
            <w:tcW w:w="6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8960" w:type="dxa"/>
            <w:vAlign w:val="bottom"/>
            <w:vMerge w:val="restart"/>
          </w:tcPr>
          <w:p>
            <w:pPr>
              <w:ind w:left="8780"/>
              <w:spacing w:after="0"/>
              <w:rPr>
                <w:sz w:val="20"/>
                <w:szCs w:val="20"/>
                <w:color w:val="auto"/>
              </w:rPr>
            </w:pPr>
            <w:r>
              <w:rPr>
                <w:rFonts w:ascii="Arial" w:cs="Arial" w:eastAsia="Arial" w:hAnsi="Arial"/>
                <w:sz w:val="21"/>
                <w:szCs w:val="21"/>
                <w:color w:val="auto"/>
                <w:w w:val="75"/>
              </w:rPr>
              <w:t> </w:t>
            </w:r>
          </w:p>
        </w:tc>
        <w:tc>
          <w:tcPr>
            <w:tcW w:w="880" w:type="dxa"/>
            <w:vAlign w:val="bottom"/>
            <w:vMerge w:val="restart"/>
          </w:tcPr>
          <w:p>
            <w:pPr>
              <w:jc w:val="right"/>
              <w:spacing w:after="0"/>
              <w:rPr>
                <w:sz w:val="20"/>
                <w:szCs w:val="20"/>
                <w:color w:val="auto"/>
              </w:rPr>
            </w:pPr>
            <w:r>
              <w:rPr>
                <w:rFonts w:ascii="Arial" w:cs="Arial" w:eastAsia="Arial" w:hAnsi="Arial"/>
                <w:sz w:val="21"/>
                <w:szCs w:val="21"/>
                <w:color w:val="auto"/>
              </w:rPr>
              <w:t xml:space="preserve">  </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21"/>
                <w:szCs w:val="21"/>
                <w:color w:val="auto"/>
                <w:w w:val="90"/>
              </w:rPr>
              <w:t>    79</w:t>
            </w:r>
          </w:p>
        </w:tc>
        <w:tc>
          <w:tcPr>
            <w:tcW w:w="0" w:type="dxa"/>
            <w:vAlign w:val="bottom"/>
          </w:tcPr>
          <w:p>
            <w:pPr>
              <w:spacing w:after="0"/>
              <w:rPr>
                <w:sz w:val="1"/>
                <w:szCs w:val="1"/>
                <w:color w:val="auto"/>
              </w:rPr>
            </w:pPr>
          </w:p>
        </w:tc>
      </w:tr>
      <w:tr>
        <w:trPr>
          <w:trHeight w:val="248"/>
        </w:trPr>
        <w:tc>
          <w:tcPr>
            <w:tcW w:w="896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89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-222250</wp:posOffset>
            </wp:positionV>
            <wp:extent cx="396240" cy="1898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96240" cy="189865"/>
                    </a:xfrm>
                    <a:prstGeom prst="rect">
                      <a:avLst/>
                    </a:prstGeom>
                    <a:noFill/>
                  </pic:spPr>
                </pic:pic>
              </a:graphicData>
            </a:graphic>
          </wp:anchor>
        </w:drawing>
      </w:r>
    </w:p>
    <w:p>
      <w:pPr>
        <w:sectPr>
          <w:pgSz w:w="11900" w:h="16838" w:orient="portrait"/>
          <w:cols w:equalWidth="0" w:num="1">
            <w:col w:w="10620"/>
          </w:cols>
          <w:pgMar w:left="640" w:top="423" w:right="639" w:bottom="1440" w:gutter="0" w:footer="0" w:header="0"/>
        </w:sectPr>
      </w:pPr>
    </w:p>
    <w:bookmarkStart w:id="81" w:name="page82"/>
    <w:bookmarkEnd w:id="8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Proposal 4 – Ratification of the Appointment of PricewaterhouseCoopers LLP as the Company’s Independent Registered Public Accounting Firm for the 2024 Fiscal Year</w:t>
      </w:r>
    </w:p>
    <w:p>
      <w:pPr>
        <w:spacing w:after="0" w:line="137"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Audits and quarterly reviews of our consolidated financial statements, statutory audits, issuance of consent and assistance with review of</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filed with the SEC.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Audit Related Fees: </w:t>
      </w:r>
      <w:r>
        <w:rPr>
          <w:rFonts w:ascii="Arial" w:cs="Arial" w:eastAsia="Arial" w:hAnsi="Arial"/>
          <w:sz w:val="16"/>
          <w:szCs w:val="16"/>
          <w:color w:val="auto"/>
        </w:rPr>
        <w:t>Services associated with international regulatory reporting.</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Tax and transfer pricing consulting.</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Accounting research tools and human resources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229870</wp:posOffset>
            </wp:positionV>
            <wp:extent cx="6773545" cy="4959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773545" cy="49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Report of the Audit Committee</w:t>
      </w:r>
    </w:p>
    <w:p>
      <w:pPr>
        <w:spacing w:after="0" w:line="72"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Management is responsible for the preparation, presentation, and integrity of Kelly’s financial statements, for its accounting and financial reporting principles, and for the establishment and effectiveness of internal controls and procedures designed to ensure compliance with generally accepted accounting principles and applicable laws and regulations. The independent registered public accounting firm is responsible for performing an independent audit of Kelly’s financial statements and of its internal control over financial reporting in accordance with the standards of the Public Company Accounting Oversight Board (the “PCAOB”) and expressing an opinion as to the conformity of Kelly’s financial statements with generally accepted accounting principles and the effectiveness of its internal control over financial reporting. The independent registered public accounting firm has free access to the Committee to discuss any matters it deems appropriate.</w:t>
      </w:r>
    </w:p>
    <w:p>
      <w:pPr>
        <w:spacing w:after="0" w:line="5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In performing its oversight role, the Committee considered and discussed the audited financial statements of Kelly for the fiscal year ended December 31, 2023, with each of management and PwC, the independent registered public accounting firm. The Committee also discussed with PwC the matters required to be discussed by applicable requirements of the PCAOB. The Committee received the written disclosures of the PCAOB regarding the auditors’ independence and has discussed with PwC its independence.</w:t>
      </w:r>
    </w:p>
    <w:p>
      <w:pPr>
        <w:spacing w:after="0" w:line="39"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Based on the reports and discussions described in this Report, the Committee recommended to the Board that the audited financial statements of Kelly for 2023 be included in the 2023 Annual Report on Form 10-K.</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THE AUDIT COMMITTEE</w:t>
      </w:r>
    </w:p>
    <w:p>
      <w:pPr>
        <w:spacing w:after="0" w:line="20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LESLIE A. MURPHY, CHAIR</w:t>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GERALD S. ADOLPH</w:t>
      </w:r>
    </w:p>
    <w:p>
      <w:pPr>
        <w:ind w:left="5740"/>
        <w:spacing w:after="0" w:line="237" w:lineRule="auto"/>
        <w:rPr>
          <w:sz w:val="20"/>
          <w:szCs w:val="20"/>
          <w:color w:val="auto"/>
        </w:rPr>
      </w:pPr>
      <w:r>
        <w:rPr>
          <w:rFonts w:ascii="Arial" w:cs="Arial" w:eastAsia="Arial" w:hAnsi="Arial"/>
          <w:sz w:val="16"/>
          <w:szCs w:val="16"/>
          <w:color w:val="auto"/>
        </w:rPr>
        <w:t>ROBERT S. CUBBIN</w:t>
      </w:r>
    </w:p>
    <w:p>
      <w:pPr>
        <w:ind w:left="5740"/>
        <w:spacing w:after="0"/>
        <w:rPr>
          <w:sz w:val="20"/>
          <w:szCs w:val="20"/>
          <w:color w:val="auto"/>
        </w:rPr>
      </w:pPr>
      <w:r>
        <w:rPr>
          <w:rFonts w:ascii="Arial" w:cs="Arial" w:eastAsia="Arial" w:hAnsi="Arial"/>
          <w:sz w:val="16"/>
          <w:szCs w:val="16"/>
          <w:color w:val="auto"/>
        </w:rPr>
        <w:t>AMALA DUGGIRALA</w:t>
      </w:r>
    </w:p>
    <w:p>
      <w:pPr>
        <w:spacing w:after="0" w:line="64"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36"/>
          <w:szCs w:val="36"/>
          <w:color w:val="auto"/>
          <w:vertAlign w:val="superscript"/>
        </w:rPr>
        <w:t>80 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-214630</wp:posOffset>
            </wp:positionV>
            <wp:extent cx="8255" cy="2228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580"/>
          </w:cols>
          <w:pgMar w:left="640" w:top="296" w:right="679" w:bottom="1440" w:gutter="0" w:footer="0" w:header="0"/>
        </w:sectPr>
      </w:pPr>
    </w:p>
    <w:bookmarkStart w:id="82" w:name="page83"/>
    <w:bookmarkEnd w:id="82"/>
    <w:p>
      <w:pPr>
        <w:ind w:left="4" w:right="600"/>
        <w:spacing w:after="0" w:line="295" w:lineRule="auto"/>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Questions and Answers About the Proxy Statement and the Annual Meeting</w:t>
      </w:r>
    </w:p>
    <w:p>
      <w:pPr>
        <w:spacing w:after="0" w:line="218"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WHERE ARE WE HOLDING THE ANNUAL MEETING?</w:t>
      </w:r>
    </w:p>
    <w:p>
      <w:pPr>
        <w:spacing w:after="0" w:line="78" w:lineRule="exact"/>
        <w:rPr>
          <w:sz w:val="20"/>
          <w:szCs w:val="20"/>
          <w:color w:val="auto"/>
        </w:rPr>
      </w:pPr>
    </w:p>
    <w:p>
      <w:pPr>
        <w:ind w:left="424" w:hanging="424"/>
        <w:spacing w:after="0" w:line="284" w:lineRule="auto"/>
        <w:tabs>
          <w:tab w:leader="none" w:pos="424"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2024 Annual Meeting of Shareholders will be held virtually. To access the live audio webcast of the meeting, shareholders of record will need to visit kellyservices.com for instructions and use their 16-digit Control Number provided in the Notice to log in to this website. If your shares are held beneficially in the name of a bank, broker, or other holder of record (sometimes referred to as holding share “in street name”), you will receive instructions from the holder of record that you must follow for your shares to be voted. Beneficial holders will need to obtain a “legal proxy” from their broker, bank, or other holder of record that holds your shares if they want to vote during the virtual meeting. Beneficial holders will need to send our transfer agent, Computershare, the legal proxy before the meeting and they will then issue via email, an authorized control number.</w:t>
      </w:r>
    </w:p>
    <w:p>
      <w:pPr>
        <w:spacing w:after="0" w:line="299" w:lineRule="exact"/>
        <w:rPr>
          <w:sz w:val="20"/>
          <w:szCs w:val="20"/>
          <w:color w:val="auto"/>
        </w:rPr>
      </w:pPr>
    </w:p>
    <w:p>
      <w:pPr>
        <w:ind w:left="424" w:hanging="424"/>
        <w:spacing w:after="0"/>
        <w:tabs>
          <w:tab w:leader="none" w:pos="424"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WHO IS MAKING THE SOLICITATION IN THIS PROXY STATEMENT?</w:t>
      </w:r>
    </w:p>
    <w:p>
      <w:pPr>
        <w:spacing w:after="0" w:line="78" w:lineRule="exact"/>
        <w:rPr>
          <w:sz w:val="20"/>
          <w:szCs w:val="20"/>
          <w:color w:val="auto"/>
        </w:rPr>
      </w:pPr>
    </w:p>
    <w:p>
      <w:pPr>
        <w:ind w:left="424" w:right="80" w:hanging="424"/>
        <w:spacing w:after="0" w:line="246" w:lineRule="auto"/>
        <w:tabs>
          <w:tab w:leader="none" w:pos="424"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Proxy Statement is furnished in connection with the solicitation of proxies on behalf of the Board of Directors of Kelly Services, Inc. for use at the Annual Meeting of Shareholders of the Company to be held virtually on May 9, 2024, for the purposes set forth in the Notice of Annual Meeting of Shareholders. The approximate date on which this Proxy Statement and enclosed form of proxy are first being sent to Class B shareholders of the Company is April 15, 2024.</w:t>
      </w:r>
    </w:p>
    <w:p>
      <w:pPr>
        <w:spacing w:after="0" w:line="323" w:lineRule="exact"/>
        <w:rPr>
          <w:sz w:val="20"/>
          <w:szCs w:val="20"/>
          <w:color w:val="auto"/>
        </w:rPr>
      </w:pPr>
    </w:p>
    <w:p>
      <w:pPr>
        <w:ind w:left="424" w:hanging="424"/>
        <w:spacing w:after="0"/>
        <w:tabs>
          <w:tab w:leader="none" w:pos="424"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WHO WILL BEAR THE COST OF THE PROXY SOLICITATION?</w:t>
      </w:r>
    </w:p>
    <w:p>
      <w:pPr>
        <w:spacing w:after="0" w:line="78" w:lineRule="exact"/>
        <w:rPr>
          <w:sz w:val="20"/>
          <w:szCs w:val="20"/>
          <w:color w:val="auto"/>
        </w:rPr>
      </w:pPr>
    </w:p>
    <w:p>
      <w:pPr>
        <w:ind w:left="424" w:right="20" w:hanging="424"/>
        <w:spacing w:after="0" w:line="246" w:lineRule="auto"/>
        <w:tabs>
          <w:tab w:leader="none" w:pos="424"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cost of soliciting proxies will be borne by the Company. The solicitation of proxies will be made primarily by mail. The Company may also make arrangements with brokerage houses, custodians, banks, nominees, and fiduciaries to forward solicitation material to beneficial owners of Class B stock held of record by them and to obtain authorization to execute proxies. The Company may reimburse such institutional holders for reasonable expenses incurred by them in connection therewith.</w:t>
      </w:r>
    </w:p>
    <w:p>
      <w:pPr>
        <w:spacing w:after="0" w:line="52" w:lineRule="exact"/>
        <w:rPr>
          <w:sz w:val="20"/>
          <w:szCs w:val="20"/>
          <w:color w:val="auto"/>
        </w:rPr>
      </w:pPr>
    </w:p>
    <w:p>
      <w:pPr>
        <w:ind w:left="424" w:right="80" w:hanging="424"/>
        <w:spacing w:after="0" w:line="246" w:lineRule="auto"/>
        <w:tabs>
          <w:tab w:leader="none" w:pos="424" w:val="left"/>
        </w:tabs>
        <w:numPr>
          <w:ilvl w:val="0"/>
          <w:numId w:val="60"/>
        </w:numPr>
        <w:rPr>
          <w:rFonts w:ascii="Arial" w:cs="Arial" w:eastAsia="Arial" w:hAnsi="Arial"/>
          <w:sz w:val="16"/>
          <w:szCs w:val="16"/>
          <w:color w:val="auto"/>
        </w:rPr>
      </w:pPr>
      <w:r>
        <w:rPr>
          <w:rFonts w:ascii="Arial" w:cs="Arial" w:eastAsia="Arial" w:hAnsi="Arial"/>
          <w:sz w:val="16"/>
          <w:szCs w:val="16"/>
          <w:color w:val="auto"/>
        </w:rPr>
        <w:t>A copy of the Company’s Annual Report and Annual Report on Form 10-K as of December 31, 2023, the close of the Company’s latest fiscal year, has been mailed or otherwise made available to each shareholder of record. The expense of preparing, printing, assembling, and mailing the accompanying form of proxy and the material used in the solicitation of proxies will be paid by the Company. In addition, the Company may reimburse brokers or nominees for their expenses in transmitting proxies and proxy material to principals.</w:t>
      </w:r>
    </w:p>
    <w:p>
      <w:pPr>
        <w:spacing w:after="0" w:line="323" w:lineRule="exact"/>
        <w:rPr>
          <w:sz w:val="20"/>
          <w:szCs w:val="20"/>
          <w:color w:val="auto"/>
        </w:rPr>
      </w:pPr>
    </w:p>
    <w:p>
      <w:pPr>
        <w:ind w:left="424" w:hanging="424"/>
        <w:spacing w:after="0"/>
        <w:tabs>
          <w:tab w:leader="none" w:pos="424"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WHO IS ENTITLED TO VOTE?</w:t>
      </w:r>
    </w:p>
    <w:p>
      <w:pPr>
        <w:spacing w:after="0" w:line="78" w:lineRule="exact"/>
        <w:rPr>
          <w:sz w:val="20"/>
          <w:szCs w:val="20"/>
          <w:color w:val="auto"/>
        </w:rPr>
      </w:pPr>
    </w:p>
    <w:p>
      <w:pPr>
        <w:ind w:left="424" w:right="40" w:hanging="424"/>
        <w:spacing w:after="0" w:line="251" w:lineRule="auto"/>
        <w:tabs>
          <w:tab w:leader="none" w:pos="424" w:val="left"/>
        </w:tabs>
        <w:numPr>
          <w:ilvl w:val="0"/>
          <w:numId w:val="62"/>
        </w:numPr>
        <w:rPr>
          <w:rFonts w:ascii="Arial" w:cs="Arial" w:eastAsia="Arial" w:hAnsi="Arial"/>
          <w:sz w:val="16"/>
          <w:szCs w:val="16"/>
          <w:color w:val="auto"/>
        </w:rPr>
      </w:pPr>
      <w:r>
        <w:rPr>
          <w:rFonts w:ascii="Arial" w:cs="Arial" w:eastAsia="Arial" w:hAnsi="Arial"/>
          <w:sz w:val="16"/>
          <w:szCs w:val="16"/>
          <w:color w:val="auto"/>
        </w:rPr>
        <w:t>Only shareholders of record of our Class B Common Stock, par value $1.00 per share, at the close of business on March 21, 2024, the record date for the Annual Meeting, are entitled to notice of and to vote at the Annual Meeting. Class B Common Stock is the only class of the Company’s securities with voting rights.</w:t>
      </w:r>
    </w:p>
    <w:p>
      <w:pPr>
        <w:spacing w:after="0" w:line="86" w:lineRule="exact"/>
        <w:rPr>
          <w:sz w:val="20"/>
          <w:szCs w:val="20"/>
          <w:color w:val="auto"/>
        </w:rPr>
      </w:pPr>
    </w:p>
    <w:p>
      <w:pPr>
        <w:ind w:left="424" w:right="180" w:hanging="424"/>
        <w:spacing w:after="0" w:line="337" w:lineRule="auto"/>
        <w:tabs>
          <w:tab w:leader="none" w:pos="424" w:val="left"/>
        </w:tabs>
        <w:numPr>
          <w:ilvl w:val="0"/>
          <w:numId w:val="63"/>
        </w:numPr>
        <w:rPr>
          <w:rFonts w:ascii="Arial" w:cs="Arial" w:eastAsia="Arial" w:hAnsi="Arial"/>
          <w:sz w:val="14"/>
          <w:szCs w:val="14"/>
          <w:color w:val="auto"/>
        </w:rPr>
      </w:pPr>
      <w:r>
        <w:rPr>
          <w:rFonts w:ascii="Arial" w:cs="Arial" w:eastAsia="Arial" w:hAnsi="Arial"/>
          <w:sz w:val="14"/>
          <w:szCs w:val="14"/>
          <w:color w:val="auto"/>
        </w:rPr>
        <w:t>At the close of business on March 21, 2024, the number of issued and outstanding voting securities (exclusive of treasury shares) was 3,321,601 shares of the Class B Common Stock. Class B shareholders on the record date will be entitled to one vote for each share held of record.</w:t>
      </w:r>
    </w:p>
    <w:p>
      <w:pPr>
        <w:spacing w:after="0" w:line="261" w:lineRule="exact"/>
        <w:rPr>
          <w:sz w:val="20"/>
          <w:szCs w:val="20"/>
          <w:color w:val="auto"/>
        </w:rPr>
      </w:pPr>
    </w:p>
    <w:p>
      <w:pPr>
        <w:ind w:left="424" w:hanging="424"/>
        <w:spacing w:after="0"/>
        <w:tabs>
          <w:tab w:leader="none" w:pos="424"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HOW DO I VOTE?</w:t>
      </w:r>
    </w:p>
    <w:p>
      <w:pPr>
        <w:spacing w:after="0" w:line="78" w:lineRule="exact"/>
        <w:rPr>
          <w:sz w:val="20"/>
          <w:szCs w:val="20"/>
          <w:color w:val="auto"/>
        </w:rPr>
      </w:pPr>
    </w:p>
    <w:p>
      <w:pPr>
        <w:ind w:left="424" w:right="220" w:hanging="424"/>
        <w:spacing w:after="0" w:line="252" w:lineRule="auto"/>
        <w:tabs>
          <w:tab w:leader="none" w:pos="424"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encourage Class B shareholders to return their proxies promptly via the enclosed form of proxy in the enclosed postage prepaid envelope or vote via the Internet, QR code scan, or telephone.</w:t>
      </w:r>
    </w:p>
    <w:p>
      <w:pPr>
        <w:spacing w:after="0" w:line="1" w:lineRule="exact"/>
        <w:rPr>
          <w:rFonts w:ascii="Arial" w:cs="Arial" w:eastAsia="Arial" w:hAnsi="Arial"/>
          <w:sz w:val="16"/>
          <w:szCs w:val="16"/>
          <w:color w:val="auto"/>
        </w:rPr>
      </w:pPr>
    </w:p>
    <w:p>
      <w:pPr>
        <w:ind w:left="9064" w:hanging="281"/>
        <w:spacing w:after="0"/>
        <w:tabs>
          <w:tab w:leader="none" w:pos="9064" w:val="left"/>
        </w:tabs>
        <w:numPr>
          <w:ilvl w:val="1"/>
          <w:numId w:val="65"/>
        </w:numPr>
        <w:rPr>
          <w:rFonts w:ascii="Arial" w:cs="Arial" w:eastAsia="Arial" w:hAnsi="Arial"/>
          <w:sz w:val="20"/>
          <w:szCs w:val="20"/>
          <w:color w:val="auto"/>
          <w:vertAlign w:val="subscript"/>
        </w:rPr>
      </w:pPr>
      <w:r>
        <w:rPr>
          <w:sz w:val="1"/>
          <w:szCs w:val="1"/>
          <w:color w:val="auto"/>
        </w:rPr>
        <w:drawing>
          <wp:inline distT="0" distB="0" distL="0" distR="0">
            <wp:extent cx="396240" cy="189865"/>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0"/>
          <w:szCs w:val="20"/>
          <w:color w:val="auto"/>
          <w:vertAlign w:val="subscript"/>
        </w:rPr>
        <w:t xml:space="preserve">    </w:t>
      </w:r>
      <w:r>
        <w:rPr>
          <w:rFonts w:ascii="Arial" w:cs="Arial" w:eastAsia="Arial" w:hAnsi="Arial"/>
          <w:sz w:val="20"/>
          <w:szCs w:val="20"/>
          <w:color w:val="auto"/>
        </w:rPr>
        <w: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6311265</wp:posOffset>
            </wp:positionH>
            <wp:positionV relativeFrom="paragraph">
              <wp:posOffset>-132080</wp:posOffset>
            </wp:positionV>
            <wp:extent cx="8255" cy="2228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584"/>
          </w:cols>
          <w:pgMar w:left="636" w:top="423" w:right="679" w:bottom="1440" w:gutter="0" w:footer="0" w:header="0"/>
        </w:sectPr>
      </w:pPr>
    </w:p>
    <w:bookmarkStart w:id="83" w:name="page84"/>
    <w:bookmarkEnd w:id="83"/>
    <w:p>
      <w:pPr>
        <w:ind w:left="4"/>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Questions and Answers About the Proxy Statement and the Annual Meeting</w:t>
      </w:r>
    </w:p>
    <w:p>
      <w:pPr>
        <w:spacing w:after="0" w:line="135" w:lineRule="exact"/>
        <w:rPr>
          <w:sz w:val="20"/>
          <w:szCs w:val="20"/>
          <w:color w:val="auto"/>
        </w:rPr>
      </w:pPr>
    </w:p>
    <w:p>
      <w:pPr>
        <w:ind w:left="424" w:hanging="424"/>
        <w:spacing w:after="0"/>
        <w:tabs>
          <w:tab w:leader="none" w:pos="424"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HOW IS MY VOTE COUNTED?</w:t>
      </w:r>
    </w:p>
    <w:p>
      <w:pPr>
        <w:spacing w:after="0" w:line="78" w:lineRule="exact"/>
        <w:rPr>
          <w:sz w:val="20"/>
          <w:szCs w:val="20"/>
          <w:color w:val="auto"/>
        </w:rPr>
      </w:pPr>
    </w:p>
    <w:p>
      <w:pPr>
        <w:ind w:left="424" w:right="200" w:hanging="424"/>
        <w:spacing w:after="0" w:line="244" w:lineRule="auto"/>
        <w:tabs>
          <w:tab w:leader="none" w:pos="4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If a proxy in the accompanying form is properly executed, returned to the Company and not revoked, the shares represented by the proxy will be voted in accordance with the instructions set forth thereon. If no instructions are given with respect to the matters to be acted upon, the shares represented by the proxy will be voted in accordance with the recommendation of the Company’s Board of Directors on each of the proposals set forth in the accompanying Notice of Annual Meeting of Shareholders and on any other matters that properly come before the Annual Meeting in such manner as may be determined by the individuals named as proxies.</w:t>
      </w:r>
    </w:p>
    <w:p>
      <w:pPr>
        <w:spacing w:after="0" w:line="325" w:lineRule="exact"/>
        <w:rPr>
          <w:sz w:val="20"/>
          <w:szCs w:val="20"/>
          <w:color w:val="auto"/>
        </w:rPr>
      </w:pPr>
    </w:p>
    <w:p>
      <w:pPr>
        <w:ind w:left="424" w:hanging="424"/>
        <w:spacing w:after="0"/>
        <w:tabs>
          <w:tab w:leader="none" w:pos="424"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CAN I REVOKE MY PROXY AFTER I HAVE SUBMITTED IT?</w:t>
      </w:r>
    </w:p>
    <w:p>
      <w:pPr>
        <w:spacing w:after="0" w:line="78" w:lineRule="exact"/>
        <w:rPr>
          <w:sz w:val="20"/>
          <w:szCs w:val="20"/>
          <w:color w:val="auto"/>
        </w:rPr>
      </w:pPr>
    </w:p>
    <w:p>
      <w:pPr>
        <w:jc w:val="both"/>
        <w:ind w:left="424" w:right="100" w:hanging="424"/>
        <w:spacing w:after="0" w:line="304" w:lineRule="auto"/>
        <w:tabs>
          <w:tab w:leader="none" w:pos="424" w:val="left"/>
        </w:tabs>
        <w:numPr>
          <w:ilvl w:val="0"/>
          <w:numId w:val="69"/>
        </w:numPr>
        <w:rPr>
          <w:rFonts w:ascii="Arial" w:cs="Arial" w:eastAsia="Arial" w:hAnsi="Arial"/>
          <w:sz w:val="14"/>
          <w:szCs w:val="14"/>
          <w:color w:val="auto"/>
        </w:rPr>
      </w:pPr>
      <w:r>
        <w:rPr>
          <w:rFonts w:ascii="Arial" w:cs="Arial" w:eastAsia="Arial" w:hAnsi="Arial"/>
          <w:sz w:val="14"/>
          <w:szCs w:val="14"/>
          <w:color w:val="auto"/>
        </w:rPr>
        <w:t>If the enclosed form of proxy is executed and returned by the shareholder, it may nevertheless be revoked by the person giving it by written notice of revocation to the Corporate Secretary of the Company or by submitting a later dated proxy, provided such notice or later dated proxy is received by 11:59 p.m., Central Time, on May 8, 2024. You will also be able to vote your shares online by attending the Annual Meeting by webcast.</w:t>
      </w:r>
    </w:p>
    <w:p>
      <w:pPr>
        <w:spacing w:after="0" w:line="284" w:lineRule="exact"/>
        <w:rPr>
          <w:sz w:val="20"/>
          <w:szCs w:val="20"/>
          <w:color w:val="auto"/>
        </w:rPr>
      </w:pPr>
    </w:p>
    <w:p>
      <w:pPr>
        <w:ind w:left="424" w:hanging="424"/>
        <w:spacing w:after="0"/>
        <w:tabs>
          <w:tab w:leader="none" w:pos="424"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WHAT CONSTITUTES A QUORUM?</w:t>
      </w:r>
    </w:p>
    <w:p>
      <w:pPr>
        <w:spacing w:after="0" w:line="78" w:lineRule="exact"/>
        <w:rPr>
          <w:sz w:val="20"/>
          <w:szCs w:val="20"/>
          <w:color w:val="auto"/>
        </w:rPr>
      </w:pPr>
    </w:p>
    <w:p>
      <w:pPr>
        <w:ind w:left="424" w:right="60" w:hanging="424"/>
        <w:spacing w:after="0" w:line="246" w:lineRule="auto"/>
        <w:tabs>
          <w:tab w:leader="none" w:pos="424" w:val="left"/>
        </w:tabs>
        <w:numPr>
          <w:ilvl w:val="0"/>
          <w:numId w:val="71"/>
        </w:numPr>
        <w:rPr>
          <w:rFonts w:ascii="Arial" w:cs="Arial" w:eastAsia="Arial" w:hAnsi="Arial"/>
          <w:sz w:val="16"/>
          <w:szCs w:val="16"/>
          <w:color w:val="auto"/>
        </w:rPr>
      </w:pPr>
      <w:r>
        <w:rPr>
          <w:rFonts w:ascii="Arial" w:cs="Arial" w:eastAsia="Arial" w:hAnsi="Arial"/>
          <w:sz w:val="16"/>
          <w:szCs w:val="16"/>
          <w:color w:val="auto"/>
        </w:rPr>
        <w:t>Pursuant to the Company’s Bylaws, the holders of 60% of the issued and outstanding shares of Class B Common Stock who are entitled to vote at a shareholders’ meeting, in person or represented by proxy, will constitute a quorum. Shares that are present and entitled to vote on any of the proposals to be considered at the Annual Meeting will be considered to be present at the Annual Meeting for purposes of establishing the presence or absence of a quorum for the transaction of business.</w:t>
      </w:r>
    </w:p>
    <w:p>
      <w:pPr>
        <w:spacing w:after="0" w:line="323" w:lineRule="exact"/>
        <w:rPr>
          <w:sz w:val="20"/>
          <w:szCs w:val="20"/>
          <w:color w:val="auto"/>
        </w:rPr>
      </w:pPr>
    </w:p>
    <w:p>
      <w:pPr>
        <w:ind w:left="424" w:hanging="424"/>
        <w:spacing w:after="0"/>
        <w:tabs>
          <w:tab w:leader="none" w:pos="424"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WHAT IS A BROKER NON-VOTE?</w:t>
      </w:r>
    </w:p>
    <w:p>
      <w:pPr>
        <w:spacing w:after="0" w:line="78" w:lineRule="exact"/>
        <w:rPr>
          <w:sz w:val="20"/>
          <w:szCs w:val="20"/>
          <w:color w:val="auto"/>
        </w:rPr>
      </w:pPr>
    </w:p>
    <w:p>
      <w:pPr>
        <w:ind w:left="424" w:right="240" w:hanging="424"/>
        <w:spacing w:after="0" w:line="251" w:lineRule="auto"/>
        <w:tabs>
          <w:tab w:leader="none" w:pos="424"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“broker non-vote” occurs if a broker or other nominee indicates on the enclosed proxy that it does not have discretionary authority as to certain shares to vote on a particular proposal, but otherwise has authority to vote at the Annual Meeting. Abstentions and shares subject to broker non-votes will be considered as present for purposes of determining the presence or absence of a quorum at the Annual Meeting.</w:t>
      </w:r>
    </w:p>
    <w:p>
      <w:pPr>
        <w:spacing w:after="0" w:line="318" w:lineRule="exact"/>
        <w:rPr>
          <w:sz w:val="20"/>
          <w:szCs w:val="20"/>
          <w:color w:val="auto"/>
        </w:rPr>
      </w:pPr>
    </w:p>
    <w:p>
      <w:pPr>
        <w:ind w:left="424" w:hanging="424"/>
        <w:spacing w:after="0"/>
        <w:tabs>
          <w:tab w:leader="none" w:pos="424"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HOW IS IT DETERMINED IF A MATTER HAS BEEN APPROVED?</w:t>
      </w:r>
    </w:p>
    <w:p>
      <w:pPr>
        <w:spacing w:after="0" w:line="78" w:lineRule="exact"/>
        <w:rPr>
          <w:sz w:val="20"/>
          <w:szCs w:val="20"/>
          <w:color w:val="auto"/>
        </w:rPr>
      </w:pPr>
    </w:p>
    <w:p>
      <w:pPr>
        <w:ind w:left="424" w:right="100" w:hanging="424"/>
        <w:spacing w:after="0" w:line="329" w:lineRule="auto"/>
        <w:tabs>
          <w:tab w:leader="none" w:pos="424" w:val="left"/>
        </w:tabs>
        <w:numPr>
          <w:ilvl w:val="0"/>
          <w:numId w:val="75"/>
        </w:numPr>
        <w:rPr>
          <w:rFonts w:ascii="Arial" w:cs="Arial" w:eastAsia="Arial" w:hAnsi="Arial"/>
          <w:sz w:val="14"/>
          <w:szCs w:val="14"/>
          <w:color w:val="auto"/>
        </w:rPr>
      </w:pPr>
      <w:r>
        <w:rPr>
          <w:rFonts w:ascii="Arial" w:cs="Arial" w:eastAsia="Arial" w:hAnsi="Arial"/>
          <w:sz w:val="14"/>
          <w:szCs w:val="14"/>
          <w:color w:val="auto"/>
        </w:rPr>
        <w:t>Under our Bylaws, directors are elected by plurality vote and the nominees who receive the greatest number of votes at the Annual Meeting will be elected. Withheld votes and broker non-votes will not be taken into account for purposes of determining the outcome of the election of directors.</w:t>
      </w:r>
    </w:p>
    <w:p>
      <w:pPr>
        <w:spacing w:after="0" w:line="1" w:lineRule="exact"/>
        <w:rPr>
          <w:sz w:val="20"/>
          <w:szCs w:val="20"/>
          <w:color w:val="auto"/>
        </w:rPr>
      </w:pPr>
    </w:p>
    <w:p>
      <w:pPr>
        <w:ind w:left="424" w:right="180" w:hanging="424"/>
        <w:spacing w:after="0" w:line="251" w:lineRule="auto"/>
        <w:tabs>
          <w:tab w:leader="none" w:pos="424"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affirmative vote of a majority of the Class B shares present in person or by proxy at the Annual Meeting and entitled to vote on such proposal will be required to approve Proposal 2, and Proposal 4. Abstentions will have the effect of negative votes with respect to these proposals. Broker non-votes will not be taken into account for purposes of these proposals.</w:t>
      </w:r>
    </w:p>
    <w:p>
      <w:pPr>
        <w:spacing w:after="0" w:line="47" w:lineRule="exact"/>
        <w:rPr>
          <w:rFonts w:ascii="Arial" w:cs="Arial" w:eastAsia="Arial" w:hAnsi="Arial"/>
          <w:sz w:val="16"/>
          <w:szCs w:val="16"/>
          <w:color w:val="auto"/>
        </w:rPr>
      </w:pPr>
    </w:p>
    <w:p>
      <w:pPr>
        <w:ind w:left="424" w:hanging="424"/>
        <w:spacing w:after="0" w:line="265" w:lineRule="auto"/>
        <w:tabs>
          <w:tab w:leader="none" w:pos="424"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affirmative vote of the holders of a majority of the outstanding shares of our Class B Common Stock entitled to vote on Proposal 3 is required to approve the Proposal. Abstentions and broker non-votes will have the same effect as a vote against Proposal 3.</w:t>
      </w:r>
    </w:p>
    <w:p>
      <w:pPr>
        <w:spacing w:after="0" w:line="307" w:lineRule="exact"/>
        <w:rPr>
          <w:sz w:val="20"/>
          <w:szCs w:val="20"/>
          <w:color w:val="auto"/>
        </w:rPr>
      </w:pPr>
    </w:p>
    <w:p>
      <w:pPr>
        <w:ind w:left="424" w:right="920" w:hanging="424"/>
        <w:spacing w:after="0" w:line="278" w:lineRule="auto"/>
        <w:tabs>
          <w:tab w:leader="none" w:pos="424"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ADDITIONAL MATTERS (OTHER THAN THE PROPOSALS DESCRIBED IN THIS PROXY STATEMENT) ARE PRESENTED AT THE ANNUAL MEETING?</w:t>
      </w:r>
    </w:p>
    <w:p>
      <w:pPr>
        <w:spacing w:after="0" w:line="18" w:lineRule="exact"/>
        <w:rPr>
          <w:sz w:val="20"/>
          <w:szCs w:val="20"/>
          <w:color w:val="auto"/>
        </w:rPr>
      </w:pPr>
    </w:p>
    <w:p>
      <w:pPr>
        <w:ind w:left="424" w:right="180" w:hanging="424"/>
        <w:spacing w:after="0" w:line="265" w:lineRule="auto"/>
        <w:tabs>
          <w:tab w:leader="none" w:pos="424"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any other matters do properly come before the Annual Meeting, all proxies signed and returned by holders of the Class B Common Stock, if not limited to the contrary, will be voted thereon in accordance with the best judgment of the persons voting the proxies.</w:t>
      </w:r>
    </w:p>
    <w:p>
      <w:pPr>
        <w:spacing w:after="0" w:line="38" w:lineRule="exact"/>
        <w:rPr>
          <w:sz w:val="20"/>
          <w:szCs w:val="20"/>
          <w:color w:val="auto"/>
        </w:rPr>
      </w:pPr>
    </w:p>
    <w:p>
      <w:pPr>
        <w:ind w:left="64"/>
        <w:spacing w:after="0"/>
        <w:tabs>
          <w:tab w:leader="none" w:pos="563" w:val="left"/>
        </w:tabs>
        <w:rPr>
          <w:sz w:val="20"/>
          <w:szCs w:val="20"/>
          <w:color w:val="auto"/>
        </w:rPr>
      </w:pPr>
      <w:r>
        <w:rPr>
          <w:rFonts w:ascii="Arial" w:cs="Arial" w:eastAsia="Arial" w:hAnsi="Arial"/>
          <w:sz w:val="36"/>
          <w:szCs w:val="36"/>
          <w:color w:val="auto"/>
          <w:vertAlign w:val="superscript"/>
        </w:rPr>
        <w:t>82 </w:t>
      </w:r>
      <w:r>
        <w:rPr>
          <w:sz w:val="20"/>
          <w:szCs w:val="20"/>
          <w:color w:val="auto"/>
        </w:rPr>
        <w:tab/>
      </w:r>
      <w:r>
        <w:rPr>
          <w:rFonts w:ascii="Arial" w:cs="Arial" w:eastAsia="Arial" w:hAnsi="Arial"/>
          <w:sz w:val="19"/>
          <w:szCs w:val="19"/>
          <w:color w:val="auto"/>
        </w:rPr>
        <w:t xml:space="preserve">    </w:t>
      </w:r>
      <w:r>
        <w:rPr>
          <w:sz w:val="1"/>
          <w:szCs w:val="1"/>
          <w:color w:val="auto"/>
        </w:rPr>
        <w:drawing>
          <wp:inline distT="0" distB="0" distL="0" distR="0">
            <wp:extent cx="396240" cy="189865"/>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-214630</wp:posOffset>
            </wp:positionV>
            <wp:extent cx="8255" cy="2228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04"/>
          </w:cols>
          <w:pgMar w:left="636" w:top="296" w:right="659" w:bottom="1440" w:gutter="0" w:footer="0" w:header="0"/>
        </w:sectPr>
      </w:pPr>
    </w:p>
    <w:bookmarkStart w:id="84" w:name="page85"/>
    <w:bookmarkEnd w:id="84"/>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Questions and Answers About the Proxy Statement and the Annual Meeting</w:t>
      </w:r>
    </w:p>
    <w:p>
      <w:pPr>
        <w:spacing w:after="0" w:line="135" w:lineRule="exact"/>
        <w:rPr>
          <w:sz w:val="20"/>
          <w:szCs w:val="20"/>
          <w:color w:val="auto"/>
        </w:rPr>
      </w:pPr>
    </w:p>
    <w:p>
      <w:pPr>
        <w:ind w:left="424" w:hanging="424"/>
        <w:spacing w:after="0"/>
        <w:tabs>
          <w:tab w:leader="none" w:pos="424"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HOW CAN I COMMUNICATE WITH THE BOARD?</w:t>
      </w:r>
    </w:p>
    <w:p>
      <w:pPr>
        <w:spacing w:after="0" w:line="78" w:lineRule="exact"/>
        <w:rPr>
          <w:sz w:val="20"/>
          <w:szCs w:val="20"/>
          <w:color w:val="auto"/>
        </w:rPr>
      </w:pPr>
    </w:p>
    <w:p>
      <w:pPr>
        <w:ind w:left="424" w:right="60" w:hanging="424"/>
        <w:spacing w:after="0" w:line="251" w:lineRule="auto"/>
        <w:tabs>
          <w:tab w:leader="none" w:pos="424" w:val="left"/>
        </w:tabs>
        <w:numPr>
          <w:ilvl w:val="0"/>
          <w:numId w:val="80"/>
        </w:numPr>
        <w:rPr>
          <w:rFonts w:ascii="Arial" w:cs="Arial" w:eastAsia="Arial" w:hAnsi="Arial"/>
          <w:sz w:val="16"/>
          <w:szCs w:val="16"/>
          <w:color w:val="auto"/>
        </w:rPr>
      </w:pPr>
      <w:r>
        <w:rPr>
          <w:rFonts w:ascii="Arial" w:cs="Arial" w:eastAsia="Arial" w:hAnsi="Arial"/>
          <w:sz w:val="16"/>
          <w:szCs w:val="16"/>
          <w:color w:val="auto"/>
        </w:rPr>
        <w:t>Shareholders may communicate with the Board in writing, addressed to the Board of Directors and mailed to the Corporate Secretary, Kelly Services, Inc., 999 West Big Beaver Road, Troy, Michigan 48084-4716. All written shareholder communications will be summarized and reported to the Board at its regularly scheduled meetings.</w:t>
      </w:r>
    </w:p>
    <w:p>
      <w:pPr>
        <w:spacing w:after="0" w:line="318" w:lineRule="exact"/>
        <w:rPr>
          <w:sz w:val="20"/>
          <w:szCs w:val="20"/>
          <w:color w:val="auto"/>
        </w:rPr>
      </w:pPr>
    </w:p>
    <w:p>
      <w:pPr>
        <w:ind w:left="424" w:right="20" w:hanging="424"/>
        <w:spacing w:after="0" w:line="278" w:lineRule="auto"/>
        <w:tabs>
          <w:tab w:leader="none" w:pos="424"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DEADLINE TO SUBMIT SHAREHOLDER PROPOSALS AND DIRECTOR NOMINATIONS FOR THE COMPANY’S 2025 ANNUAL MEETING OF SHAREHOLDERS?</w:t>
      </w:r>
    </w:p>
    <w:p>
      <w:pPr>
        <w:spacing w:after="0" w:line="18" w:lineRule="exact"/>
        <w:rPr>
          <w:sz w:val="20"/>
          <w:szCs w:val="20"/>
          <w:color w:val="auto"/>
        </w:rPr>
      </w:pPr>
    </w:p>
    <w:p>
      <w:pPr>
        <w:ind w:left="424" w:right="20" w:hanging="424"/>
        <w:spacing w:after="0" w:line="246" w:lineRule="auto"/>
        <w:tabs>
          <w:tab w:leader="none" w:pos="424"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a Class B shareholder intends to present a proposal for inclusion in the proxy materials to be distributed by us in connection with the Company’s 2025 Annual Meeting of Shareholders in reliance on Rule 14a-8 under the Exchange Act, the proposal must be submitted in writing and received by the Corporate Secretary no later than December 16, 2024. The proposal must also meet the other requirements of the rules of the SEC relating to shareholder proposals.</w:t>
      </w:r>
    </w:p>
    <w:p>
      <w:pPr>
        <w:spacing w:after="0" w:line="52" w:lineRule="exact"/>
        <w:rPr>
          <w:sz w:val="20"/>
          <w:szCs w:val="20"/>
          <w:color w:val="auto"/>
        </w:rPr>
      </w:pPr>
    </w:p>
    <w:p>
      <w:pPr>
        <w:ind w:left="424" w:right="20" w:hanging="424"/>
        <w:spacing w:after="0" w:line="243" w:lineRule="auto"/>
        <w:tabs>
          <w:tab w:leader="none" w:pos="424" w:val="left"/>
        </w:tabs>
        <w:numPr>
          <w:ilvl w:val="0"/>
          <w:numId w:val="83"/>
        </w:numPr>
        <w:rPr>
          <w:rFonts w:ascii="Arial" w:cs="Arial" w:eastAsia="Arial" w:hAnsi="Arial"/>
          <w:sz w:val="16"/>
          <w:szCs w:val="16"/>
          <w:color w:val="auto"/>
        </w:rPr>
      </w:pPr>
      <w:r>
        <w:rPr>
          <w:rFonts w:ascii="Arial" w:cs="Arial" w:eastAsia="Arial" w:hAnsi="Arial"/>
          <w:sz w:val="16"/>
          <w:szCs w:val="16"/>
          <w:color w:val="auto"/>
        </w:rPr>
        <w:t>Our Bylaws contain an advance notice of shareholder business and nominations requirement, which generally prescribes the procedures that a shareholder of the Company must follow if the shareholder intends at an Annual Meeting of Shareholders to nominate a person for the election to the Board or to propose other business to be considered by shareholders. These procedures include, among other things, that the shareholder give timely notice to the Corporate Secretary of the nomination or other proposed business, that the notice contains specified information, and that the shareholder complies with certain other requirements. If a shareholder’s nomination or proposal is not in compliance with the procedures set forth in our Bylaws, the Company may disregard such nomination or proposal.</w:t>
      </w:r>
    </w:p>
    <w:p>
      <w:pPr>
        <w:spacing w:after="0" w:line="53" w:lineRule="exact"/>
        <w:rPr>
          <w:rFonts w:ascii="Arial" w:cs="Arial" w:eastAsia="Arial" w:hAnsi="Arial"/>
          <w:sz w:val="16"/>
          <w:szCs w:val="16"/>
          <w:color w:val="auto"/>
        </w:rPr>
      </w:pPr>
    </w:p>
    <w:p>
      <w:pPr>
        <w:ind w:left="424" w:right="20" w:hanging="424"/>
        <w:spacing w:after="0" w:line="241" w:lineRule="auto"/>
        <w:tabs>
          <w:tab w:leader="none" w:pos="424" w:val="left"/>
        </w:tabs>
        <w:numPr>
          <w:ilvl w:val="0"/>
          <w:numId w:val="83"/>
        </w:numPr>
        <w:rPr>
          <w:rFonts w:ascii="Arial" w:cs="Arial" w:eastAsia="Arial" w:hAnsi="Arial"/>
          <w:sz w:val="16"/>
          <w:szCs w:val="16"/>
          <w:color w:val="auto"/>
        </w:rPr>
      </w:pPr>
      <w:r>
        <w:rPr>
          <w:rFonts w:ascii="Arial" w:cs="Arial" w:eastAsia="Arial" w:hAnsi="Arial"/>
          <w:sz w:val="16"/>
          <w:szCs w:val="16"/>
          <w:color w:val="auto"/>
        </w:rPr>
        <w:t>Generally, in the case of an Annual Meeting of Shareholders, a shareholder’s notice must be delivered in writing to the Corporate Secretary, at the Company’s principal executive office, not later than the close of business on the 90th day nor earlier than the close of business on the 120th day prior to the first anniversary of the date of the proceeding year’s Annual Meeting of Shareholders. To be timely for the 2025 Annual Meeting of Shareholders, the notice must be received by the Corporate Secretary no earlier than January 9, 2025, and no later than February 7, 2025. In addition, shareholders seeking to include director nominations in the Company’s Proxy Statement for its 2025 Annual Meeting of Shareholders are required to provide notice to the Company pursuant to SEC Rule 14a-11 regarding proxy access no earlier than November 16, 2024 and no later than December 16, 2024, and to satisfy other conditions of such rule. Shareholders intending to utilize SEC Rule 14a-11 regarding universal proxies must provide notice to the Company postmarked no later than March 10, 2025.</w:t>
      </w:r>
    </w:p>
    <w:p>
      <w:pPr>
        <w:spacing w:after="0" w:line="57" w:lineRule="exact"/>
        <w:rPr>
          <w:rFonts w:ascii="Arial" w:cs="Arial" w:eastAsia="Arial" w:hAnsi="Arial"/>
          <w:sz w:val="16"/>
          <w:szCs w:val="16"/>
          <w:color w:val="auto"/>
        </w:rPr>
      </w:pPr>
    </w:p>
    <w:p>
      <w:pPr>
        <w:jc w:val="both"/>
        <w:ind w:left="424" w:right="220" w:hanging="424"/>
        <w:spacing w:after="0" w:line="247" w:lineRule="auto"/>
        <w:tabs>
          <w:tab w:leader="none" w:pos="424"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each case, proposals made under Rule 14a-8 and nominations for director nominees and/or an item of business to be introduced at an Annual Meeting of Shareholders must be submitted in writing and received by the Corporate Secretary, Kelly Services, Inc., 999 West Big Beaver Road, Troy, Michigan 48084-4716.</w:t>
      </w:r>
    </w:p>
    <w:p>
      <w:pPr>
        <w:spacing w:after="0" w:line="1" w:lineRule="exact"/>
        <w:rPr>
          <w:rFonts w:ascii="Arial" w:cs="Arial" w:eastAsia="Arial" w:hAnsi="Arial"/>
          <w:sz w:val="16"/>
          <w:szCs w:val="16"/>
          <w:color w:val="auto"/>
        </w:rPr>
      </w:pPr>
    </w:p>
    <w:p>
      <w:pPr>
        <w:ind w:left="9064" w:hanging="281"/>
        <w:spacing w:after="0"/>
        <w:tabs>
          <w:tab w:leader="none" w:pos="9064" w:val="left"/>
        </w:tabs>
        <w:numPr>
          <w:ilvl w:val="1"/>
          <w:numId w:val="83"/>
        </w:numPr>
        <w:rPr>
          <w:rFonts w:ascii="Arial" w:cs="Arial" w:eastAsia="Arial" w:hAnsi="Arial"/>
          <w:sz w:val="21"/>
          <w:szCs w:val="21"/>
          <w:color w:val="auto"/>
          <w:vertAlign w:val="subscript"/>
        </w:rPr>
      </w:pPr>
      <w:r>
        <w:rPr>
          <w:sz w:val="1"/>
          <w:szCs w:val="1"/>
          <w:color w:val="auto"/>
        </w:rPr>
        <w:drawing>
          <wp:inline distT="0" distB="0" distL="0" distR="0">
            <wp:extent cx="396240" cy="189865"/>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96240" cy="189865"/>
                    </a:xfrm>
                    <a:prstGeom prst="rect">
                      <a:avLst/>
                    </a:prstGeom>
                    <a:noFill/>
                    <a:ln>
                      <a:noFill/>
                    </a:ln>
                  </pic:spPr>
                </pic:pic>
              </a:graphicData>
            </a:graphic>
          </wp:inline>
        </w:drawing>
      </w:r>
      <w:r>
        <w:rPr>
          <w:rFonts w:ascii="Arial" w:cs="Arial" w:eastAsia="Arial" w:hAnsi="Arial"/>
          <w:sz w:val="21"/>
          <w:szCs w:val="21"/>
          <w:color w:val="auto"/>
          <w:vertAlign w:val="subscript"/>
        </w:rPr>
        <w:t xml:space="preserve">    </w:t>
      </w:r>
      <w:r>
        <w:rPr>
          <w:rFonts w:ascii="Arial" w:cs="Arial" w:eastAsia="Arial" w:hAnsi="Arial"/>
          <w:sz w:val="21"/>
          <w:szCs w:val="21"/>
          <w:color w:val="auto"/>
        </w:rPr>
        <w:t>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6311265</wp:posOffset>
            </wp:positionH>
            <wp:positionV relativeFrom="paragraph">
              <wp:posOffset>-133985</wp:posOffset>
            </wp:positionV>
            <wp:extent cx="8255" cy="2228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222885"/>
                    </a:xfrm>
                    <a:prstGeom prst="rect">
                      <a:avLst/>
                    </a:prstGeom>
                    <a:noFill/>
                  </pic:spPr>
                </pic:pic>
              </a:graphicData>
            </a:graphic>
          </wp:anchor>
        </w:drawing>
      </w:r>
    </w:p>
    <w:p>
      <w:pPr>
        <w:sectPr>
          <w:pgSz w:w="11900" w:h="16838" w:orient="portrait"/>
          <w:cols w:equalWidth="0" w:num="1">
            <w:col w:w="10624"/>
          </w:cols>
          <w:pgMar w:left="636" w:top="296" w:right="639" w:bottom="1440"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211060" cy="92271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11060" cy="9227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88722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9310" cy="8872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88722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9310" cy="8872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1)"/>
      <w:numFmt w:val="decimal"/>
      <w:start w:val="1"/>
    </w:lvl>
  </w:abstractNum>
  <w:abstractNum w:abstractNumId="6">
    <w:nsid w:val="57E4CCAF"/>
    <w:multiLevelType w:val="hybridMultilevel"/>
    <w:lvl w:ilvl="0">
      <w:lvlJc w:val="left"/>
      <w:lvlText w:val="(%1)"/>
      <w:numFmt w:val="decimal"/>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lvl w:ilvl="1">
      <w:lvlJc w:val="left"/>
      <w:lvlText w:val=" "/>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8"/>
      <w:numFmt w:val="bullet"/>
      <w:start w:val="1"/>
    </w:lvl>
  </w:abstractNum>
  <w:abstractNum w:abstractNumId="12">
    <w:nsid w:val="7644A45C"/>
    <w:multiLevelType w:val="hybridMultilevel"/>
    <w:lvl w:ilvl="0">
      <w:lvlJc w:val="left"/>
      <w:lvlText w:val="7"/>
      <w:numFmt w:val="bullet"/>
      <w:start w:val="1"/>
    </w:lvl>
  </w:abstractNum>
  <w:abstractNum w:abstractNumId="13">
    <w:nsid w:val="32FFF902"/>
    <w:multiLevelType w:val="hybridMultilevel"/>
    <w:lvl w:ilvl="0">
      <w:lvlJc w:val="left"/>
      <w:lvlText w:val="8"/>
      <w:numFmt w:val="bullet"/>
      <w:start w:val="1"/>
    </w:lvl>
  </w:abstractNum>
  <w:abstractNum w:abstractNumId="14">
    <w:nsid w:val="684A481A"/>
    <w:multiLevelType w:val="hybridMultilevel"/>
    <w:lvl w:ilvl="0">
      <w:lvlJc w:val="left"/>
      <w:lvlText w:val="6"/>
      <w:numFmt w:val="bullet"/>
      <w:start w:val="1"/>
    </w:lvl>
  </w:abstractNum>
  <w:abstractNum w:abstractNumId="15">
    <w:nsid w:val="579478FE"/>
    <w:multiLevelType w:val="hybridMultilevel"/>
    <w:lvl w:ilvl="0">
      <w:lvlJc w:val="left"/>
      <w:lvlText w:val="9"/>
      <w:numFmt w:val="bullet"/>
      <w:start w:val="1"/>
    </w:lvl>
  </w:abstractNum>
  <w:abstractNum w:abstractNumId="16">
    <w:nsid w:val="749ABB43"/>
    <w:multiLevelType w:val="hybridMultilevel"/>
    <w:lvl w:ilvl="0">
      <w:lvlJc w:val="left"/>
      <w:lvlText w:val="2"/>
      <w:numFmt w:val="bullet"/>
      <w:start w:val="1"/>
    </w:lvl>
  </w:abstractNum>
  <w:abstractNum w:abstractNumId="17">
    <w:nsid w:val="3DC240FB"/>
    <w:multiLevelType w:val="hybridMultilevel"/>
    <w:lvl w:ilvl="0">
      <w:lvlJc w:val="left"/>
      <w:lvlText w:val="7"/>
      <w:numFmt w:val="bullet"/>
      <w:start w:val="1"/>
    </w:lvl>
  </w:abstractNum>
  <w:abstractNum w:abstractNumId="18">
    <w:nsid w:val="1BA026FA"/>
    <w:multiLevelType w:val="hybridMultilevel"/>
    <w:lvl w:ilvl="0">
      <w:lvlJc w:val="left"/>
      <w:lvlText w:val="4"/>
      <w:numFmt w:val="bullet"/>
      <w:start w:val="1"/>
    </w:lvl>
  </w:abstractNum>
  <w:abstractNum w:abstractNumId="19">
    <w:nsid w:val="79A1DEAA"/>
    <w:multiLevelType w:val="hybridMultilevel"/>
    <w:lvl w:ilvl="0">
      <w:lvlJc w:val="left"/>
      <w:lvlText w:val="9"/>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lvl w:ilvl="1">
      <w:lvlJc w:val="left"/>
      <w:lvlText w:val=" "/>
      <w:numFmt w:val="bullet"/>
      <w:start w:val="1"/>
    </w:lvl>
  </w:abstractNum>
  <w:abstractNum w:abstractNumId="22">
    <w:nsid w:val="70C6A529"/>
    <w:multiLevelType w:val="hybridMultilevel"/>
    <w:lvl w:ilvl="0">
      <w:lvlJc w:val="left"/>
      <w:lvlText w:val="(%1)"/>
      <w:numFmt w:val="decimal"/>
      <w:start w:val="1"/>
    </w:lvl>
  </w:abstractNum>
  <w:abstractNum w:abstractNumId="23">
    <w:nsid w:val="520EEDD1"/>
    <w:multiLevelType w:val="hybridMultilevel"/>
    <w:lvl w:ilvl="0">
      <w:lvlJc w:val="left"/>
      <w:lvlText w:val="●"/>
      <w:numFmt w:val="bullet"/>
      <w:start w:val="1"/>
    </w:lvl>
    <w:lvl w:ilvl="1">
      <w:lvlJc w:val="left"/>
      <w:lvlText w:val=" "/>
      <w:numFmt w:val="bullet"/>
      <w:start w:val="1"/>
    </w:lvl>
  </w:abstractNum>
  <w:abstractNum w:abstractNumId="24">
    <w:nsid w:val="374A3FE6"/>
    <w:multiLevelType w:val="hybridMultilevel"/>
    <w:lvl w:ilvl="0">
      <w:lvlJc w:val="left"/>
      <w:lvlText w:val="(%1)"/>
      <w:numFmt w:val="decimal"/>
      <w:start w:val="1"/>
    </w:lvl>
  </w:abstractNum>
  <w:abstractNum w:abstractNumId="25">
    <w:nsid w:val="4F4EF005"/>
    <w:multiLevelType w:val="hybridMultilevel"/>
    <w:lvl w:ilvl="0">
      <w:lvlJc w:val="left"/>
      <w:lvlText w:val="(%1)"/>
      <w:numFmt w:val="decimal"/>
      <w:start w:val="1"/>
    </w:lvl>
    <w:lvl w:ilvl="1">
      <w:lvlJc w:val="left"/>
      <w:lvlText w:val=" "/>
      <w:numFmt w:val="bullet"/>
      <w:start w:val="1"/>
    </w:lvl>
  </w:abstractNum>
  <w:abstractNum w:abstractNumId="26">
    <w:nsid w:val="23F9C13C"/>
    <w:multiLevelType w:val="hybridMultilevel"/>
    <w:lvl w:ilvl="0">
      <w:lvlJc w:val="left"/>
      <w:lvlText w:val="1"/>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lvl w:ilvl="1">
      <w:lvlJc w:val="left"/>
      <w:lvlText w:val="•"/>
      <w:numFmt w:val="bullet"/>
      <w:start w:val="1"/>
    </w:lvl>
  </w:abstractNum>
  <w:abstractNum w:abstractNumId="29">
    <w:nsid w:val="39386575"/>
    <w:multiLevelType w:val="hybridMultilevel"/>
    <w:lvl w:ilvl="0">
      <w:lvlJc w:val="left"/>
      <w:lvlText w:val="●"/>
      <w:numFmt w:val="bullet"/>
      <w:start w:val="1"/>
    </w:lvl>
    <w:lvl w:ilvl="1">
      <w:lvlJc w:val="left"/>
      <w:lvlText w:val=" "/>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1)"/>
      <w:numFmt w:val="decimal"/>
      <w:start w:val="1"/>
    </w:lvl>
  </w:abstractNum>
  <w:abstractNum w:abstractNumId="34">
    <w:nsid w:val="354FE9F9"/>
    <w:multiLevelType w:val="hybridMultilevel"/>
    <w:lvl w:ilvl="0">
      <w:lvlJc w:val="left"/>
      <w:lvlText w:val="(%1)"/>
      <w:numFmt w:val="decimal"/>
      <w:start w:val="1"/>
    </w:lvl>
  </w:abstractNum>
  <w:abstractNum w:abstractNumId="35">
    <w:nsid w:val="15B5AF5C"/>
    <w:multiLevelType w:val="hybridMultilevel"/>
    <w:lvl w:ilvl="0">
      <w:lvlJc w:val="left"/>
      <w:lvlText w:val="(%1)"/>
      <w:numFmt w:val="decimal"/>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
      <w:numFmt w:val="bullet"/>
      <w:start w:val="1"/>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1)"/>
      <w:numFmt w:val="decimal"/>
      <w:start w:val="4"/>
    </w:lvl>
  </w:abstractNum>
  <w:abstractNum w:abstractNumId="40">
    <w:nsid w:val="61574095"/>
    <w:multiLevelType w:val="hybridMultilevel"/>
    <w:lvl w:ilvl="0">
      <w:lvlJc w:val="left"/>
      <w:lvlText w:val="(%1)"/>
      <w:numFmt w:val="decimal"/>
      <w:start w:val="5"/>
    </w:lvl>
  </w:abstractNum>
  <w:abstractNum w:abstractNumId="41">
    <w:nsid w:val="7E0C57B1"/>
    <w:multiLevelType w:val="hybridMultilevel"/>
    <w:lvl w:ilvl="0">
      <w:lvlJc w:val="left"/>
      <w:lvlText w:val="(%1)"/>
      <w:numFmt w:val="decimal"/>
      <w:start w:val="6"/>
    </w:lvl>
  </w:abstractNum>
  <w:abstractNum w:abstractNumId="42">
    <w:nsid w:val="77AE35EB"/>
    <w:multiLevelType w:val="hybridMultilevel"/>
    <w:lvl w:ilvl="0">
      <w:lvlJc w:val="left"/>
      <w:lvlText w:val="(%1)"/>
      <w:numFmt w:val="decimal"/>
      <w:start w:val="1"/>
    </w:lvl>
  </w:abstractNum>
  <w:abstractNum w:abstractNumId="43">
    <w:nsid w:val="579BE4F1"/>
    <w:multiLevelType w:val="hybridMultilevel"/>
    <w:lvl w:ilvl="0">
      <w:lvlJc w:val="left"/>
      <w:lvlText w:val="(%1)"/>
      <w:numFmt w:val="decimal"/>
      <w:start w:val="1"/>
    </w:lvl>
    <w:lvl w:ilvl="1">
      <w:lvlJc w:val="left"/>
      <w:lvlText w:val=" "/>
      <w:numFmt w:val="bullet"/>
      <w:start w:val="1"/>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1)"/>
      <w:numFmt w:val="decimal"/>
      <w:start w:val="1"/>
    </w:lvl>
  </w:abstractNum>
  <w:abstractNum w:abstractNumId="46">
    <w:nsid w:val="2F305DEF"/>
    <w:multiLevelType w:val="hybridMultilevel"/>
    <w:lvl w:ilvl="0">
      <w:lvlJc w:val="left"/>
      <w:lvlText w:val="(%1)"/>
      <w:numFmt w:val="decimal"/>
      <w:start w:val="1"/>
    </w:lvl>
    <w:lvl w:ilvl="1">
      <w:lvlJc w:val="left"/>
      <w:lvlText w:val=" "/>
      <w:numFmt w:val="bullet"/>
      <w:start w:val="1"/>
    </w:lvl>
  </w:abstractNum>
  <w:abstractNum w:abstractNumId="47">
    <w:nsid w:val="25A70BF7"/>
    <w:multiLevelType w:val="hybridMultilevel"/>
    <w:lvl w:ilvl="0">
      <w:lvlJc w:val="left"/>
      <w:lvlText w:val="(%1)"/>
      <w:numFmt w:val="decimal"/>
      <w:start w:val="2"/>
    </w:lvl>
  </w:abstractNum>
  <w:abstractNum w:abstractNumId="48">
    <w:nsid w:val="1DBABF00"/>
    <w:multiLevelType w:val="hybridMultilevel"/>
    <w:lvl w:ilvl="0">
      <w:lvlJc w:val="left"/>
      <w:lvlText w:val="●"/>
      <w:numFmt w:val="bullet"/>
      <w:start w:val="1"/>
    </w:lvl>
    <w:lvl w:ilvl="1">
      <w:lvlJc w:val="left"/>
      <w:lvlText w:val="•"/>
      <w:numFmt w:val="bullet"/>
      <w:start w:val="1"/>
    </w:lvl>
  </w:abstractNum>
  <w:abstractNum w:abstractNumId="49">
    <w:nsid w:val="4AD084E9"/>
    <w:multiLevelType w:val="hybridMultilevel"/>
    <w:lvl w:ilvl="0">
      <w:lvlJc w:val="left"/>
      <w:lvlText w:val="●"/>
      <w:numFmt w:val="bullet"/>
      <w:start w:val="1"/>
    </w:lvl>
    <w:lvl w:ilvl="1">
      <w:lvlJc w:val="left"/>
      <w:lvlText w:val=" "/>
      <w:numFmt w:val="bullet"/>
      <w:start w:val="1"/>
    </w:lvl>
  </w:abstractNum>
  <w:abstractNum w:abstractNumId="50">
    <w:nsid w:val="1F48EAA1"/>
    <w:multiLevelType w:val="hybridMultilevel"/>
    <w:lvl w:ilvl="0">
      <w:lvlJc w:val="left"/>
      <w:lvlText w:val="(%1)"/>
      <w:numFmt w:val="decimal"/>
      <w:start w:val="1"/>
    </w:lvl>
  </w:abstractNum>
  <w:abstractNum w:abstractNumId="51">
    <w:nsid w:val="1381823A"/>
    <w:multiLevelType w:val="hybridMultilevel"/>
    <w:lvl w:ilvl="0">
      <w:lvlJc w:val="left"/>
      <w:lvlText w:val="(%1)"/>
      <w:numFmt w:val="decimal"/>
      <w:start w:val="2"/>
    </w:lvl>
  </w:abstractNum>
  <w:abstractNum w:abstractNumId="52">
    <w:nsid w:val="5DB70AE5"/>
    <w:multiLevelType w:val="hybridMultilevel"/>
    <w:lvl w:ilvl="0">
      <w:lvlJc w:val="left"/>
      <w:lvlText w:val="(%1)"/>
      <w:numFmt w:val="decimal"/>
      <w:start w:val="1"/>
    </w:lvl>
  </w:abstractNum>
  <w:abstractNum w:abstractNumId="53">
    <w:nsid w:val="100F8FCA"/>
    <w:multiLevelType w:val="hybridMultilevel"/>
    <w:lvl w:ilvl="0">
      <w:lvlJc w:val="left"/>
      <w:lvlText w:val="%1)"/>
      <w:numFmt w:val="upperLetter"/>
      <w:start w:val="17"/>
    </w:lvl>
  </w:abstractNum>
  <w:abstractNum w:abstractNumId="54">
    <w:nsid w:val="6590700B"/>
    <w:multiLevelType w:val="hybridMultilevel"/>
    <w:lvl w:ilvl="0">
      <w:lvlJc w:val="left"/>
      <w:lvlText w:val="%1)"/>
      <w:numFmt w:val="upperLetter"/>
      <w:start w:val="1"/>
    </w:lvl>
  </w:abstractNum>
  <w:abstractNum w:abstractNumId="55">
    <w:nsid w:val="15014ACB"/>
    <w:multiLevelType w:val="hybridMultilevel"/>
    <w:lvl w:ilvl="0">
      <w:lvlJc w:val="left"/>
      <w:lvlText w:val="%1)"/>
      <w:numFmt w:val="upperLetter"/>
      <w:start w:val="17"/>
    </w:lvl>
  </w:abstractNum>
  <w:abstractNum w:abstractNumId="56">
    <w:nsid w:val="5F5E7FD0"/>
    <w:multiLevelType w:val="hybridMultilevel"/>
    <w:lvl w:ilvl="0">
      <w:lvlJc w:val="left"/>
      <w:lvlText w:val="%1)"/>
      <w:numFmt w:val="upperLetter"/>
      <w:start w:val="1"/>
    </w:lvl>
  </w:abstractNum>
  <w:abstractNum w:abstractNumId="57">
    <w:nsid w:val="98A3148"/>
    <w:multiLevelType w:val="hybridMultilevel"/>
    <w:lvl w:ilvl="0">
      <w:lvlJc w:val="left"/>
      <w:lvlText w:val="%1)"/>
      <w:numFmt w:val="upperLetter"/>
      <w:start w:val="17"/>
    </w:lvl>
  </w:abstractNum>
  <w:abstractNum w:abstractNumId="58">
    <w:nsid w:val="799D0247"/>
    <w:multiLevelType w:val="hybridMultilevel"/>
    <w:lvl w:ilvl="0">
      <w:lvlJc w:val="left"/>
      <w:lvlText w:val="%1)"/>
      <w:numFmt w:val="upperLetter"/>
      <w:start w:val="1"/>
    </w:lvl>
  </w:abstractNum>
  <w:abstractNum w:abstractNumId="59">
    <w:nsid w:val="6B94764"/>
    <w:multiLevelType w:val="hybridMultilevel"/>
    <w:lvl w:ilvl="0">
      <w:lvlJc w:val="left"/>
      <w:lvlText w:val=" "/>
      <w:numFmt w:val="bullet"/>
      <w:start w:val="1"/>
    </w:lvl>
  </w:abstractNum>
  <w:abstractNum w:abstractNumId="60">
    <w:nsid w:val="42C296BD"/>
    <w:multiLevelType w:val="hybridMultilevel"/>
    <w:lvl w:ilvl="0">
      <w:lvlJc w:val="left"/>
      <w:lvlText w:val="%1)"/>
      <w:numFmt w:val="upperLetter"/>
      <w:start w:val="17"/>
    </w:lvl>
  </w:abstractNum>
  <w:abstractNum w:abstractNumId="61">
    <w:nsid w:val="168E121F"/>
    <w:multiLevelType w:val="hybridMultilevel"/>
    <w:lvl w:ilvl="0">
      <w:lvlJc w:val="left"/>
      <w:lvlText w:val="%1)"/>
      <w:numFmt w:val="upperLetter"/>
      <w:start w:val="1"/>
    </w:lvl>
  </w:abstractNum>
  <w:abstractNum w:abstractNumId="62">
    <w:nsid w:val="1EBA5D23"/>
    <w:multiLevelType w:val="hybridMultilevel"/>
    <w:lvl w:ilvl="0">
      <w:lvlJc w:val="left"/>
      <w:lvlText w:val=" "/>
      <w:numFmt w:val="bullet"/>
      <w:start w:val="1"/>
    </w:lvl>
  </w:abstractNum>
  <w:abstractNum w:abstractNumId="63">
    <w:nsid w:val="661E3F1E"/>
    <w:multiLevelType w:val="hybridMultilevel"/>
    <w:lvl w:ilvl="0">
      <w:lvlJc w:val="left"/>
      <w:lvlText w:val="%1)"/>
      <w:numFmt w:val="upperLetter"/>
      <w:start w:val="17"/>
    </w:lvl>
  </w:abstractNum>
  <w:abstractNum w:abstractNumId="64">
    <w:nsid w:val="5DC79EA8"/>
    <w:multiLevelType w:val="hybridMultilevel"/>
    <w:lvl w:ilvl="0">
      <w:lvlJc w:val="left"/>
      <w:lvlText w:val="%1)"/>
      <w:numFmt w:val="upperLetter"/>
      <w:start w:val="1"/>
    </w:lvl>
    <w:lvl w:ilvl="1">
      <w:lvlJc w:val="left"/>
      <w:lvlText w:val=" "/>
      <w:numFmt w:val="bullet"/>
      <w:start w:val="1"/>
    </w:lvl>
  </w:abstractNum>
  <w:abstractNum w:abstractNumId="65">
    <w:nsid w:val="540A471C"/>
    <w:multiLevelType w:val="hybridMultilevel"/>
    <w:lvl w:ilvl="0">
      <w:lvlJc w:val="left"/>
      <w:lvlText w:val="%1)"/>
      <w:numFmt w:val="upperLetter"/>
      <w:start w:val="17"/>
    </w:lvl>
  </w:abstractNum>
  <w:abstractNum w:abstractNumId="66">
    <w:nsid w:val="7BD3EE7B"/>
    <w:multiLevelType w:val="hybridMultilevel"/>
    <w:lvl w:ilvl="0">
      <w:lvlJc w:val="left"/>
      <w:lvlText w:val="%1)"/>
      <w:numFmt w:val="upperLetter"/>
      <w:start w:val="1"/>
    </w:lvl>
  </w:abstractNum>
  <w:abstractNum w:abstractNumId="67">
    <w:nsid w:val="51D9C564"/>
    <w:multiLevelType w:val="hybridMultilevel"/>
    <w:lvl w:ilvl="0">
      <w:lvlJc w:val="left"/>
      <w:lvlText w:val="%1)"/>
      <w:numFmt w:val="upperLetter"/>
      <w:start w:val="17"/>
    </w:lvl>
  </w:abstractNum>
  <w:abstractNum w:abstractNumId="68">
    <w:nsid w:val="613EFDC5"/>
    <w:multiLevelType w:val="hybridMultilevel"/>
    <w:lvl w:ilvl="0">
      <w:lvlJc w:val="left"/>
      <w:lvlText w:val="%1)"/>
      <w:numFmt w:val="upperLetter"/>
      <w:start w:val="1"/>
    </w:lvl>
  </w:abstractNum>
  <w:abstractNum w:abstractNumId="69">
    <w:nsid w:val="BF72B14"/>
    <w:multiLevelType w:val="hybridMultilevel"/>
    <w:lvl w:ilvl="0">
      <w:lvlJc w:val="left"/>
      <w:lvlText w:val="%1)"/>
      <w:numFmt w:val="upperLetter"/>
      <w:start w:val="17"/>
    </w:lvl>
  </w:abstractNum>
  <w:abstractNum w:abstractNumId="70">
    <w:nsid w:val="11447B73"/>
    <w:multiLevelType w:val="hybridMultilevel"/>
    <w:lvl w:ilvl="0">
      <w:lvlJc w:val="left"/>
      <w:lvlText w:val="%1)"/>
      <w:numFmt w:val="upperLetter"/>
      <w:start w:val="1"/>
    </w:lvl>
  </w:abstractNum>
  <w:abstractNum w:abstractNumId="71">
    <w:nsid w:val="42963E5A"/>
    <w:multiLevelType w:val="hybridMultilevel"/>
    <w:lvl w:ilvl="0">
      <w:lvlJc w:val="left"/>
      <w:lvlText w:val="%1)"/>
      <w:numFmt w:val="upperLetter"/>
      <w:start w:val="17"/>
    </w:lvl>
  </w:abstractNum>
  <w:abstractNum w:abstractNumId="72">
    <w:nsid w:val="A0382C5"/>
    <w:multiLevelType w:val="hybridMultilevel"/>
    <w:lvl w:ilvl="0">
      <w:lvlJc w:val="left"/>
      <w:lvlText w:val="%1)"/>
      <w:numFmt w:val="upperLetter"/>
      <w:start w:val="1"/>
    </w:lvl>
  </w:abstractNum>
  <w:abstractNum w:abstractNumId="73">
    <w:nsid w:val="8F2B15E"/>
    <w:multiLevelType w:val="hybridMultilevel"/>
    <w:lvl w:ilvl="0">
      <w:lvlJc w:val="left"/>
      <w:lvlText w:val="%1)"/>
      <w:numFmt w:val="upperLetter"/>
      <w:start w:val="17"/>
    </w:lvl>
  </w:abstractNum>
  <w:abstractNum w:abstractNumId="74">
    <w:nsid w:val="1A32234B"/>
    <w:multiLevelType w:val="hybridMultilevel"/>
    <w:lvl w:ilvl="0">
      <w:lvlJc w:val="left"/>
      <w:lvlText w:val="%1)"/>
      <w:numFmt w:val="upperLetter"/>
      <w:start w:val="1"/>
    </w:lvl>
  </w:abstractNum>
  <w:abstractNum w:abstractNumId="75">
    <w:nsid w:val="3B0FD379"/>
    <w:multiLevelType w:val="hybridMultilevel"/>
    <w:lvl w:ilvl="0">
      <w:lvlJc w:val="left"/>
      <w:lvlText w:val=" "/>
      <w:numFmt w:val="bullet"/>
      <w:start w:val="1"/>
    </w:lvl>
  </w:abstractNum>
  <w:abstractNum w:abstractNumId="76">
    <w:nsid w:val="68EB2F63"/>
    <w:multiLevelType w:val="hybridMultilevel"/>
    <w:lvl w:ilvl="0">
      <w:lvlJc w:val="left"/>
      <w:lvlText w:val="%1)"/>
      <w:numFmt w:val="upperLetter"/>
      <w:start w:val="17"/>
    </w:lvl>
  </w:abstractNum>
  <w:abstractNum w:abstractNumId="77">
    <w:nsid w:val="4962813B"/>
    <w:multiLevelType w:val="hybridMultilevel"/>
    <w:lvl w:ilvl="0">
      <w:lvlJc w:val="left"/>
      <w:lvlText w:val="%1)"/>
      <w:numFmt w:val="upperLetter"/>
      <w:start w:val="1"/>
    </w:lvl>
  </w:abstractNum>
  <w:abstractNum w:abstractNumId="78">
    <w:nsid w:val="60B6DF70"/>
    <w:multiLevelType w:val="hybridMultilevel"/>
    <w:lvl w:ilvl="0">
      <w:lvlJc w:val="left"/>
      <w:lvlText w:val="%1)"/>
      <w:numFmt w:val="upperLetter"/>
      <w:start w:val="17"/>
    </w:lvl>
  </w:abstractNum>
  <w:abstractNum w:abstractNumId="79">
    <w:nsid w:val="6A5EE64"/>
    <w:multiLevelType w:val="hybridMultilevel"/>
    <w:lvl w:ilvl="0">
      <w:lvlJc w:val="left"/>
      <w:lvlText w:val="%1)"/>
      <w:numFmt w:val="upperLetter"/>
      <w:start w:val="1"/>
    </w:lvl>
  </w:abstractNum>
  <w:abstractNum w:abstractNumId="80">
    <w:nsid w:val="14330624"/>
    <w:multiLevelType w:val="hybridMultilevel"/>
    <w:lvl w:ilvl="0">
      <w:lvlJc w:val="left"/>
      <w:lvlText w:val="%1)"/>
      <w:numFmt w:val="upperLetter"/>
      <w:start w:val="17"/>
    </w:lvl>
  </w:abstractNum>
  <w:abstractNum w:abstractNumId="81">
    <w:nsid w:val="7FFFCA11"/>
    <w:multiLevelType w:val="hybridMultilevel"/>
    <w:lvl w:ilvl="0">
      <w:lvlJc w:val="left"/>
      <w:lvlText w:val="%1)"/>
      <w:numFmt w:val="upperLetter"/>
      <w:start w:val="1"/>
    </w:lvl>
  </w:abstractNum>
  <w:abstractNum w:abstractNumId="82">
    <w:nsid w:val="1A27709E"/>
    <w:multiLevelType w:val="hybridMultilevel"/>
    <w:lvl w:ilvl="0">
      <w:lvlJc w:val="left"/>
      <w:lvlText w:val=" "/>
      <w:numFmt w:val="bullet"/>
      <w:start w:val="1"/>
    </w:lvl>
    <w:lvl w:ilvl="1">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2024-03-22T15:47:02Z</dcterms:created>
  <dcterms:modified xsi:type="dcterms:W3CDTF">2024-03-22T15:47:02Z</dcterms:modified>
</cp:coreProperties>
</file>