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Kelly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Liechtensteinische Landesbank Aktiengesellschaft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LIECHTENSTEIN</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1,579,739.00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1,579,739.00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1,579,739.00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LLB Fund Services AG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LIECHTENSTEIN</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1,579,739.00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1,579,739.00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1,579,739.00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60"/>
          </w:cols>
          <w:pgMar w:left="360" w:top="111" w:right="579" w:bottom="10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Kelly Services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West Big Beaver Road, Troy, MI, 48084-4782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1"/>
          <w:szCs w:val="21"/>
          <w:color w:val="auto"/>
        </w:rPr>
        <w:t>This filing is being made on behalf of Liechtensteinische Landesbank Aktiengesellschaft ("LLB") and its wholly-owned subsidiary, LLB Fund Services AG ("LLB FS" and, together with LLB, the "Reporting Persons")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112" w:lineRule="exact"/>
        <w:rPr>
          <w:sz w:val="20"/>
          <w:szCs w:val="20"/>
          <w:color w:val="auto"/>
        </w:rPr>
      </w:pPr>
    </w:p>
    <w:p>
      <w:pPr>
        <w:sectPr>
          <w:pgSz w:w="11900" w:h="16838" w:orient="portrait"/>
          <w:cols w:equalWidth="0" w:num="2">
            <w:col w:w="620" w:space="300"/>
            <w:col w:w="10040"/>
          </w:cols>
          <w:pgMar w:left="360" w:top="111" w:right="579" w:bottom="10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The principal office of LLB is Stadtle 44, P.O. Box 384, FL-9490 Vaduz, Liechtenstein The principal office of LLB FS is Aeulestrasse 76, P.O. Box 1238, FL-9490 Vaduz, Liechtenstein</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Each of LLB and LLB FS is an aktiengesellschaft (limited company) formed in Vaduz, Principality of Liechtenstein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$1.00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1,579,739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40"/>
          </w:cols>
          <w:pgMar w:left="360" w:top="111" w:right="579" w:bottom="10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960"/>
          </w:cols>
          <w:pgMar w:left="360" w:top="111" w:right="579" w:bottom="100" w:gutter="0" w:footer="0" w:header="0"/>
          <w:type w:val="continuous"/>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0960"/>
          </w:cols>
          <w:pgMar w:left="360" w:top="111" w:right="579" w:bottom="10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1,579,739</w:t>
      </w:r>
    </w:p>
    <w:p>
      <w:pPr>
        <w:spacing w:after="0" w:line="287" w:lineRule="exact"/>
        <w:rPr>
          <w:sz w:val="20"/>
          <w:szCs w:val="20"/>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1,579,739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Certain of the securities reported herein as beneficially owned by the Reporting Persons are managed by BWM AG, pursuant to an investment advisory agreement with LLB FS, and certain other of the securities reported herein are managed by Quantex AG pursuant to an investment advisory agreement with LLB FS. Each such subadvisor is an unaffiliated third-party investment adviser and, accordingly, also may be deemed to beneficially own the securities which it manages.</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2 and 3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IA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Liechtensteinische Landesbank Aktiengesellschaft</w:t>
      </w:r>
    </w:p>
    <w:p>
      <w:pPr>
        <w:spacing w:after="0" w:line="152"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Stefan Rein</w:t>
      </w:r>
    </w:p>
    <w:p>
      <w:pPr>
        <w:spacing w:after="0" w:line="4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Sonya Cepe</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LLB Fund Services AG</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Stefan Rein</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Member of the Board of Directors</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Wolfdieter Schnee</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Attached to this Schedule 13G at Exhibit 1 is a Joint Filing Agreement between the Reporting Persons. This Schedule 13G is being filed on behalf of each of them.</w:t>
      </w:r>
    </w:p>
    <w:p>
      <w:pPr>
        <w:sectPr>
          <w:pgSz w:w="11900" w:h="16838" w:orient="portrait"/>
          <w:cols w:equalWidth="0" w:num="1">
            <w:col w:w="10820"/>
          </w:cols>
          <w:pgMar w:left="360" w:top="112" w:right="7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that such information is inaccurate.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Liechtensteinische Landesbank Aktiengesellschaft</w:t>
            </w:r>
          </w:p>
        </w:tc>
      </w:tr>
      <w:tr>
        <w:trPr>
          <w:trHeight w:val="648"/>
        </w:trPr>
        <w:tc>
          <w:tcPr>
            <w:tcW w:w="366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Stefan Rein</w:t>
            </w:r>
          </w:p>
        </w:tc>
      </w:tr>
      <w:tr>
        <w:trPr>
          <w:trHeight w:val="191"/>
        </w:trPr>
        <w:tc>
          <w:tcPr>
            <w:tcW w:w="3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Stefan Rein</w:t>
            </w:r>
          </w:p>
        </w:tc>
      </w:tr>
      <w:tr>
        <w:trPr>
          <w:trHeight w:val="234"/>
        </w:trPr>
        <w:tc>
          <w:tcPr>
            <w:tcW w:w="3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32"/>
        </w:trPr>
        <w:tc>
          <w:tcPr>
            <w:tcW w:w="366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and</w:t>
            </w:r>
          </w:p>
        </w:tc>
        <w:tc>
          <w:tcPr>
            <w:tcW w:w="4920" w:type="dxa"/>
            <w:vAlign w:val="bottom"/>
          </w:tcPr>
          <w:p>
            <w:pPr>
              <w:spacing w:after="0"/>
              <w:rPr>
                <w:sz w:val="24"/>
                <w:szCs w:val="24"/>
                <w:color w:val="auto"/>
              </w:rPr>
            </w:pPr>
          </w:p>
        </w:tc>
      </w:tr>
      <w:tr>
        <w:trPr>
          <w:trHeight w:val="648"/>
        </w:trPr>
        <w:tc>
          <w:tcPr>
            <w:tcW w:w="366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Sonya Cepe</w:t>
            </w:r>
          </w:p>
        </w:tc>
      </w:tr>
      <w:tr>
        <w:trPr>
          <w:trHeight w:val="191"/>
        </w:trPr>
        <w:tc>
          <w:tcPr>
            <w:tcW w:w="3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Sonya Cepe</w:t>
            </w:r>
          </w:p>
        </w:tc>
      </w:tr>
      <w:tr>
        <w:trPr>
          <w:trHeight w:val="234"/>
        </w:trPr>
        <w:tc>
          <w:tcPr>
            <w:tcW w:w="3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86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LLB Fund Services AG</w:t>
            </w:r>
          </w:p>
        </w:tc>
      </w:tr>
      <w:tr>
        <w:trPr>
          <w:trHeight w:val="648"/>
        </w:trPr>
        <w:tc>
          <w:tcPr>
            <w:tcW w:w="366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Stefan Rein</w:t>
            </w:r>
          </w:p>
        </w:tc>
      </w:tr>
      <w:tr>
        <w:trPr>
          <w:trHeight w:val="191"/>
        </w:trPr>
        <w:tc>
          <w:tcPr>
            <w:tcW w:w="3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Stefan Rein</w:t>
            </w:r>
          </w:p>
        </w:tc>
      </w:tr>
      <w:tr>
        <w:trPr>
          <w:trHeight w:val="234"/>
        </w:trPr>
        <w:tc>
          <w:tcPr>
            <w:tcW w:w="3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Member of the Board of Directors</w:t>
            </w:r>
          </w:p>
        </w:tc>
      </w:tr>
      <w:tr>
        <w:trPr>
          <w:trHeight w:val="432"/>
        </w:trPr>
        <w:tc>
          <w:tcPr>
            <w:tcW w:w="366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and</w:t>
            </w:r>
          </w:p>
        </w:tc>
        <w:tc>
          <w:tcPr>
            <w:tcW w:w="4920" w:type="dxa"/>
            <w:vAlign w:val="bottom"/>
          </w:tcPr>
          <w:p>
            <w:pPr>
              <w:spacing w:after="0"/>
              <w:rPr>
                <w:sz w:val="24"/>
                <w:szCs w:val="24"/>
                <w:color w:val="auto"/>
              </w:rPr>
            </w:pPr>
          </w:p>
        </w:tc>
      </w:tr>
      <w:tr>
        <w:trPr>
          <w:trHeight w:val="648"/>
        </w:trPr>
        <w:tc>
          <w:tcPr>
            <w:tcW w:w="366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Wolfdieter Schnee</w:t>
            </w:r>
          </w:p>
        </w:tc>
      </w:tr>
      <w:tr>
        <w:trPr>
          <w:trHeight w:val="191"/>
        </w:trPr>
        <w:tc>
          <w:tcPr>
            <w:tcW w:w="3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Wolfdieter Schnee</w:t>
            </w:r>
          </w:p>
        </w:tc>
      </w:tr>
      <w:tr>
        <w:trPr>
          <w:trHeight w:val="234"/>
        </w:trPr>
        <w:tc>
          <w:tcPr>
            <w:tcW w:w="3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CEO</w:t>
            </w:r>
          </w:p>
        </w:tc>
      </w:tr>
      <w:tr>
        <w:trPr>
          <w:trHeight w:val="763"/>
        </w:trPr>
        <w:tc>
          <w:tcPr>
            <w:tcW w:w="36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2026-05-19T05:13:14Z</dcterms:created>
  <dcterms:modified xsi:type="dcterms:W3CDTF">2026-05-19T05:13:14Z</dcterms:modified>
</cp:coreProperties>
</file>