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06, 2026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 xml:space="preserve">KELLY SERVICES, INC. </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086" w:type="dxa"/>
        <w:jc w:val="center"/>
        <w:tblInd w:w="0" w:type="dxa"/>
        <w:tblLayout w:type="fixed"/>
        <w:tblCellMar>
          <w:top w:w="28" w:type="dxa"/>
          <w:left w:w="28" w:type="dxa"/>
          <w:bottom w:w="28" w:type="dxa"/>
          <w:right w:w="28" w:type="dxa"/>
        </w:tblCellMar>
      </w:tblPr>
      <w:tblGrid>
        <w:gridCol w:w="813"/>
        <w:gridCol w:w="714"/>
        <w:gridCol w:w="723"/>
        <w:gridCol w:w="394"/>
        <w:gridCol w:w="394"/>
        <w:gridCol w:w="398"/>
        <w:gridCol w:w="482"/>
        <w:gridCol w:w="482"/>
        <w:gridCol w:w="686"/>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0-1088</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38-1510762</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999 West Big Beaver Road, Troy, Michigan 48084</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 xml:space="preserve">(248) 362-4444 </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53" w:type="dxa"/>
        <w:jc w:val="center"/>
        <w:tblInd w:w="0" w:type="dxa"/>
        <w:tblLayout w:type="fixed"/>
        <w:tblCellMar>
          <w:top w:w="28" w:type="dxa"/>
          <w:left w:w="28" w:type="dxa"/>
          <w:bottom w:w="28" w:type="dxa"/>
          <w:right w:w="28" w:type="dxa"/>
        </w:tblCellMar>
      </w:tblPr>
      <w:tblGrid>
        <w:gridCol w:w="1501"/>
        <w:gridCol w:w="1319"/>
        <w:gridCol w:w="1334"/>
        <w:gridCol w:w="524"/>
        <w:gridCol w:w="524"/>
        <w:gridCol w:w="526"/>
        <w:gridCol w:w="1118"/>
        <w:gridCol w:w="1118"/>
        <w:gridCol w:w="1589"/>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$1.00 par value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KELYA</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$1.00 par value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KELYB</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231F20"/>
        </w:rPr>
        <w:t xml:space="preserve">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erif" w:hAnsi="Times New Roman;serif"/>
          <w:b/>
          <w:color w:val="000000"/>
          <w:sz w:val="20"/>
        </w:rPr>
        <w:t xml:space="preserve">Item 2.02. </w:t>
      </w:r>
      <w:r>
        <w:rPr>
          <w:rFonts w:ascii="Times New Roman;serif" w:hAnsi="Times New Roman;serif"/>
          <w:b/>
          <w:color w:val="000000"/>
          <w:sz w:val="20"/>
          <w:u w:val="single"/>
        </w:rPr>
        <w:t>Results of Operations and Financial Condition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Kelly Services, Inc. (the “Company”) today released financial information containing highlighted financial data for the three and six months ended June 28, 2026. A copy of the press release is attached as Exhibit 99.1 to this Current Report on Form 8-K and incorporated herein by reference.</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pPr>
      <w:r>
        <w:rPr>
          <w:rFonts w:ascii="Times New Roman;serif" w:hAnsi="Times New Roman;serif"/>
          <w:b/>
          <w:color w:val="000000"/>
          <w:sz w:val="20"/>
        </w:rPr>
        <w:t xml:space="preserve">Item 9.01. </w:t>
      </w:r>
      <w:r>
        <w:rPr>
          <w:rFonts w:ascii="Times New Roman;serif" w:hAnsi="Times New Roman;serif"/>
          <w:b/>
          <w:color w:val="000000"/>
          <w:sz w:val="20"/>
          <w:u w:val="single"/>
        </w:rPr>
        <w:t>Financial Statements and Exhibits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2qearningsreleaseform.htm">
              <w:r>
                <w:rPr>
                  <w:rStyle w:val="InternetLink"/>
                  <w:rFonts w:ascii="Times New Roman;serif" w:hAnsi="Times New Roman;serif"/>
                  <w:b w:val="false"/>
                  <w:color w:val="0000FF"/>
                  <w:sz w:val="20"/>
                  <w:u w:val="single"/>
                </w:rPr>
                <w:t>99.1</w:t>
              </w:r>
            </w:hyperlink>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6,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releasesup.htm">
              <w:r>
                <w:rPr>
                  <w:rStyle w:val="InternetLink"/>
                  <w:rFonts w:ascii="Times New Roman;serif" w:hAnsi="Times New Roman;serif"/>
                  <w:b w:val="false"/>
                  <w:color w:val="0000FF"/>
                  <w:sz w:val="20"/>
                  <w:u w:val="single"/>
                </w:rPr>
                <w:t>99.2</w:t>
              </w:r>
            </w:hyperlink>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materials for August 6, 2026 conference call.</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180"/>
        <w:jc w:val="left"/>
        <w:rPr>
          <w:color w:val="000000"/>
        </w:rPr>
      </w:pPr>
      <w:r>
        <w:rPr>
          <w:color w:val="000000"/>
        </w:rPr>
        <w:t> </w:t>
      </w:r>
    </w:p>
    <w:tbl>
      <w:tblPr>
        <w:tblW w:w="5187" w:type="dxa"/>
        <w:jc w:val="left"/>
        <w:tblInd w:w="0" w:type="dxa"/>
        <w:tblLayout w:type="fixed"/>
        <w:tblCellMar>
          <w:top w:w="28" w:type="dxa"/>
          <w:left w:w="28" w:type="dxa"/>
          <w:bottom w:w="28" w:type="dxa"/>
          <w:right w:w="28" w:type="dxa"/>
        </w:tblCellMar>
      </w:tblPr>
      <w:tblGrid>
        <w:gridCol w:w="493"/>
        <w:gridCol w:w="435"/>
        <w:gridCol w:w="437"/>
        <w:gridCol w:w="1149"/>
        <w:gridCol w:w="1149"/>
        <w:gridCol w:w="1152"/>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/s/ Nicholas A. Zuhlke</w:t>
              <w:br/>
              <w:t>Nicholas A. Zuhlke</w:t>
              <w:br/>
            </w:r>
            <w:r>
              <w:rPr>
                <w:rFonts w:ascii="Times New Roman;serif" w:hAnsi="Times New Roman;serif"/>
                <w:b w:val="false"/>
                <w:sz w:val="20"/>
              </w:rPr>
              <w:br/>
            </w:r>
            <w:r>
              <w:rPr>
                <w:rFonts w:ascii="Times New Roman;serif" w:hAnsi="Times New Roman;serif"/>
                <w:b w:val="false"/>
                <w:color w:val="000000"/>
                <w:sz w:val="20"/>
              </w:rPr>
              <w:t xml:space="preserve">Vice President, Corporate Controller and </w:t>
              <w:br/>
              <w:t>Chief Accounting Officer</w:t>
              <w:b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80"/>
        <w:jc w:val="center"/>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0"/>
        <w:ind w:left="0" w:right="0" w:firstLine="180"/>
        <w:jc w:val="center"/>
        <w:rPr>
          <w:color w:val="000000"/>
        </w:rPr>
      </w:pPr>
      <w:r>
        <w:rPr>
          <w:color w:val="000000"/>
        </w:rPr>
        <w:t>  </w:t>
      </w:r>
    </w:p>
    <w:tbl>
      <w:tblPr>
        <w:tblW w:w="7679" w:type="dxa"/>
        <w:jc w:val="center"/>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6,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materials for August 6, 2026 conference call.</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ind w:left="0" w:right="0" w:firstLine="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drawing>
          <wp:inline distT="0" distB="0" distL="0" distR="0">
            <wp:extent cx="1428750" cy="7143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428750" cy="7143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Kelly Reports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Second-Quarter 2026 Earnings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TROY, Mich. (August 6, 2026) – Kelly (Nasdaq: KELYA, KELYB), a leading specialty talent solutions provider, today announced results for the second quarter of 2026.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Q2 revenue of $1.0 billion, with year-over-year decline improving approximately 500 basis points (“bps”) versus the prior quarter; underlying revenue decline excluding previously disclosed discrete items improved 270 bps versus the prior quarter</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Underlying revenue year-over-year performance reflects strength in the ETM and SET segments with each improved at least 300 bps versus the prior quarter, along with a 40 bps improvement for the Education segment</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Q2 operating earnings of $16.1 million; $19.3 million of operating earnings on an adjusted basis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Q2 adjusted EBITDA of $31.1 million and adjusted EBITDA margin of 3.0%, improved 110 bps on a year-over-year basis versus the prior quarter resulting from stable year-over-year gross profit rate and continued SG&amp;A discipline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Company increases its fiscal 2026 revenue outlook, now expecting a low-to-mid-single digit decline, and affirms its adjusted EBITDA margin expectation of modest year-over-year growth driven by accelerating underlying revenue growth and operating efficiencies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 Layden, chief executive officer, said, “In the second quarter, we measurably exceeded our guidance for both revenue and adjusted EBITDA margin driven by growing momentum from our growth and efficiency initiatives as well as constructive demand trends in parts of our portfolio. We delivered sequential improvements in each of our businesses as we continued to capitalize on organic growth drivers. Notably, Kelly’s adjusted EBITDA margin returned to 3.0% in the quarter, demonstrating our ability to generate operating leverage in pursuit of growth. Our progress strengthens our conviction in our strategy and reinforces our confidence in our expectation of further measurable improvement in our year-over-year performance as we progress through the second half of the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Results for the thirteen-week period ended June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of $1.0 billion, a 5.8% decrease compared to the corresponding quarter of 2025. Discrete impacts associated with the previously disclosed reduced demand for U.S. federal government contractors in the SET segment and from three large commercial customers in the ETM segment totaled approximately 5.2%, resulting in an underlying revenue decline of approximately 0.6%. Underlying revenue performance includes overall growth from improved demand and new business in the ETM segment, including growth in staffing and each of the talent solutions specialties. Offsetting the growth was a measurably improved year-over-year decline within the SET segment which reflects continued year-over-year growth in the Telecom specialty and reduced declines in each of the SET specialties. SET revenue grew sequentially for the first time in over two years. Additionally, the Education segment showed an improved year-over-year decline which continues to be driven by delayed prior year contract decisions and declines in student enrollment in key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Operating earnings of $16.1 million, compared to earnings of $22.2 million reported in the second quarter of 2025. Adjusted earnings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$19.3 million in the second quarter of 2026 and $24.6 million in the second quarter of 2025.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$31.1 million, a decrease of 15.9% versus the prior year period. Adjusted EBITDA margin of 3.0%, a decrease of 40 bps but improved 110 bps versus the prior quarter, reflects 10 bps lower gross margin partially offset by volume-related and structural expense management actions including benefits from our acquisition integration and technology modernization efforts. ETM showed year-over-year stability in its adjusted EBITDA margin while Education and SET both declined. Both ETM and SET improved their adjusted EBITDA margins measurably versus the prior quarter.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Income tax expense of $3.0 million, compared to income tax expense of $0.9 million reported in the second quarter of 2025. On an adjusted basis</w:t>
      </w:r>
      <w:r>
        <w:rPr>
          <w:rFonts w:ascii="Times New Roman;serif" w:hAnsi="Times New Roman;serif"/>
          <w:b w:val="false"/>
          <w:color w:val="000000"/>
          <w:sz w:val="13"/>
        </w:rPr>
        <w:t>1</w:t>
      </w:r>
      <w:r>
        <w:rPr>
          <w:rFonts w:ascii="Times New Roman;serif" w:hAnsi="Times New Roman;serif"/>
          <w:b w:val="false"/>
          <w:color w:val="000000"/>
          <w:sz w:val="20"/>
        </w:rPr>
        <w:t>, income tax expense of $3.8 million, compared to income tax expense of $2.5 million in the second quarter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Earnings per share was $0.31 compared to earnings per share of $0.52 in the second quarter of 2025. On an adjusted basis</w:t>
      </w:r>
      <w:r>
        <w:rPr>
          <w:rFonts w:ascii="Times New Roman;serif" w:hAnsi="Times New Roman;serif"/>
          <w:b w:val="false"/>
          <w:color w:val="000000"/>
          <w:sz w:val="13"/>
        </w:rPr>
        <w:t>1</w:t>
      </w:r>
      <w:r>
        <w:rPr>
          <w:rFonts w:ascii="Times New Roman;serif" w:hAnsi="Times New Roman;serif"/>
          <w:b w:val="false"/>
          <w:color w:val="000000"/>
          <w:sz w:val="20"/>
        </w:rPr>
        <w:t>, earnings per share was $0.37 in the second quarter of 2026 compared to $0.54 per share in the corresponding quarter of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Results for the 26-week period ended June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of $2.1 billion, an 8.3% decrease compared to the corresponding period in 2025. Discrete impacts associated with the reduced demand for U.S. federal government contractors in the SET segment and from three large commercial customers in the ETM segment totaled approximately 6.3%, resulting in an underlying revenue decline of approximately 2.0%. Underlying revenue performance includes overall growth from improved demand in the ETM segment, including growth in each of the talent solutions specialties, along with growth in the Telecom specialty and improved performance in the Science and Engineering specialties within the SET segment. Offsetting this growth was continued lower demand in the other specialties within the SET segment, largely the Technology specialty, along with a decline in the Education segment driven by delayed prior year contract decisions and declines in student enrollment in key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Operating earnings of $11.0 million, compared to earnings of $33.0 million reported over the same period in 2025. Adjusted earnings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$23.4 million in the first six months of 2026 and $46.7 million in the corresponding period of 2025.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$46.9 million, a decrease of 34.8% versus the prior year period. Adjusted EBITDA margin of 2.3%, a decrease of 90 bps, reflects near-term margin pressure in ETM, Education, and SET driven by lower gross margins and timing of revenue trends, partially offset by volume-related and structural expense management actions including benefits from our acquisition integration and technology modernization efforts.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Income tax expense of $2.2 million, compared to income tax expense of $2.7 million reported over the same period in 2025. On an adjusted basis</w:t>
      </w:r>
      <w:r>
        <w:rPr>
          <w:rFonts w:ascii="Times New Roman;serif" w:hAnsi="Times New Roman;serif"/>
          <w:b w:val="false"/>
          <w:color w:val="000000"/>
          <w:sz w:val="13"/>
        </w:rPr>
        <w:t>1</w:t>
      </w:r>
      <w:r>
        <w:rPr>
          <w:rFonts w:ascii="Times New Roman;serif" w:hAnsi="Times New Roman;serif"/>
          <w:b w:val="false"/>
          <w:color w:val="000000"/>
          <w:sz w:val="20"/>
        </w:rPr>
        <w:t>, income tax expense of $5.3 million, compared to income tax expense of $7.2 million in the corresponding period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Earnings per share was $0.15, compared to earnings per share of $0.67 in the same period of 2025. On an adjusted basis</w:t>
      </w:r>
      <w:r>
        <w:rPr>
          <w:rFonts w:ascii="Times New Roman;serif" w:hAnsi="Times New Roman;serif"/>
          <w:b w:val="false"/>
          <w:color w:val="000000"/>
          <w:sz w:val="13"/>
        </w:rPr>
        <w:t>1</w:t>
      </w:r>
      <w:r>
        <w:rPr>
          <w:rFonts w:ascii="Times New Roman;serif" w:hAnsi="Times New Roman;serif"/>
          <w:b w:val="false"/>
          <w:color w:val="000000"/>
          <w:sz w:val="20"/>
        </w:rPr>
        <w:t>, earnings per share were $0.40 for the first six months of 2026 compared to $0.93 per share in the corresponding period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Adjusted measures represent non-GAAP financial measures. Refer to our reconciliation of non-GAAP financial measures to the most closely related GAAP measure included in this document.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Outlook For Fiscal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2026 financial outlook has improved for revenue and remains unchanged for Adjusted EBITDA margin relative to the initial view previously disclosed, assumes no material change in the macroeconomic environment in the coming quarters, and is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Third Quarter of 2026</w:t>
      </w:r>
      <w:r>
        <w:rPr>
          <w:color w:val="000000"/>
        </w:rPr>
        <w:t xml:space="preserve"> – </w:t>
      </w:r>
      <w:r>
        <w:rPr>
          <w:rFonts w:ascii="Times New Roman;serif" w:hAnsi="Times New Roman;serif"/>
          <w:b w:val="false"/>
          <w:color w:val="000000"/>
          <w:sz w:val="20"/>
        </w:rPr>
        <w:t xml:space="preserve">Expect year-over-year improvement relative to second quarter, with overall underlying revenue growth of 1% to 2%, and total revenue to be flat to a decline of 2% versus the prior year. Adjusted EBITDA margin in the low 2% range, representing 40 to 50 bps of year-over-year improvement relative to the prior year.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Outlook includes the seasonality impact of the Education business due to schools being out of session for the majority of the quarter which results in sequential revenue and profitability declines versus the second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Fourth Quarter of 2026</w:t>
      </w:r>
      <w:r>
        <w:rPr>
          <w:color w:val="000000"/>
        </w:rPr>
        <w:t xml:space="preserve"> – </w:t>
      </w:r>
      <w:r>
        <w:rPr>
          <w:rFonts w:ascii="Times New Roman;serif" w:hAnsi="Times New Roman;serif"/>
          <w:b w:val="false"/>
          <w:color w:val="000000"/>
          <w:sz w:val="20"/>
        </w:rPr>
        <w:t>Expect substantial improvement in year-over-year performance versus third quarter for both revenue and adjusted EBITDA margin resulting in mid-to-upper single digits revenue growth and approximately 200 bps of year-over-year adjusted EBITDA margin expansion resulting in adjusted EBITDA margin of approximately 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Outlook includes the impact of an extra fiscal week in the fourth quarter, which benefits revenue growth by approximately 4 points in the quarter, but negatively impacts adjusted EBITDA.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Full Year 2026</w:t>
      </w:r>
      <w:r>
        <w:rPr>
          <w:color w:val="000000"/>
        </w:rPr>
        <w:t xml:space="preserve"> – </w:t>
      </w:r>
      <w:r>
        <w:rPr>
          <w:rFonts w:ascii="Times New Roman;serif" w:hAnsi="Times New Roman;serif"/>
          <w:b w:val="false"/>
          <w:color w:val="000000"/>
          <w:sz w:val="20"/>
        </w:rPr>
        <w:t>On a full year basis, expect low-to-mid single digit total revenue decline and a 10 to 20 bps year-over-year improvement in adjusted EBITDA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Cash Dividend: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Kelly also reported that on August 4, 2026, its board of directors declared a dividend of $0.075 per share. The dividend is payable on September 2, 2026 to stockholders of record as of the close of business on August 19,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its earnings release, Kelly has published a financial presentation and will host a live webcast of a conference call at 9 a.m. ET on August 6 to review the financial and operation results from the quarter. The presentation and a link to the live webcast will be accessible through the Company’s public website on the Investor Relations page under Events &amp; Presentations. The webcast will be recorded, and a replay will be available within one hour of completion of the event through the same link as the live webcast.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release contains statements that are forward looking in nature and, accordingly, are subject to risks and uncertainties. These statements are made under the “safe harbor” provisions of the U.S. Private Securities Litigation Reform Act of 1995. Statements that are not historical facts, including statements about Kelly’s financial expectations, are forward-looking statements. Factors that could cause actual results to differ materially from those contained in this release include, but are not limited to, (i) changing market and economic conditions, (ii) disruption in the labor market and weakened demand for human capital resulting from technological advances, competitive pressures and pricing, loss of large corporate customers and government contractor requirements, (iii) the impact of laws and regulations (including federal, state and international tax laws), (iv) unexpected changes in claim trends on workers’ compensation, unemployment, disability and medical benefit plans, (v) litigation and other legal liabilities (including tax liabilities) in excess of our estimates, (vi) our ability to achieve our business’s anticipated growth strategies, (vii) our future business development, results of operations and financial condition, (viii) damage to our brands, (ix) dependence on third parties for the execution of critical functions, (x) conducting business in foreign countries, including foreign currency fluctuations, (xi) availability of temporary workers with appropriate skills required by customers, (xii) cyberattacks or other breaches of network or information technology security, and (xiii) other risks, uncertainties and factors discussed in this release and in the Company’s filings with the Securities and Exchange Commission. In some cases, forward-looking statements can be identified by words or phrases such as “may,” “will,” “expect,” “anticipate,” “target,” “aim,” “estimate,” “intend,” “plan,” “believe,” “potential,” “continue,” “is/are likely to” or other similar expressions. All information provided in this press release is as of the date of this press release and we undertake no obligation to update any forward-looking statement,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About Kelly®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Kelly Services, Inc. (Nasdaq: KELYA, KELYB) helps companies recruit and manage skilled workers and helps job seekers find great work. Since inventing the staffing industry in 1946, we have become experts in the many industries and local and global markets we serve. With a network of suppliers and partners around the world, we connect approximately 375,000 people with work every year. Our suite of outsourcing and consulting services and solutions ensures companies have the people they need, when and where they are needed most. Headquartered in Troy, Michigan, we empower businesses and individuals to access limitless opportunities in industries such as science, engineering, technology, education, manufacturing, retail, finance, and energy. Revenue in 2025 was $4.3 billion. Learn more at kellyservices.com.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KLYA-FIN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w:t>
      </w:r>
    </w:p>
    <w:tbl>
      <w:tblPr>
        <w:tblW w:w="3936" w:type="dxa"/>
        <w:jc w:val="left"/>
        <w:tblInd w:w="0" w:type="dxa"/>
        <w:tblLayout w:type="fixed"/>
        <w:tblCellMar>
          <w:top w:w="28" w:type="dxa"/>
          <w:left w:w="28" w:type="dxa"/>
          <w:bottom w:w="28" w:type="dxa"/>
          <w:right w:w="28" w:type="dxa"/>
        </w:tblCellMar>
      </w:tblPr>
      <w:tblGrid>
        <w:gridCol w:w="1053"/>
        <w:gridCol w:w="927"/>
        <w:gridCol w:w="930"/>
        <w:gridCol w:w="109"/>
        <w:gridCol w:w="109"/>
        <w:gridCol w:w="109"/>
        <w:gridCol w:w="109"/>
        <w:gridCol w:w="109"/>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ANALYST &amp; 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Scott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(248) 251-7264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scott.thomas@kellyservices.com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077" w:type="dxa"/>
        <w:jc w:val="center"/>
        <w:tblInd w:w="0" w:type="dxa"/>
        <w:tblLayout w:type="fixed"/>
        <w:tblCellMar>
          <w:top w:w="28" w:type="dxa"/>
          <w:left w:w="28" w:type="dxa"/>
          <w:bottom w:w="28" w:type="dxa"/>
          <w:right w:w="28" w:type="dxa"/>
        </w:tblCellMar>
      </w:tblPr>
      <w:tblGrid>
        <w:gridCol w:w="438"/>
        <w:gridCol w:w="384"/>
        <w:gridCol w:w="384"/>
        <w:gridCol w:w="384"/>
        <w:gridCol w:w="384"/>
        <w:gridCol w:w="384"/>
        <w:gridCol w:w="384"/>
        <w:gridCol w:w="384"/>
        <w:gridCol w:w="384"/>
        <w:gridCol w:w="384"/>
        <w:gridCol w:w="384"/>
        <w:gridCol w:w="384"/>
        <w:gridCol w:w="384"/>
        <w:gridCol w:w="384"/>
        <w:gridCol w:w="384"/>
        <w:gridCol w:w="109"/>
        <w:gridCol w:w="154"/>
      </w:tblGrid>
      <w:tr>
        <w:trPr/>
        <w:tc>
          <w:tcPr>
            <w:tcW w:w="4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c>
          <w:tcPr>
            <w:tcW w:w="263" w:type="dxa"/>
            <w:gridSpan w:val="2"/>
            <w:tcBorders/>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EARNINGS</w:t>
            </w:r>
          </w:p>
        </w:tc>
        <w:tc>
          <w:tcPr>
            <w:tcW w:w="263" w:type="dxa"/>
            <w:gridSpan w:val="2"/>
            <w:tcBorders/>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13 WEEKS ENDED JUNE 28, 2026 AND JUNE 29,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c>
          <w:tcPr>
            <w:tcW w:w="263" w:type="dxa"/>
            <w:gridSpan w:val="2"/>
            <w:tcBorders/>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56"/>
        <w:gridCol w:w="1490"/>
        <w:gridCol w:w="1494"/>
        <w:gridCol w:w="211"/>
        <w:gridCol w:w="766"/>
        <w:gridCol w:w="271"/>
        <w:gridCol w:w="211"/>
        <w:gridCol w:w="766"/>
        <w:gridCol w:w="271"/>
        <w:gridCol w:w="109"/>
        <w:gridCol w:w="109"/>
        <w:gridCol w:w="211"/>
        <w:gridCol w:w="576"/>
        <w:gridCol w:w="451"/>
        <w:gridCol w:w="308"/>
        <w:gridCol w:w="308"/>
        <w:gridCol w:w="631"/>
        <w:gridCol w:w="109"/>
        <w:gridCol w:w="157"/>
      </w:tblGrid>
      <w:tr>
        <w:trPr/>
        <w:tc>
          <w:tcPr>
            <w:tcW w:w="175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Change</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from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operations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STATISTICS: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placement income (included in revenue from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shares outstanding:</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Reported percentage changes are computed based on millions. Prior year percent changes were computed based on actual amounts in thousands.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color w:val="000000"/>
        </w:rPr>
      </w:pPr>
      <w:r>
        <w:rPr>
          <w:color w:val="000000"/>
        </w:rPr>
        <w:t xml:space="preserve">     </w:t>
      </w:r>
    </w:p>
    <w:tbl>
      <w:tblPr>
        <w:tblW w:w="6077" w:type="dxa"/>
        <w:jc w:val="center"/>
        <w:tblInd w:w="0" w:type="dxa"/>
        <w:tblLayout w:type="fixed"/>
        <w:tblCellMar>
          <w:top w:w="28" w:type="dxa"/>
          <w:left w:w="28" w:type="dxa"/>
          <w:bottom w:w="28" w:type="dxa"/>
          <w:right w:w="28" w:type="dxa"/>
        </w:tblCellMar>
      </w:tblPr>
      <w:tblGrid>
        <w:gridCol w:w="438"/>
        <w:gridCol w:w="384"/>
        <w:gridCol w:w="384"/>
        <w:gridCol w:w="384"/>
        <w:gridCol w:w="384"/>
        <w:gridCol w:w="384"/>
        <w:gridCol w:w="384"/>
        <w:gridCol w:w="384"/>
        <w:gridCol w:w="384"/>
        <w:gridCol w:w="384"/>
        <w:gridCol w:w="384"/>
        <w:gridCol w:w="384"/>
        <w:gridCol w:w="384"/>
        <w:gridCol w:w="384"/>
        <w:gridCol w:w="384"/>
        <w:gridCol w:w="109"/>
        <w:gridCol w:w="154"/>
      </w:tblGrid>
      <w:tr>
        <w:trPr/>
        <w:tc>
          <w:tcPr>
            <w:tcW w:w="4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c>
          <w:tcPr>
            <w:tcW w:w="263" w:type="dxa"/>
            <w:gridSpan w:val="2"/>
            <w:tcBorders/>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EARNINGS</w:t>
            </w:r>
          </w:p>
        </w:tc>
        <w:tc>
          <w:tcPr>
            <w:tcW w:w="263" w:type="dxa"/>
            <w:gridSpan w:val="2"/>
            <w:tcBorders/>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26 WEEKS ENDED JUNE 28, 2026 AND JUNE 29,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c>
          <w:tcPr>
            <w:tcW w:w="263" w:type="dxa"/>
            <w:gridSpan w:val="2"/>
            <w:tcBorders/>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31"/>
        <w:gridCol w:w="1460"/>
        <w:gridCol w:w="1464"/>
        <w:gridCol w:w="109"/>
        <w:gridCol w:w="109"/>
        <w:gridCol w:w="211"/>
        <w:gridCol w:w="766"/>
        <w:gridCol w:w="271"/>
        <w:gridCol w:w="211"/>
        <w:gridCol w:w="766"/>
        <w:gridCol w:w="271"/>
        <w:gridCol w:w="109"/>
        <w:gridCol w:w="109"/>
        <w:gridCol w:w="211"/>
        <w:gridCol w:w="680"/>
        <w:gridCol w:w="451"/>
        <w:gridCol w:w="287"/>
        <w:gridCol w:w="287"/>
        <w:gridCol w:w="702"/>
      </w:tblGrid>
      <w:tr>
        <w:trPr/>
        <w:tc>
          <w:tcPr>
            <w:tcW w:w="173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4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Change</w:t>
            </w:r>
            <w:r>
              <w:rPr>
                <w:rFonts w:ascii="Times New Roman;serif" w:hAnsi="Times New Roman;serif"/>
                <w:b/>
                <w:color w:val="000000"/>
                <w:sz w:val="13"/>
              </w:rPr>
              <w:t>(1)</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from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STATISTICS: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placement income (included in revenue from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Reported percentage changes are computed based on millions. Prior year percent changes were computed based on actual amounts in thousands.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3511" w:type="dxa"/>
        <w:jc w:val="center"/>
        <w:tblInd w:w="0" w:type="dxa"/>
        <w:tblLayout w:type="fixed"/>
        <w:tblCellMar>
          <w:top w:w="28" w:type="dxa"/>
          <w:left w:w="28" w:type="dxa"/>
          <w:bottom w:w="28" w:type="dxa"/>
          <w:right w:w="28" w:type="dxa"/>
        </w:tblCellMar>
      </w:tblPr>
      <w:tblGrid>
        <w:gridCol w:w="16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143"/>
        <w:gridCol w:w="202"/>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51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r>
      <w:tr>
        <w:trPr/>
        <w:tc>
          <w:tcPr>
            <w:tcW w:w="351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351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51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bl>
    <w:tbl>
      <w:tblPr>
        <w:tblW w:w="10205" w:type="dxa"/>
        <w:jc w:val="center"/>
        <w:tblInd w:w="0" w:type="dxa"/>
        <w:tblLayout w:type="fixed"/>
        <w:tblCellMar>
          <w:top w:w="28" w:type="dxa"/>
          <w:left w:w="28" w:type="dxa"/>
          <w:bottom w:w="28" w:type="dxa"/>
          <w:right w:w="28" w:type="dxa"/>
        </w:tblCellMar>
      </w:tblPr>
      <w:tblGrid>
        <w:gridCol w:w="2195"/>
        <w:gridCol w:w="1880"/>
        <w:gridCol w:w="1883"/>
        <w:gridCol w:w="214"/>
        <w:gridCol w:w="780"/>
        <w:gridCol w:w="276"/>
        <w:gridCol w:w="280"/>
        <w:gridCol w:w="1019"/>
        <w:gridCol w:w="360"/>
        <w:gridCol w:w="214"/>
        <w:gridCol w:w="779"/>
        <w:gridCol w:w="325"/>
      </w:tblGrid>
      <w:tr>
        <w:trPr/>
        <w:tc>
          <w:tcPr>
            <w:tcW w:w="2195"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 2025</w:t>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 2025</w:t>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less allowances of $9.7, $10.0 and $10.8, respectively</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1,268.3 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assets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2,250.6 </w:t>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2,511.9 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taxes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workers' compensation and other claims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workers' compensation and other claims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retirement benefits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Contingencies footnote)</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invested in the business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2,250.6 </w:t>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2,511.9 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STATISTICS:</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Ratio</w:t>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Debt-to-capital %</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Days Sales Outstanding</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Free Cash Flow</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5864" w:type="dxa"/>
        <w:jc w:val="center"/>
        <w:tblInd w:w="0" w:type="dxa"/>
        <w:tblLayout w:type="fixed"/>
        <w:tblCellMar>
          <w:top w:w="28" w:type="dxa"/>
          <w:left w:w="28" w:type="dxa"/>
          <w:bottom w:w="28" w:type="dxa"/>
          <w:right w:w="28" w:type="dxa"/>
        </w:tblCellMar>
      </w:tblPr>
      <w:tblGrid>
        <w:gridCol w:w="430"/>
        <w:gridCol w:w="377"/>
        <w:gridCol w:w="377"/>
        <w:gridCol w:w="377"/>
        <w:gridCol w:w="377"/>
        <w:gridCol w:w="377"/>
        <w:gridCol w:w="377"/>
        <w:gridCol w:w="377"/>
        <w:gridCol w:w="377"/>
        <w:gridCol w:w="377"/>
        <w:gridCol w:w="377"/>
        <w:gridCol w:w="377"/>
        <w:gridCol w:w="377"/>
        <w:gridCol w:w="377"/>
        <w:gridCol w:w="533"/>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5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r>
      <w:tr>
        <w:trPr/>
        <w:tc>
          <w:tcPr>
            <w:tcW w:w="5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c>
      </w:tr>
      <w:tr>
        <w:trPr/>
        <w:tc>
          <w:tcPr>
            <w:tcW w:w="5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26 WEEKS ENDED JUNE 28, 2026 AND JUNE 29, 2025</w:t>
            </w:r>
          </w:p>
        </w:tc>
      </w:tr>
      <w:tr>
        <w:trPr/>
        <w:tc>
          <w:tcPr>
            <w:tcW w:w="5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5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bl>
    <w:tbl>
      <w:tblPr>
        <w:tblW w:w="7902" w:type="dxa"/>
        <w:jc w:val="center"/>
        <w:tblInd w:w="0" w:type="dxa"/>
        <w:tblLayout w:type="fixed"/>
        <w:tblCellMar>
          <w:top w:w="28" w:type="dxa"/>
          <w:left w:w="28" w:type="dxa"/>
          <w:bottom w:w="28" w:type="dxa"/>
          <w:right w:w="28" w:type="dxa"/>
        </w:tblCellMar>
      </w:tblPr>
      <w:tblGrid>
        <w:gridCol w:w="2240"/>
        <w:gridCol w:w="1971"/>
        <w:gridCol w:w="1984"/>
        <w:gridCol w:w="211"/>
        <w:gridCol w:w="511"/>
        <w:gridCol w:w="109"/>
        <w:gridCol w:w="211"/>
        <w:gridCol w:w="511"/>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from operating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and sales allowances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from operating activities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EMEA staffing operations, net of cash disposed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company-owned life insurance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PersolKelly investment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from investing activities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 withholding for stock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rates on cash, cash equivalents and restricted cash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80"/>
        <w:gridCol w:w="694"/>
        <w:gridCol w:w="512"/>
        <w:gridCol w:w="547"/>
        <w:gridCol w:w="1598"/>
        <w:gridCol w:w="703"/>
        <w:gridCol w:w="547"/>
        <w:gridCol w:w="1598"/>
        <w:gridCol w:w="703"/>
        <w:gridCol w:w="502"/>
        <w:gridCol w:w="282"/>
        <w:gridCol w:w="1170"/>
        <w:gridCol w:w="109"/>
        <w:gridCol w:w="160"/>
      </w:tblGrid>
      <w:tr>
        <w:trPr/>
        <w:tc>
          <w:tcPr>
            <w:tcW w:w="108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c>
          <w:tcPr>
            <w:tcW w:w="269" w:type="dxa"/>
            <w:gridSpan w:val="2"/>
            <w:tcBorders/>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 INFORMATION</w:t>
            </w:r>
          </w:p>
        </w:tc>
        <w:tc>
          <w:tcPr>
            <w:tcW w:w="269" w:type="dxa"/>
            <w:gridSpan w:val="2"/>
            <w:tcBorders/>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69" w:type="dxa"/>
            <w:gridSpan w:val="2"/>
            <w:tcBorders/>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269" w:type="dxa"/>
            <w:gridSpan w:val="2"/>
            <w:tcBorders/>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utilize business unit profit (loss) to evaluate the performance of our segments. Business unit profit (loss) and SG&amp;A expenses as presented in the segment information table below do not include depreciation and amortization expenses.</w:t>
            </w:r>
          </w:p>
        </w:tc>
        <w:tc>
          <w:tcPr>
            <w:tcW w:w="269" w:type="dxa"/>
            <w:gridSpan w:val="2"/>
            <w:tcBorders/>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269" w:type="dxa"/>
            <w:gridSpan w:val="2"/>
            <w:tcBorders/>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2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Enterprise Talent Management</w:t>
            </w:r>
          </w:p>
        </w:tc>
        <w:tc>
          <w:tcPr>
            <w:tcW w:w="2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business unit profit</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Science, Engineering &amp; Technology</w:t>
            </w:r>
          </w:p>
        </w:tc>
        <w:tc>
          <w:tcPr>
            <w:tcW w:w="2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business unit profit</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Education</w:t>
            </w:r>
          </w:p>
        </w:tc>
        <w:tc>
          <w:tcPr>
            <w:tcW w:w="2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business unit profit</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47"/>
        <w:gridCol w:w="713"/>
        <w:gridCol w:w="503"/>
        <w:gridCol w:w="520"/>
        <w:gridCol w:w="1523"/>
        <w:gridCol w:w="669"/>
        <w:gridCol w:w="520"/>
        <w:gridCol w:w="1895"/>
        <w:gridCol w:w="669"/>
        <w:gridCol w:w="491"/>
        <w:gridCol w:w="269"/>
        <w:gridCol w:w="1116"/>
        <w:gridCol w:w="109"/>
        <w:gridCol w:w="161"/>
      </w:tblGrid>
      <w:tr>
        <w:trPr/>
        <w:tc>
          <w:tcPr>
            <w:tcW w:w="104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RESULTS OF OPERATIONS BY SEGMENT</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270" w:type="dxa"/>
            <w:gridSpan w:val="2"/>
            <w:tcBorders/>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utilize business unit profit (loss) to evaluate the performance of our segments. Business unit profit (loss) and SG&amp;A expenses as presented in the segment information table below do not include depreciation and amortization expenses.</w:t>
            </w:r>
          </w:p>
        </w:tc>
        <w:tc>
          <w:tcPr>
            <w:tcW w:w="270" w:type="dxa"/>
            <w:gridSpan w:val="2"/>
            <w:tcBorders/>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c>
          <w:tcPr>
            <w:tcW w:w="270" w:type="dxa"/>
            <w:gridSpan w:val="2"/>
            <w:tcBorders/>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Enterprise Talent Management</w:t>
            </w:r>
          </w:p>
        </w:tc>
        <w:tc>
          <w:tcPr>
            <w:tcW w:w="2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business unit profit</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Science, Engineering &amp; Technology</w:t>
            </w:r>
          </w:p>
        </w:tc>
        <w:tc>
          <w:tcPr>
            <w:tcW w:w="2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charge</w:t>
            </w:r>
            <w:r>
              <w:rPr>
                <w:rFonts w:ascii="Times New Roman;serif" w:hAnsi="Times New Roman;serif"/>
                <w:b w:val="false"/>
                <w:color w:val="000000"/>
                <w:sz w:val="13"/>
              </w:rPr>
              <w:t>(5)</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business unit profit</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Education</w:t>
            </w:r>
          </w:p>
        </w:tc>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business unit profit</w:t>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2712"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76"/>
        <w:gridCol w:w="829"/>
        <w:gridCol w:w="834"/>
        <w:gridCol w:w="309"/>
        <w:gridCol w:w="903"/>
        <w:gridCol w:w="159"/>
        <w:gridCol w:w="445"/>
        <w:gridCol w:w="1299"/>
        <w:gridCol w:w="230"/>
        <w:gridCol w:w="303"/>
        <w:gridCol w:w="888"/>
        <w:gridCol w:w="157"/>
        <w:gridCol w:w="440"/>
        <w:gridCol w:w="1067"/>
        <w:gridCol w:w="228"/>
        <w:gridCol w:w="211"/>
        <w:gridCol w:w="766"/>
        <w:gridCol w:w="161"/>
      </w:tblGrid>
      <w:tr>
        <w:trPr/>
        <w:tc>
          <w:tcPr>
            <w:tcW w:w="97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FROM SERVICES BY SERVICE TYPE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2026</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Staffing Services</w:t>
            </w:r>
          </w:p>
        </w:tc>
        <w:tc>
          <w:tcPr>
            <w:tcW w:w="1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Outcome-based Services</w:t>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Talent Solutions</w:t>
            </w:r>
          </w:p>
        </w:tc>
        <w:tc>
          <w:tcPr>
            <w:tcW w:w="1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Permanent Placement</w:t>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6"/>
        <w:gridCol w:w="829"/>
        <w:gridCol w:w="834"/>
        <w:gridCol w:w="309"/>
        <w:gridCol w:w="903"/>
        <w:gridCol w:w="159"/>
        <w:gridCol w:w="445"/>
        <w:gridCol w:w="1299"/>
        <w:gridCol w:w="230"/>
        <w:gridCol w:w="303"/>
        <w:gridCol w:w="888"/>
        <w:gridCol w:w="157"/>
        <w:gridCol w:w="440"/>
        <w:gridCol w:w="1067"/>
        <w:gridCol w:w="228"/>
        <w:gridCol w:w="211"/>
        <w:gridCol w:w="766"/>
        <w:gridCol w:w="161"/>
      </w:tblGrid>
      <w:tr>
        <w:trPr/>
        <w:tc>
          <w:tcPr>
            <w:tcW w:w="97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2025</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Staffing Services</w:t>
            </w:r>
          </w:p>
        </w:tc>
        <w:tc>
          <w:tcPr>
            <w:tcW w:w="1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Outcome-based Services</w:t>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Talent Solutions</w:t>
            </w:r>
          </w:p>
        </w:tc>
        <w:tc>
          <w:tcPr>
            <w:tcW w:w="1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Permanent Placement</w:t>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66"/>
        <w:gridCol w:w="819"/>
        <w:gridCol w:w="824"/>
        <w:gridCol w:w="272"/>
        <w:gridCol w:w="989"/>
        <w:gridCol w:w="139"/>
        <w:gridCol w:w="442"/>
        <w:gridCol w:w="1291"/>
        <w:gridCol w:w="229"/>
        <w:gridCol w:w="301"/>
        <w:gridCol w:w="882"/>
        <w:gridCol w:w="155"/>
        <w:gridCol w:w="436"/>
        <w:gridCol w:w="1057"/>
        <w:gridCol w:w="225"/>
        <w:gridCol w:w="218"/>
        <w:gridCol w:w="793"/>
        <w:gridCol w:w="167"/>
      </w:tblGrid>
      <w:tr>
        <w:trPr/>
        <w:tc>
          <w:tcPr>
            <w:tcW w:w="96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FROM SERVICES BY SERVICE TYPE (continued)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Year-to-Date 2026</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Staffing Services</w:t>
            </w:r>
          </w:p>
        </w:tc>
        <w:tc>
          <w:tcPr>
            <w:tcW w:w="1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Outcome-based Services</w:t>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Talent Solutions</w:t>
            </w:r>
          </w:p>
        </w:tc>
        <w:tc>
          <w:tcPr>
            <w:tcW w:w="1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Permanent Placement</w:t>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2,083.1 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1"/>
        <w:gridCol w:w="824"/>
        <w:gridCol w:w="829"/>
        <w:gridCol w:w="272"/>
        <w:gridCol w:w="991"/>
        <w:gridCol w:w="141"/>
        <w:gridCol w:w="444"/>
        <w:gridCol w:w="1295"/>
        <w:gridCol w:w="229"/>
        <w:gridCol w:w="302"/>
        <w:gridCol w:w="885"/>
        <w:gridCol w:w="156"/>
        <w:gridCol w:w="438"/>
        <w:gridCol w:w="1062"/>
        <w:gridCol w:w="226"/>
        <w:gridCol w:w="211"/>
        <w:gridCol w:w="766"/>
        <w:gridCol w:w="163"/>
      </w:tblGrid>
      <w:tr>
        <w:trPr/>
        <w:tc>
          <w:tcPr>
            <w:tcW w:w="97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Year-to-Date 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Staffing Services</w:t>
            </w:r>
          </w:p>
        </w:tc>
        <w:tc>
          <w:tcPr>
            <w:tcW w:w="1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Outcome-based Services</w:t>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Talent Solutions</w:t>
            </w:r>
          </w:p>
        </w:tc>
        <w:tc>
          <w:tcPr>
            <w:tcW w:w="1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Permanent Placement</w:t>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4448" w:type="dxa"/>
        <w:jc w:val="center"/>
        <w:tblInd w:w="0" w:type="dxa"/>
        <w:tblLayout w:type="fixed"/>
        <w:tblCellMar>
          <w:top w:w="28" w:type="dxa"/>
          <w:left w:w="28" w:type="dxa"/>
          <w:bottom w:w="28" w:type="dxa"/>
          <w:right w:w="28" w:type="dxa"/>
        </w:tblCellMar>
      </w:tblPr>
      <w:tblGrid>
        <w:gridCol w:w="325"/>
        <w:gridCol w:w="286"/>
        <w:gridCol w:w="286"/>
        <w:gridCol w:w="286"/>
        <w:gridCol w:w="286"/>
        <w:gridCol w:w="286"/>
        <w:gridCol w:w="286"/>
        <w:gridCol w:w="286"/>
        <w:gridCol w:w="286"/>
        <w:gridCol w:w="286"/>
        <w:gridCol w:w="286"/>
        <w:gridCol w:w="286"/>
        <w:gridCol w:w="286"/>
        <w:gridCol w:w="286"/>
        <w:gridCol w:w="405"/>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4448"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KELLY SERVICES, INC.</w:t>
            </w:r>
          </w:p>
        </w:tc>
      </w:tr>
      <w:tr>
        <w:trPr/>
        <w:tc>
          <w:tcPr>
            <w:tcW w:w="4448"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RECONCILIATION OF NON-GAAP MEASURES</w:t>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551" w:type="dxa"/>
            <w:gridSpan w:val="12"/>
            <w:tcBorders/>
          </w:tcPr>
          <w:p>
            <w:pPr>
              <w:pStyle w:val="TableContents"/>
              <w:bidi w:val="0"/>
              <w:spacing w:before="0" w:after="283"/>
              <w:jc w:val="left"/>
              <w:rPr>
                <w:sz w:val="4"/>
                <w:szCs w:val="4"/>
              </w:rPr>
            </w:pPr>
            <w:r>
              <w:rPr>
                <w:sz w:val="4"/>
                <w:szCs w:val="4"/>
              </w:rPr>
            </w:r>
          </w:p>
        </w:tc>
      </w:tr>
      <w:tr>
        <w:trPr/>
        <w:tc>
          <w:tcPr>
            <w:tcW w:w="4448"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(UNAUDITED)</w:t>
            </w:r>
          </w:p>
        </w:tc>
      </w:tr>
      <w:tr>
        <w:trPr/>
        <w:tc>
          <w:tcPr>
            <w:tcW w:w="4448"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(in millions, except per share data)</w:t>
            </w:r>
          </w:p>
        </w:tc>
      </w:tr>
    </w:tbl>
    <w:p>
      <w:pPr>
        <w:pStyle w:val="TextBody"/>
        <w:bidi w:val="0"/>
        <w:spacing w:before="0" w:after="0"/>
        <w:jc w:val="center"/>
        <w:rPr/>
      </w:pPr>
      <w:r>
        <w:rPr/>
      </w:r>
    </w:p>
    <w:tbl>
      <w:tblPr>
        <w:tblW w:w="8123" w:type="dxa"/>
        <w:jc w:val="center"/>
        <w:tblInd w:w="0" w:type="dxa"/>
        <w:tblLayout w:type="fixed"/>
        <w:tblCellMar>
          <w:top w:w="28" w:type="dxa"/>
          <w:left w:w="28" w:type="dxa"/>
          <w:bottom w:w="28" w:type="dxa"/>
          <w:right w:w="28" w:type="dxa"/>
        </w:tblCellMar>
      </w:tblPr>
      <w:tblGrid>
        <w:gridCol w:w="1570"/>
        <w:gridCol w:w="1377"/>
        <w:gridCol w:w="1387"/>
        <w:gridCol w:w="211"/>
        <w:gridCol w:w="616"/>
        <w:gridCol w:w="109"/>
        <w:gridCol w:w="211"/>
        <w:gridCol w:w="616"/>
        <w:gridCol w:w="109"/>
        <w:gridCol w:w="211"/>
        <w:gridCol w:w="616"/>
        <w:gridCol w:w="109"/>
        <w:gridCol w:w="211"/>
        <w:gridCol w:w="616"/>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Executive transition costs</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737" w:type="dxa"/>
        <w:jc w:val="center"/>
        <w:tblInd w:w="0" w:type="dxa"/>
        <w:tblLayout w:type="fixed"/>
        <w:tblCellMar>
          <w:top w:w="28" w:type="dxa"/>
          <w:left w:w="28" w:type="dxa"/>
          <w:bottom w:w="28" w:type="dxa"/>
          <w:right w:w="28" w:type="dxa"/>
        </w:tblCellMar>
      </w:tblPr>
      <w:tblGrid>
        <w:gridCol w:w="1571"/>
        <w:gridCol w:w="1380"/>
        <w:gridCol w:w="1384"/>
        <w:gridCol w:w="211"/>
        <w:gridCol w:w="511"/>
        <w:gridCol w:w="109"/>
        <w:gridCol w:w="211"/>
        <w:gridCol w:w="511"/>
        <w:gridCol w:w="109"/>
        <w:gridCol w:w="215"/>
        <w:gridCol w:w="521"/>
        <w:gridCol w:w="111"/>
        <w:gridCol w:w="215"/>
        <w:gridCol w:w="521"/>
        <w:gridCol w:w="157"/>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17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from operations:</w:t>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(3)</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Executive transition costs</w:t>
            </w:r>
            <w:r>
              <w:rPr>
                <w:rFonts w:ascii="Times New Roman;serif" w:hAnsi="Times New Roman;serif"/>
                <w:b w:val="false"/>
                <w:color w:val="000000"/>
                <w:sz w:val="13"/>
              </w:rPr>
              <w:t>(4)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charge</w:t>
            </w:r>
            <w:r>
              <w:rPr>
                <w:rFonts w:ascii="Times New Roman;serif" w:hAnsi="Times New Roman;serif"/>
                <w:b w:val="false"/>
                <w:color w:val="000000"/>
                <w:sz w:val="13"/>
              </w:rPr>
              <w:t>(5)</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sale of EMEA staffing operations</w:t>
            </w:r>
            <w:r>
              <w:rPr>
                <w:rFonts w:ascii="Times New Roman;serif" w:hAnsi="Times New Roman;serif"/>
                <w:b w:val="false"/>
                <w:color w:val="000000"/>
                <w:sz w:val="13"/>
              </w:rPr>
              <w:t>(6)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from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305" w:type="dxa"/>
        <w:jc w:val="center"/>
        <w:tblInd w:w="0" w:type="dxa"/>
        <w:tblLayout w:type="fixed"/>
        <w:tblCellMar>
          <w:top w:w="28" w:type="dxa"/>
          <w:left w:w="28" w:type="dxa"/>
          <w:bottom w:w="28" w:type="dxa"/>
          <w:right w:w="28" w:type="dxa"/>
        </w:tblCellMar>
      </w:tblPr>
      <w:tblGrid>
        <w:gridCol w:w="1853"/>
        <w:gridCol w:w="1625"/>
        <w:gridCol w:w="1636"/>
        <w:gridCol w:w="211"/>
        <w:gridCol w:w="406"/>
        <w:gridCol w:w="109"/>
        <w:gridCol w:w="211"/>
        <w:gridCol w:w="406"/>
        <w:gridCol w:w="109"/>
        <w:gridCol w:w="245"/>
        <w:gridCol w:w="472"/>
        <w:gridCol w:w="126"/>
        <w:gridCol w:w="245"/>
        <w:gridCol w:w="472"/>
        <w:gridCol w:w="179"/>
      </w:tblGrid>
      <w:tr>
        <w:trPr/>
        <w:tc>
          <w:tcPr>
            <w:tcW w:w="1853"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17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tax expense:</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Taxes on integration, realignment and restructuring charges</w:t>
            </w:r>
            <w:r>
              <w:rPr>
                <w:rFonts w:ascii="Times New Roman;serif" w:hAnsi="Times New Roman;serif"/>
                <w:b w:val="false"/>
                <w:color w:val="000000"/>
                <w:sz w:val="13"/>
              </w:rPr>
              <w:t>(2)</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Taxes on transaction costs</w:t>
            </w:r>
            <w:r>
              <w:rPr>
                <w:rFonts w:ascii="Times New Roman;serif" w:hAnsi="Times New Roman;serif"/>
                <w:b w:val="false"/>
                <w:color w:val="000000"/>
                <w:sz w:val="13"/>
              </w:rPr>
              <w:t>(3)</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Taxes on executive transition costs</w:t>
            </w:r>
            <w:r>
              <w:rPr>
                <w:rFonts w:ascii="Times New Roman;serif" w:hAnsi="Times New Roman;serif"/>
                <w:b w:val="false"/>
                <w:color w:val="000000"/>
                <w:sz w:val="13"/>
              </w:rPr>
              <w:t>(4)</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Taxes on asset impairment charge</w:t>
            </w:r>
            <w:r>
              <w:rPr>
                <w:rFonts w:ascii="Times New Roman;serif" w:hAnsi="Times New Roman;serif"/>
                <w:b w:val="false"/>
                <w:color w:val="000000"/>
                <w:sz w:val="13"/>
              </w:rPr>
              <w:t>(5)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tax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57" w:type="dxa"/>
        <w:jc w:val="center"/>
        <w:tblInd w:w="0" w:type="dxa"/>
        <w:tblLayout w:type="fixed"/>
        <w:tblCellMar>
          <w:top w:w="28" w:type="dxa"/>
          <w:left w:w="28" w:type="dxa"/>
          <w:bottom w:w="28" w:type="dxa"/>
          <w:right w:w="28" w:type="dxa"/>
        </w:tblCellMar>
      </w:tblPr>
      <w:tblGrid>
        <w:gridCol w:w="1939"/>
        <w:gridCol w:w="1702"/>
        <w:gridCol w:w="1714"/>
        <w:gridCol w:w="211"/>
        <w:gridCol w:w="511"/>
        <w:gridCol w:w="109"/>
        <w:gridCol w:w="211"/>
        <w:gridCol w:w="511"/>
        <w:gridCol w:w="109"/>
        <w:gridCol w:w="215"/>
        <w:gridCol w:w="521"/>
        <w:gridCol w:w="111"/>
        <w:gridCol w:w="215"/>
        <w:gridCol w:w="521"/>
        <w:gridCol w:w="157"/>
      </w:tblGrid>
      <w:tr>
        <w:trPr/>
        <w:tc>
          <w:tcPr>
            <w:tcW w:w="193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17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earnings and earnings per share:</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 net of taxes</w:t>
            </w:r>
            <w:r>
              <w:rPr>
                <w:rFonts w:ascii="Times New Roman;serif" w:hAnsi="Times New Roman;serif"/>
                <w:b w:val="false"/>
                <w:color w:val="000000"/>
                <w:sz w:val="13"/>
              </w:rPr>
              <w:t>(2)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 net of taxes</w:t>
            </w:r>
            <w:r>
              <w:rPr>
                <w:rFonts w:ascii="Times New Roman;serif" w:hAnsi="Times New Roman;serif"/>
                <w:b w:val="false"/>
                <w:color w:val="000000"/>
                <w:sz w:val="13"/>
              </w:rPr>
              <w:t>(3)</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Executive transition costs, net of taxes</w:t>
            </w:r>
            <w:r>
              <w:rPr>
                <w:rFonts w:ascii="Times New Roman;serif" w:hAnsi="Times New Roman;serif"/>
                <w:b w:val="false"/>
                <w:color w:val="000000"/>
                <w:sz w:val="13"/>
              </w:rPr>
              <w:t>(4)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charge, net of taxes</w:t>
            </w:r>
            <w:r>
              <w:rPr>
                <w:rFonts w:ascii="Times New Roman;serif" w:hAnsi="Times New Roman;serif"/>
                <w:b w:val="false"/>
                <w:color w:val="000000"/>
                <w:sz w:val="13"/>
              </w:rPr>
              <w:t>(5)</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sale of EMEA staffing operations, net of taxes</w:t>
            </w:r>
            <w:r>
              <w:rPr>
                <w:rFonts w:ascii="Times New Roman;serif" w:hAnsi="Times New Roman;serif"/>
                <w:b w:val="false"/>
                <w:color w:val="000000"/>
                <w:sz w:val="13"/>
              </w:rPr>
              <w:t>(6)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Earnings per share amounts for each quarter are required to be computed independently and may not equal the amounts computed for the total year. Adjusted diluted earnings per share reflects the impact of potentially dilutive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4387" w:type="dxa"/>
        <w:jc w:val="center"/>
        <w:tblInd w:w="0" w:type="dxa"/>
        <w:tblLayout w:type="fixed"/>
        <w:tblCellMar>
          <w:top w:w="28" w:type="dxa"/>
          <w:left w:w="28" w:type="dxa"/>
          <w:bottom w:w="28" w:type="dxa"/>
          <w:right w:w="28" w:type="dxa"/>
        </w:tblCellMar>
      </w:tblPr>
      <w:tblGrid>
        <w:gridCol w:w="322"/>
        <w:gridCol w:w="282"/>
        <w:gridCol w:w="282"/>
        <w:gridCol w:w="282"/>
        <w:gridCol w:w="282"/>
        <w:gridCol w:w="282"/>
        <w:gridCol w:w="282"/>
        <w:gridCol w:w="282"/>
        <w:gridCol w:w="282"/>
        <w:gridCol w:w="282"/>
        <w:gridCol w:w="282"/>
        <w:gridCol w:w="282"/>
        <w:gridCol w:w="282"/>
        <w:gridCol w:w="282"/>
        <w:gridCol w:w="399"/>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r>
      <w:tr>
        <w:trPr/>
        <w:tc>
          <w:tcPr>
            <w:tcW w:w="4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NON-GAAP MEASURES</w:t>
            </w:r>
          </w:p>
        </w:tc>
      </w:tr>
      <w:tr>
        <w:trPr/>
        <w:tc>
          <w:tcPr>
            <w:tcW w:w="4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bl>
    <w:p>
      <w:pPr>
        <w:pStyle w:val="TextBody"/>
        <w:bidi w:val="0"/>
        <w:spacing w:before="0" w:after="0"/>
        <w:jc w:val="center"/>
        <w:rPr/>
      </w:pPr>
      <w:r>
        <w:rPr/>
      </w:r>
    </w:p>
    <w:tbl>
      <w:tblPr>
        <w:tblW w:w="8352" w:type="dxa"/>
        <w:jc w:val="center"/>
        <w:tblInd w:w="0" w:type="dxa"/>
        <w:tblLayout w:type="fixed"/>
        <w:tblCellMar>
          <w:top w:w="28" w:type="dxa"/>
          <w:left w:w="28" w:type="dxa"/>
          <w:bottom w:w="28" w:type="dxa"/>
          <w:right w:w="28" w:type="dxa"/>
        </w:tblCellMar>
      </w:tblPr>
      <w:tblGrid>
        <w:gridCol w:w="1568"/>
        <w:gridCol w:w="1378"/>
        <w:gridCol w:w="1389"/>
        <w:gridCol w:w="211"/>
        <w:gridCol w:w="511"/>
        <w:gridCol w:w="271"/>
        <w:gridCol w:w="211"/>
        <w:gridCol w:w="511"/>
        <w:gridCol w:w="271"/>
        <w:gridCol w:w="211"/>
        <w:gridCol w:w="511"/>
        <w:gridCol w:w="271"/>
        <w:gridCol w:w="211"/>
        <w:gridCol w:w="511"/>
        <w:gridCol w:w="316"/>
      </w:tblGrid>
      <w:tr>
        <w:trPr/>
        <w:tc>
          <w:tcPr>
            <w:tcW w:w="15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20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EBITDA:</w:t>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(3)</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Executive transition costs</w:t>
            </w:r>
            <w:r>
              <w:rPr>
                <w:rFonts w:ascii="Times New Roman;serif" w:hAnsi="Times New Roman;serif"/>
                <w:b w:val="false"/>
                <w:color w:val="000000"/>
                <w:sz w:val="13"/>
              </w:rPr>
              <w:t>(4)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charge</w:t>
            </w:r>
            <w:r>
              <w:rPr>
                <w:rFonts w:ascii="Times New Roman;serif" w:hAnsi="Times New Roman;serif"/>
                <w:b w:val="false"/>
                <w:color w:val="000000"/>
                <w:sz w:val="13"/>
              </w:rPr>
              <w:t>(5)</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sale of EMEA staffing operations</w:t>
            </w:r>
            <w:r>
              <w:rPr>
                <w:rFonts w:ascii="Times New Roman;serif" w:hAnsi="Times New Roman;serif"/>
                <w:b w:val="false"/>
                <w:color w:val="000000"/>
                <w:sz w:val="13"/>
              </w:rPr>
              <w:t>(6)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77"/>
        <w:gridCol w:w="1163"/>
        <w:gridCol w:w="1170"/>
        <w:gridCol w:w="520"/>
        <w:gridCol w:w="1263"/>
        <w:gridCol w:w="673"/>
        <w:gridCol w:w="588"/>
        <w:gridCol w:w="1429"/>
        <w:gridCol w:w="761"/>
        <w:gridCol w:w="211"/>
        <w:gridCol w:w="511"/>
        <w:gridCol w:w="271"/>
        <w:gridCol w:w="109"/>
        <w:gridCol w:w="159"/>
      </w:tblGrid>
      <w:tr>
        <w:trPr/>
        <w:tc>
          <w:tcPr>
            <w:tcW w:w="137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2026</w:t>
            </w:r>
          </w:p>
        </w:tc>
        <w:tc>
          <w:tcPr>
            <w:tcW w:w="268" w:type="dxa"/>
            <w:gridSpan w:val="2"/>
            <w:tcBorders/>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Adjusted EBITDA:</w:t>
            </w:r>
          </w:p>
        </w:tc>
        <w:tc>
          <w:tcPr>
            <w:tcW w:w="2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Enterprise Talent Management</w:t>
            </w:r>
          </w:p>
        </w:tc>
        <w:tc>
          <w:tcPr>
            <w:tcW w:w="2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Science, Engineering &amp; Technology</w:t>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Education</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2456" w:type="dxa"/>
            <w:gridSpan w:val="3"/>
            <w:tcBorders/>
            <w:vAlign w:val="center"/>
          </w:tcPr>
          <w:p>
            <w:pPr>
              <w:pStyle w:val="TableContents"/>
              <w:bidi w:val="0"/>
              <w:spacing w:before="0" w:after="283"/>
              <w:jc w:val="left"/>
              <w:rPr>
                <w:sz w:val="4"/>
                <w:szCs w:val="4"/>
              </w:rPr>
            </w:pPr>
            <w:r>
              <w:rPr>
                <w:sz w:val="4"/>
                <w:szCs w:val="4"/>
              </w:rPr>
            </w:r>
          </w:p>
        </w:tc>
        <w:tc>
          <w:tcPr>
            <w:tcW w:w="277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2456" w:type="dxa"/>
            <w:gridSpan w:val="3"/>
            <w:tcBorders/>
            <w:vAlign w:val="center"/>
          </w:tcPr>
          <w:p>
            <w:pPr>
              <w:pStyle w:val="TableContents"/>
              <w:bidi w:val="0"/>
              <w:spacing w:before="0" w:after="283"/>
              <w:jc w:val="left"/>
              <w:rPr>
                <w:sz w:val="4"/>
                <w:szCs w:val="4"/>
              </w:rPr>
            </w:pPr>
            <w:r>
              <w:rPr>
                <w:sz w:val="4"/>
                <w:szCs w:val="4"/>
              </w:rPr>
            </w:r>
          </w:p>
        </w:tc>
        <w:tc>
          <w:tcPr>
            <w:tcW w:w="277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7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7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2025</w:t>
            </w:r>
          </w:p>
        </w:tc>
        <w:tc>
          <w:tcPr>
            <w:tcW w:w="268" w:type="dxa"/>
            <w:gridSpan w:val="2"/>
            <w:tcBorders/>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Enterprise Talent Management</w:t>
            </w:r>
          </w:p>
        </w:tc>
        <w:tc>
          <w:tcPr>
            <w:tcW w:w="2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Science, Engineering &amp; Technology</w:t>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Education</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realignment and restructuring charges</w:t>
            </w:r>
            <w:r>
              <w:rPr>
                <w:rFonts w:ascii="Times New Roman;serif" w:hAnsi="Times New Roman;serif"/>
                <w:b w:val="false"/>
                <w:color w:val="000000"/>
                <w:sz w:val="13"/>
              </w:rPr>
              <w:t>(2)</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2456" w:type="dxa"/>
            <w:gridSpan w:val="3"/>
            <w:tcBorders/>
            <w:vAlign w:val="center"/>
          </w:tcPr>
          <w:p>
            <w:pPr>
              <w:pStyle w:val="TableContents"/>
              <w:bidi w:val="0"/>
              <w:spacing w:before="0" w:after="283"/>
              <w:jc w:val="left"/>
              <w:rPr>
                <w:sz w:val="4"/>
                <w:szCs w:val="4"/>
              </w:rPr>
            </w:pPr>
            <w:r>
              <w:rPr>
                <w:sz w:val="4"/>
                <w:szCs w:val="4"/>
              </w:rPr>
            </w:r>
          </w:p>
        </w:tc>
        <w:tc>
          <w:tcPr>
            <w:tcW w:w="277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2456" w:type="dxa"/>
            <w:gridSpan w:val="3"/>
            <w:tcBorders/>
            <w:vAlign w:val="center"/>
          </w:tcPr>
          <w:p>
            <w:pPr>
              <w:pStyle w:val="TableContents"/>
              <w:bidi w:val="0"/>
              <w:spacing w:before="0" w:after="283"/>
              <w:jc w:val="left"/>
              <w:rPr>
                <w:sz w:val="4"/>
                <w:szCs w:val="4"/>
              </w:rPr>
            </w:pPr>
            <w:r>
              <w:rPr>
                <w:sz w:val="4"/>
                <w:szCs w:val="4"/>
              </w:rPr>
            </w:r>
          </w:p>
        </w:tc>
        <w:tc>
          <w:tcPr>
            <w:tcW w:w="277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7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59"/>
        <w:gridCol w:w="912"/>
        <w:gridCol w:w="902"/>
        <w:gridCol w:w="599"/>
        <w:gridCol w:w="1421"/>
        <w:gridCol w:w="750"/>
        <w:gridCol w:w="638"/>
        <w:gridCol w:w="1550"/>
        <w:gridCol w:w="826"/>
        <w:gridCol w:w="271"/>
        <w:gridCol w:w="659"/>
        <w:gridCol w:w="348"/>
        <w:gridCol w:w="109"/>
        <w:gridCol w:w="161"/>
      </w:tblGrid>
      <w:tr>
        <w:trPr/>
        <w:tc>
          <w:tcPr>
            <w:tcW w:w="105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 AND SUBSIDIARIES</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NON-GAAP MEASURES</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of dollars)</w:t>
            </w:r>
          </w:p>
        </w:tc>
        <w:tc>
          <w:tcPr>
            <w:tcW w:w="270" w:type="dxa"/>
            <w:gridSpan w:val="2"/>
            <w:tcBorders/>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Adjusted EBITDA (continued):</w:t>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Year-to-Date 2026</w:t>
            </w:r>
          </w:p>
        </w:tc>
        <w:tc>
          <w:tcPr>
            <w:tcW w:w="270" w:type="dxa"/>
            <w:gridSpan w:val="2"/>
            <w:tcBorders/>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Enterprise Talent Management</w:t>
            </w:r>
          </w:p>
        </w:tc>
        <w:tc>
          <w:tcPr>
            <w:tcW w:w="3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Science, Engineering &amp; Technology</w:t>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Education</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and realignment costs</w:t>
            </w:r>
            <w:r>
              <w:rPr>
                <w:rFonts w:ascii="Times New Roman;serif" w:hAnsi="Times New Roman;serif"/>
                <w:b w:val="false"/>
                <w:color w:val="000000"/>
                <w:sz w:val="13"/>
              </w:rPr>
              <w:t>(2)</w:t>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2770"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charge</w:t>
            </w:r>
            <w:r>
              <w:rPr>
                <w:rFonts w:ascii="Times New Roman;serif" w:hAnsi="Times New Roman;serif"/>
                <w:b w:val="false"/>
                <w:color w:val="000000"/>
                <w:sz w:val="13"/>
              </w:rPr>
              <w:t>(5)</w:t>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202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4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Year-to-Date 2025</w:t>
            </w:r>
          </w:p>
        </w:tc>
        <w:tc>
          <w:tcPr>
            <w:tcW w:w="270" w:type="dxa"/>
            <w:gridSpan w:val="2"/>
            <w:tcBorders/>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Enterprise Talent Management</w:t>
            </w:r>
          </w:p>
        </w:tc>
        <w:tc>
          <w:tcPr>
            <w:tcW w:w="3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Science, Engineering &amp; Technology</w:t>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Education</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 (loss)</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Integration and realignment costs</w:t>
            </w:r>
            <w:r>
              <w:rPr>
                <w:rFonts w:ascii="Times New Roman;serif" w:hAnsi="Times New Roman;serif"/>
                <w:b w:val="false"/>
                <w:color w:val="000000"/>
                <w:sz w:val="13"/>
              </w:rPr>
              <w:t>(2)</w:t>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2770"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2770"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20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5634" w:type="dxa"/>
        <w:jc w:val="left"/>
        <w:tblInd w:w="0" w:type="dxa"/>
        <w:tblLayout w:type="fixed"/>
        <w:tblCellMar>
          <w:top w:w="28" w:type="dxa"/>
          <w:left w:w="28" w:type="dxa"/>
          <w:bottom w:w="28" w:type="dxa"/>
          <w:right w:w="28" w:type="dxa"/>
        </w:tblCellMar>
      </w:tblPr>
      <w:tblGrid>
        <w:gridCol w:w="1030"/>
        <w:gridCol w:w="908"/>
        <w:gridCol w:w="912"/>
        <w:gridCol w:w="109"/>
        <w:gridCol w:w="196"/>
        <w:gridCol w:w="379"/>
        <w:gridCol w:w="920"/>
        <w:gridCol w:w="199"/>
        <w:gridCol w:w="211"/>
        <w:gridCol w:w="61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c>
          <w:tcPr>
            <w:tcW w:w="981" w:type="dxa"/>
            <w:gridSpan w:val="3"/>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uses adjusted EBITDA (adjusted earnings before interest, taxes, depreciation and amortization) and adjusted EBITDA Margin (percent of total GAAP revenue) which Management believes is useful to compare operating performance compared to prior periods and uses it in conjunction with GAAP measures to assess performance. Our calculation of adjusted EBITDA may not be consistent with similarly titled measures of other companies and should be used in conjunction with GAAP measurements. Management also uses year-to-date free cash flow (operating cash flows less capital expenditures) to indicate the change in cash balances arising from operating activities, net of working capital needs and expenditures on fixed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non-GAAP (U.S. Generally Accepted Accounting Principles) information excluding items such as integration, realignment and restructuring charges, transaction costs, executive transition costs, asset impairment charges and gain on the sale of our EMEA staffing operations are useful to understand the Company's fiscal 2026 financial performance and increases comparability. Specifically, Management believes that removing the impact of these items allows for a meaningful comparison of current period operating performance with the operating results of prior periods. Management also believes that such measures are used by those analyzing performance of companies in the staffing industry to compare current performance to prior periods and to assess future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non-GAAP measures may have limitations as analytical tools because they exclude items which can have a material impact on cash flow and earnings per share. As a result, Management considers these measures, along with reported results, when it reviews and evaluates the Company's financial performance. Management believes that these measures provide greater transparency to investors and provide insight into how Management is evaluating the Company's financial performance. Non-GAAP measures should not be considered a substitute for, or superior to, measures of financial performance prepared in accordance with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Integration, realignment and restructuring charges in the second quarter and June year-to-date 2026 and 2025 reflect various initiatives aimed at integrating MRP and other prior acquisitions and further aligning processes and technology across the Company. Included in the total integration and realignment costs in 2025 is $0.1 million of accelerated amortization included within depreciation and amortization. The costs incurred associated with these initiatives are summarized in the table below:</w:t>
      </w:r>
    </w:p>
    <w:p>
      <w:pPr>
        <w:pStyle w:val="TextBody"/>
        <w:bidi w:val="0"/>
        <w:spacing w:before="0" w:after="0"/>
        <w:jc w:val="left"/>
        <w:rPr/>
      </w:pPr>
      <w:r>
        <w:rPr/>
      </w:r>
    </w:p>
    <w:tbl>
      <w:tblPr>
        <w:tblW w:w="7630" w:type="dxa"/>
        <w:jc w:val="left"/>
        <w:tblInd w:w="0" w:type="dxa"/>
        <w:tblLayout w:type="fixed"/>
        <w:tblCellMar>
          <w:top w:w="28" w:type="dxa"/>
          <w:left w:w="28" w:type="dxa"/>
          <w:bottom w:w="28" w:type="dxa"/>
          <w:right w:w="28" w:type="dxa"/>
        </w:tblCellMar>
      </w:tblPr>
      <w:tblGrid>
        <w:gridCol w:w="1610"/>
        <w:gridCol w:w="1408"/>
        <w:gridCol w:w="1421"/>
        <w:gridCol w:w="211"/>
        <w:gridCol w:w="406"/>
        <w:gridCol w:w="109"/>
        <w:gridCol w:w="211"/>
        <w:gridCol w:w="406"/>
        <w:gridCol w:w="109"/>
        <w:gridCol w:w="229"/>
        <w:gridCol w:w="441"/>
        <w:gridCol w:w="118"/>
        <w:gridCol w:w="229"/>
        <w:gridCol w:w="555"/>
        <w:gridCol w:w="167"/>
      </w:tblGrid>
      <w:tr>
        <w:trPr/>
        <w:tc>
          <w:tcPr>
            <w:tcW w:w="161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17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IT-related charges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and other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integration, realignment and restructuring costs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Transaction costs in 2026 primarily related to costs incurred in connection with our controlling shareholder change in the first quarter of 2026. Transaction costs in 2025 include costs incurred directly related to the sale of the EMEA staffing operations, which includes employee termination costs and transition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Executive transition costs in 2026 represent non-recurring expenses primarily associated with our segment leader changes in 2025 and 2026. Executive transition costs in 2025 represent expenses associated with our CEO transition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Asset impairment charge in the first quarter of 2026 relates to certain right-of-use assets and reflects the Company’s ongoing realignment of our lease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 Gain on sale of EMEA staffing operations in the second quarter of 2025 is the result of the Company receiving the remaining proceeds from working capital and other adjustments, which exceeded the recorded receivable.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(7) Represents total company depreciation and amortization of intangibles, including the amortization of hosted software.</w:t>
      </w:r>
    </w:p>
    <w:p>
      <w:pPr>
        <w:pStyle w:val="TextBody"/>
        <w:bidi w:val="0"/>
        <w:spacing w:before="0" w:after="0"/>
        <w:jc w:val="center"/>
        <w:rPr/>
      </w:pPr>
      <w:bookmarkStart w:id="0" w:name="q22026earningsreleasesup.htm"/>
      <w:bookmarkStart w:id="1" w:name="ksq22026earningsreleasesup"/>
      <w:bookmarkEnd w:id="0"/>
      <w:bookmarkEnd w:id="1"/>
      <w:r>
        <w:rPr/>
        <w:drawing>
          <wp:inline distT="0" distB="0" distL="0" distR="0">
            <wp:extent cx="9753600" cy="54864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jc w:val="center"/>
        <w:rPr>
          <w:color w:val="FFFFFF"/>
          <w:sz w:val="2"/>
        </w:rPr>
      </w:pPr>
      <w:r>
        <w:rPr>
          <w:color w:val="FFFFFF"/>
          <w:sz w:val="2"/>
        </w:rPr>
        <w:t xml:space="preserve">© 2026 Kelly Services, Inc. All rights reserved. August 6, 2026 Q2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2 Financials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Second - Quarter 2026 Takeaways 3 Year over year revenue decline in the quarter improved approximately 500 basis points versus the prior quarter reflecting underlying improvements across the portfolio and reduced discrete impacts • Excluding the discrete impacts (1), underlying demand showed year - over - year growth in ETM staffing and talent solutions and the Telecom specialty within SET, while all other major specialty areas across Kelly showed improvement in their year - over - year performance versus Q1 Profitability reflects stable gross profit margin and continued SG&amp;A discipline • Gross profit rate improved 130 bps on a year over year basis versus the prior quarter and improved 150 bps versus Q1 • Adjusted EBITDA margin (2) , improved 110 bps on a year - over - year basis versus the prior quarter and improved 150 bps versus Q1 Technology modernization supports growth initiatives and structural and volume - related expense optimalizations • New technology leadership in place to advance modernization and AI innovation across the enterprise • Major milestone achieved in the second quarter with the launch of an enterprise - wide Customer Relationship Management (CRM) system • Other elements of our technology modernization efforts, including expanding and scaling AI use cases, are on - track to enable more rapid innovation and operating efficiency Maintaining our focus on accelerating profitable growth through our integrated framework led by the newly formed Growth Office • Further enhancing our go - to - market approach across the enterprise to strengthen large account management and expand new customer acquisition • Capitalizing on organic growth drivers across the business and integrating legacy acquisitions to capture revenue and cost synergiesRefer to the last slide for footnotes.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Second - Quarter 2026 Financial Summary 4 Refer to the last slide for footnotes. Results Revenue $1.0B Gross Profit Rate 20.4% (10) bps Earnings from Operations $16.1M Adjusted Earnings from Operations (2) $19.3M (21.5%) Diluted Earnings per Share $0.31 ($0.21) Adjusted Earnings per Share (2) $0.37 ($0.17) Adjusted EBITDA (2) $31.1M (15.9%) Adjusted EBITDA Margin (2) 3.0% (40) bps Year-Over-Year Change (5.8%) (27.5%)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June Year - to- Date 2026 Financial Summary 5 Refer to the last slide for footnotes. Results Revenue $2.1B Gross Profit Rate 19.6% (80) bps Earnings from Operations $11.0M Adjusted Earnings from Operations (2) $23.4M (49.9%) Diluted Earnings per Share $0.15 ($0.52) Adjusted Earnings per Share (2) $0.40 ($0.53) Adjusted EBITDA (2) $46.9M Adjusted EBITDA Margin (2) 2.3% (90) bps (34.8%) Year-Over-Year Change (8.3%) (66.7%)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Revenue Growth Trends Overall and by Segment 6 Refer to the last slide for footnotes. Organic Q2 2025 (3) Reported Q3 2025 Reported Q4 2025 Reported Q1 2026 Reported Q2 2026 Total (3.3%) (9.9%) (11.9%) (10.7%) (5.8%) Excluding discrete impacts (1) 1.6% (2.0%) (3.9%) (3.3%) (0.6%) Enterprise Talent Management (4) (4.7%) (12.8%) (18.3%) (13.2%) (6.0%) Excluding discrete impacts (1) 1.9% (2.1%) (5.3%) (0.4%) 3.1% Science, Engineering &amp; Technology (4) (9.2%) (9.6%) (11.9%) (11.6%) (6.1%) Excluding discrete impacts (1) (3.1%) (3.4%) (5.3%) (6.0%) (3.0%) Education 5.3% 0.9% 1.3% (4.8%)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43% 24% 21% 11% 1% 2025 Second - Quarter 2026 Revenue and Gross Profit Mix 7 Revenue Mix by Service Type Gross Profit Mix by Segment (4) Refer to the last slide for footnotes. 40% 24% 22% 13% 1% 2026 Service Type Legend Temporary Staffing Education Staffing Outcome - Based Solutions Talent Solutions Perm Placement Solutions Revenue Mix by Segment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Second - Quarter 2026 Gross Profit Rate 8 • GP rate decreased primarily due to changes in business mix, partially offset by lower employee - related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9 • Expenses in Operations decreased as a result of management’s efforts to drive structural efficiencies and align resource leve ls with volume • Integration and realignment costs related to the integration of MRP and other prior acquisitions and further aligning process es and technology across the Company decreased as we continue to execute on initiatives $ in millions Refer to the last slide for footnotes. Second - Quarter 2026 SG&amp;A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Second - Quarter 2026 Liquidity 10 $ in millions • Combined borrowing capacity of $400 million on our U.S. revolving credit ($150 million) and securitization ($250 million) fac ilities • Borrowings are amounts outstanding on our U.S. credit facilities • Standby letters of credit (“SBLC”) represent amounts outstanding related to workers’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2026 Outlook 11 Our 2026 Outlook assumes no material change in the macroeconomic environment in the coming quarters. Through our ongoing focus on growth and efficiency, we are well prepared to navigate the evolving macroeconomic environment and capitalize on improving demand trends. Third Quarter of 2026 – Expect year - over - year improvement relative to second quarter, with overall underlying revenue growth of 1% to 2%, and total revenue to be flat to a decline of 2% versus the prior year. Adjusted EBITDA margin in the low 2% range, representing 40 to 50 bps of year - over - year improvement relative to the prior year • Outlook includes the seasonality impact of the Education business due to schools being out of session for the majority of the quarter which results in sequential revenue and profitability declines versus the second quarter Fourth Quarter of 2026 – Expect substantial improvement in year - over - year performance versus third quarter for both revenue and adjusted EBITDA margin resulting in mid - to- upper single digit revenue growth and approximately 200 bps of year - over - year adjusted EBITDA margin expansion, equating to adjusted EBITDA margin of approximately 4% • Outlook includes the impact of an extra fiscal week in the fourth quarter, which benefits revenue growth by approximately 4 points in the quarter, but negatively impacts adjusted EBITDA Full Year 2026 – On a full year basis, expect low - to- mid single digit total revenue decline and a 10 to 20 bps year - over - year improvement in adjusted EBITDA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12 Presentation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13 Safe Harbor Statement This presentation contains statements that are forward looking in nature and, accordingly, are subject to risks and uncertainties . These statements are made under the “safe harbor” provisions of the U.S . Private Securities Litigation Reform Act of 1995. Statements that are not historical facts, including statements about Kelly’s financial expectations, are forward - looking statements . Factors that could cause actual results to differ materially from those contained in this release include, but are not limited to, (i) changing market and economic conditions, (ii) disruption in the labor market and weakened demand for human capital resulting from technological advances, competitive pressures and pricing, loss of large corporate customers and government contractor requirements, (iii) the impact of laws and regulations (including federal, state and international tax laws), (iv) unexpected changes in claim trends on workers’ compensation, unemployment, disability and medical benefit plans, (v) litigation and other legal liabilities (including tax liabilities) in excess of our estimates, (vi) our ability to achieve our business’s anticipated growth strategies, (vii) our future business development, results of operations and financial condition, (viii) damage to our brands, (ix) dependence on third parties for the execution of critical functions, (x) conducting business in foreign countries, including foreign currency fluctuations, (xi) availability of temporary workers with appropriate skills required by customers, (xii) cyberattacks or other breaches of network or information technology security, and (xiii) other risks, uncertainties and factors discussed in this release and in the Company’s filings with the Securities and Exchange Commission . In some cases, forward - looking statements can be identified by words or phrases such as “may,” “will,” “expect,” “anticipate,” “target,” “aim,” “estimate,” “intend,” “plan,” “believe,” “potential,” “continue,” “is/are likely to” or other similar expressions . All information provided in this presentation is as of the date of this presentation and we undertake no obligation to update any forward - looking statement, whether as a result of new information, future events, or otherwise, except as required by law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14 Non - GAAP Measures Management uses adjusted EBITDA (adjusted earnings before interest, taxes, depreciation and amortization) and adjusted EBITDA Margin (percent of total GAAP revenue) which Management believes is useful to compare operating performance compared to prior periods and uses it in conjunction with GAAP measures to assess performance . Our calculation of adjusted EBITDA may not be consistent with similarly titled measures of other companies and should be used in conjunction with GAAP measurements . Management believes that the non - GAAP (U .S . Generally Accepted Accounting Principles) information excluding items such as integration, realignment and restructuring charges, transaction costs, executive transition costs and gain on the sale of our EMEA staffing operations are useful to understand the Company's fiscal 2026 financial performance and increases comparability . Specifically, Management believes that removing the impact of these items allows for a meaningful comparison of current period operating performance with the operating results of prior periods . Management also believes that such measures are used by those analyzing performance of companies in the staffing industry to compare current performance to prior periods and to assess future performance . These non - GAAP measures may have limitations as analytical tools because they exclude items which can have a material impact on cash flow and earnings per share . As a result, Management considers these measures, along with reported results, when it reviews and evaluates the Company's financial performance . Management believes that these measures provide greater transparency to investors and provide insight into how Management is evaluating the Company's financial performance . Non - GAAP measures should not be considered a substitute for, or superior to, measures of financial performance prepared in accordance with GAAP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15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Kelly Services, Inc. All rights reserved. Second - Quarter 2026 Footnotes 16 1) Reflects the combined negative discrete impacts from reduced demand for U.S. federal government contractors in Science, Engin eer ing &amp; Technology ("SET") and from three large commercial customers in Enterprise Talent Management ("ETM"); 2) See Reconciliation of Non - GAAP Measures included in Form 8 - K dated August 6, 2026; 3) Organic excludes the 2025 results of MRP, which was acquired as of May 31, 2024 and was included in the reported results of o per ations in SET, from the date of acquisition and a portion in ETM starting in 2025, and the 2025 results of Children's Therapy Center ("CTC"), which was acqui red as of November 13, 2024 and was included in the reported results of operations in Education, from the date of acquisition; 4) The Company transferred a subset of government customers from the ETM segment to the SET segment to better align customer rel ati onships with specialized delivery capabilities. The 2025 and 2024 ETM and SET segment information has been recast to conform to the new structure; 5) Integration and realignment costs in Q2 2026 reflect various initiatives aimed at integrating MRP and other prior acquisition s and further aligning processes and technology across the Company and include IT - related charges of $1.6 million, fees and other costs of $1.1 million and severance of $0.2 million.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7324</Words>
  <Characters>40513</Characters>
  <CharactersWithSpaces>46994</CharactersWithSpaces>
  <Paragraphs>1682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q22026earningsreleasesup</dc:title>
</cp:coreProperties>
</file>