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219075</wp:posOffset>
            </wp:positionV>
            <wp:extent cx="6740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260350</wp:posOffset>
            </wp:positionV>
            <wp:extent cx="6740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212090</wp:posOffset>
            </wp:positionV>
            <wp:extent cx="1421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SCHEDULE 14A</w:t>
      </w:r>
    </w:p>
    <w:p>
      <w:pPr>
        <w:spacing w:after="0" w:line="2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212090</wp:posOffset>
            </wp:positionV>
            <wp:extent cx="1421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221"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5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47" w:lineRule="exact"/>
        <w:rPr>
          <w:sz w:val="24"/>
          <w:szCs w:val="24"/>
          <w:color w:val="auto"/>
        </w:rPr>
      </w:pPr>
    </w:p>
    <w:p>
      <w:pPr>
        <w:ind w:left="840" w:hanging="524"/>
        <w:spacing w:after="0"/>
        <w:tabs>
          <w:tab w:leader="none" w:pos="8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114" w:lineRule="exact"/>
        <w:rPr>
          <w:rFonts w:ascii="MS PGothic" w:cs="MS PGothic" w:eastAsia="MS PGothic" w:hAnsi="MS PGothic"/>
          <w:sz w:val="17"/>
          <w:szCs w:val="17"/>
          <w:color w:val="auto"/>
        </w:rPr>
      </w:pPr>
    </w:p>
    <w:p>
      <w:pPr>
        <w:ind w:left="840" w:hanging="524"/>
        <w:spacing w:after="0"/>
        <w:tabs>
          <w:tab w:leader="none" w:pos="8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119" w:lineRule="exact"/>
        <w:rPr>
          <w:sz w:val="24"/>
          <w:szCs w:val="24"/>
          <w:color w:val="auto"/>
        </w:rPr>
      </w:pPr>
    </w:p>
    <w:p>
      <w:pPr>
        <w:ind w:left="840" w:hanging="524"/>
        <w:spacing w:after="0"/>
        <w:tabs>
          <w:tab w:leader="none" w:pos="8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117" w:lineRule="exact"/>
        <w:rPr>
          <w:sz w:val="24"/>
          <w:szCs w:val="24"/>
          <w:color w:val="auto"/>
        </w:rPr>
      </w:pPr>
    </w:p>
    <w:p>
      <w:pPr>
        <w:ind w:left="840" w:hanging="524"/>
        <w:spacing w:after="0"/>
        <w:tabs>
          <w:tab w:leader="none" w:pos="8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116" w:lineRule="exact"/>
        <w:rPr>
          <w:rFonts w:ascii="MS PGothic" w:cs="MS PGothic" w:eastAsia="MS PGothic" w:hAnsi="MS PGothic"/>
          <w:sz w:val="17"/>
          <w:szCs w:val="17"/>
          <w:color w:val="auto"/>
        </w:rPr>
      </w:pPr>
    </w:p>
    <w:p>
      <w:pPr>
        <w:ind w:left="840" w:hanging="524"/>
        <w:spacing w:after="0"/>
        <w:tabs>
          <w:tab w:leader="none" w:pos="8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18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8"/>
          <w:szCs w:val="38"/>
          <w:b w:val="1"/>
          <w:bCs w:val="1"/>
          <w:color w:val="auto"/>
        </w:rPr>
        <w:t>Kelly Services Inc.</w:t>
      </w:r>
    </w:p>
    <w:p>
      <w:pPr>
        <w:spacing w:after="0" w:line="4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199"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2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47" w:lineRule="exact"/>
        <w:rPr>
          <w:sz w:val="24"/>
          <w:szCs w:val="24"/>
          <w:color w:val="auto"/>
        </w:rPr>
      </w:pPr>
    </w:p>
    <w:p>
      <w:pPr>
        <w:ind w:left="860" w:hanging="544"/>
        <w:spacing w:after="0"/>
        <w:tabs>
          <w:tab w:leader="none" w:pos="86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21" w:lineRule="exact"/>
        <w:rPr>
          <w:sz w:val="24"/>
          <w:szCs w:val="24"/>
          <w:color w:val="auto"/>
        </w:rPr>
      </w:pPr>
    </w:p>
    <w:p>
      <w:pPr>
        <w:ind w:left="860" w:hanging="544"/>
        <w:spacing w:after="0"/>
        <w:tabs>
          <w:tab w:leader="none" w:pos="86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20" w:lineRule="exact"/>
        <w:rPr>
          <w:rFonts w:ascii="MS PGothic" w:cs="MS PGothic" w:eastAsia="MS PGothic" w:hAnsi="MS PGothic"/>
          <w:sz w:val="17"/>
          <w:szCs w:val="17"/>
          <w:color w:val="auto"/>
        </w:rPr>
      </w:pPr>
    </w:p>
    <w:p>
      <w:pPr>
        <w:ind w:left="860" w:hanging="544"/>
        <w:spacing w:after="0"/>
        <w:tabs>
          <w:tab w:leader="none" w:pos="86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176530</wp:posOffset>
            </wp:positionV>
            <wp:extent cx="6740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217805</wp:posOffset>
            </wp:positionV>
            <wp:extent cx="6740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139"/>
          </w:cols>
          <w:pgMar w:left="320" w:top="22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7000240" cy="9119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0240" cy="9119870"/>
                    </a:xfrm>
                    <a:prstGeom prst="rect">
                      <a:avLst/>
                    </a:prstGeom>
                    <a:noFill/>
                  </pic:spPr>
                </pic:pic>
              </a:graphicData>
            </a:graphic>
          </wp:anchor>
        </w:drawing>
      </w:r>
    </w:p>
    <w:p>
      <w:pPr>
        <w:sectPr>
          <w:pgSz w:w="11900" w:h="16838" w:orient="portrait"/>
          <w:cols w:equalWidth="0" w:num="1">
            <w:col w:w="10139"/>
          </w:cols>
          <w:pgMar w:left="320" w:top="47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20" w:type="dxa"/>
        <w:tblCellMar>
          <w:top w:w="0" w:type="dxa"/>
          <w:left w:w="0" w:type="dxa"/>
          <w:bottom w:w="0" w:type="dxa"/>
          <w:right w:w="0" w:type="dxa"/>
        </w:tblCellMar>
      </w:tblPr>
      <w:tr>
        <w:trPr>
          <w:trHeight w:val="932"/>
        </w:trPr>
        <w:tc>
          <w:tcPr>
            <w:tcW w:w="260" w:type="dxa"/>
            <w:vAlign w:val="bottom"/>
          </w:tcPr>
          <w:p>
            <w:pPr>
              <w:spacing w:after="0"/>
              <w:rPr>
                <w:sz w:val="20"/>
                <w:szCs w:val="20"/>
                <w:color w:val="auto"/>
              </w:rPr>
            </w:pPr>
            <w:r>
              <w:rPr>
                <w:rFonts w:ascii="Arial" w:cs="Arial" w:eastAsia="Arial" w:hAnsi="Arial"/>
                <w:sz w:val="34"/>
                <w:szCs w:val="34"/>
                <w:b w:val="1"/>
                <w:bCs w:val="1"/>
                <w:color w:val="0A9E50"/>
                <w:w w:val="70"/>
              </w:rPr>
              <w:t> </w:t>
            </w:r>
          </w:p>
        </w:tc>
        <w:tc>
          <w:tcPr>
            <w:tcW w:w="260" w:type="dxa"/>
            <w:vAlign w:val="bottom"/>
          </w:tcPr>
          <w:p>
            <w:pPr>
              <w:spacing w:after="0"/>
              <w:rPr>
                <w:sz w:val="24"/>
                <w:szCs w:val="24"/>
                <w:color w:val="auto"/>
              </w:rPr>
            </w:pPr>
          </w:p>
        </w:tc>
        <w:tc>
          <w:tcPr>
            <w:tcW w:w="400" w:type="dxa"/>
            <w:vAlign w:val="bottom"/>
          </w:tcPr>
          <w:p>
            <w:pPr>
              <w:ind w:left="180"/>
              <w:spacing w:after="0"/>
              <w:rPr>
                <w:sz w:val="20"/>
                <w:szCs w:val="20"/>
                <w:color w:val="auto"/>
              </w:rPr>
            </w:pPr>
            <w:r>
              <w:rPr>
                <w:rFonts w:ascii="Arial" w:cs="Arial" w:eastAsia="Arial" w:hAnsi="Arial"/>
                <w:sz w:val="28"/>
                <w:szCs w:val="28"/>
                <w:b w:val="1"/>
                <w:bCs w:val="1"/>
                <w:color w:val="0A9E50"/>
                <w:w w:val="71"/>
              </w:rPr>
              <w:t> </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48"/>
                <w:szCs w:val="48"/>
                <w:b w:val="1"/>
                <w:bCs w:val="1"/>
                <w:color w:val="0A9E50"/>
                <w:w w:val="70"/>
              </w:rPr>
              <w:t> </w:t>
            </w:r>
          </w:p>
        </w:tc>
        <w:tc>
          <w:tcPr>
            <w:tcW w:w="260" w:type="dxa"/>
            <w:vAlign w:val="bottom"/>
          </w:tcPr>
          <w:p>
            <w:pPr>
              <w:spacing w:after="0"/>
              <w:rPr>
                <w:sz w:val="24"/>
                <w:szCs w:val="24"/>
                <w:color w:val="auto"/>
              </w:rPr>
            </w:pPr>
          </w:p>
        </w:tc>
        <w:tc>
          <w:tcPr>
            <w:tcW w:w="5860" w:type="dxa"/>
            <w:vAlign w:val="bottom"/>
            <w:gridSpan w:val="5"/>
          </w:tcPr>
          <w:p>
            <w:pPr>
              <w:ind w:left="60"/>
              <w:spacing w:after="0"/>
              <w:rPr>
                <w:sz w:val="20"/>
                <w:szCs w:val="20"/>
                <w:color w:val="auto"/>
              </w:rPr>
            </w:pPr>
            <w:r>
              <w:rPr>
                <w:rFonts w:ascii="Arial" w:cs="Arial" w:eastAsia="Arial" w:hAnsi="Arial"/>
                <w:sz w:val="69"/>
                <w:szCs w:val="69"/>
                <w:b w:val="1"/>
                <w:bCs w:val="1"/>
                <w:color w:val="0A9E50"/>
              </w:rPr>
              <w:t>  Vision</w:t>
            </w:r>
          </w:p>
        </w:tc>
      </w:tr>
      <w:tr>
        <w:trPr>
          <w:trHeight w:val="364"/>
        </w:trPr>
        <w:tc>
          <w:tcPr>
            <w:tcW w:w="260" w:type="dxa"/>
            <w:vAlign w:val="bottom"/>
          </w:tcPr>
          <w:p>
            <w:pPr>
              <w:spacing w:after="0"/>
              <w:rPr>
                <w:sz w:val="20"/>
                <w:szCs w:val="20"/>
                <w:color w:val="auto"/>
              </w:rPr>
            </w:pPr>
            <w:r>
              <w:rPr>
                <w:rFonts w:ascii="Arial" w:cs="Arial" w:eastAsia="Arial" w:hAnsi="Arial"/>
                <w:sz w:val="31"/>
                <w:szCs w:val="31"/>
                <w:b w:val="1"/>
                <w:bCs w:val="1"/>
                <w:color w:val="auto"/>
                <w:w w:val="77"/>
              </w:rPr>
              <w:t> </w:t>
            </w:r>
          </w:p>
        </w:tc>
        <w:tc>
          <w:tcPr>
            <w:tcW w:w="260" w:type="dxa"/>
            <w:vAlign w:val="bottom"/>
          </w:tcPr>
          <w:p>
            <w:pPr>
              <w:ind w:left="60"/>
              <w:spacing w:after="0"/>
              <w:rPr>
                <w:sz w:val="20"/>
                <w:szCs w:val="20"/>
                <w:color w:val="auto"/>
              </w:rPr>
            </w:pPr>
            <w:r>
              <w:rPr>
                <w:rFonts w:ascii="Arial" w:cs="Arial" w:eastAsia="Arial" w:hAnsi="Arial"/>
                <w:sz w:val="25"/>
                <w:szCs w:val="25"/>
                <w:b w:val="1"/>
                <w:bCs w:val="1"/>
                <w:color w:val="auto"/>
                <w:w w:val="71"/>
              </w:rPr>
              <w:t> </w:t>
            </w:r>
          </w:p>
        </w:tc>
        <w:tc>
          <w:tcPr>
            <w:tcW w:w="400" w:type="dxa"/>
            <w:vAlign w:val="bottom"/>
          </w:tcPr>
          <w:p>
            <w:pPr>
              <w:ind w:left="100"/>
              <w:spacing w:after="0"/>
              <w:rPr>
                <w:sz w:val="20"/>
                <w:szCs w:val="20"/>
                <w:color w:val="auto"/>
              </w:rPr>
            </w:pPr>
            <w:r>
              <w:rPr>
                <w:rFonts w:ascii="Arial" w:cs="Arial" w:eastAsia="Arial" w:hAnsi="Arial"/>
                <w:sz w:val="31"/>
                <w:szCs w:val="31"/>
                <w:b w:val="1"/>
                <w:bCs w:val="1"/>
                <w:color w:val="auto"/>
                <w:w w:val="90"/>
              </w:rPr>
              <w:t> </w:t>
            </w:r>
          </w:p>
        </w:tc>
        <w:tc>
          <w:tcPr>
            <w:tcW w:w="220" w:type="dxa"/>
            <w:vAlign w:val="bottom"/>
          </w:tcPr>
          <w:p>
            <w:pPr>
              <w:ind w:left="20"/>
              <w:spacing w:after="0"/>
              <w:rPr>
                <w:sz w:val="20"/>
                <w:szCs w:val="20"/>
                <w:color w:val="auto"/>
              </w:rPr>
            </w:pPr>
            <w:r>
              <w:rPr>
                <w:rFonts w:ascii="Arial" w:cs="Arial" w:eastAsia="Arial" w:hAnsi="Arial"/>
                <w:sz w:val="25"/>
                <w:szCs w:val="25"/>
                <w:b w:val="1"/>
                <w:bCs w:val="1"/>
                <w:color w:val="auto"/>
                <w:w w:val="71"/>
              </w:rPr>
              <w:t> </w:t>
            </w:r>
          </w:p>
        </w:tc>
        <w:tc>
          <w:tcPr>
            <w:tcW w:w="220" w:type="dxa"/>
            <w:vAlign w:val="bottom"/>
          </w:tcPr>
          <w:p>
            <w:pPr>
              <w:ind w:left="120"/>
              <w:spacing w:after="0"/>
              <w:rPr>
                <w:sz w:val="20"/>
                <w:szCs w:val="20"/>
                <w:color w:val="auto"/>
              </w:rPr>
            </w:pPr>
            <w:r>
              <w:rPr>
                <w:rFonts w:ascii="Arial" w:cs="Arial" w:eastAsia="Arial" w:hAnsi="Arial"/>
                <w:sz w:val="11"/>
                <w:szCs w:val="11"/>
                <w:b w:val="1"/>
                <w:bCs w:val="1"/>
                <w:color w:val="auto"/>
                <w:w w:val="72"/>
              </w:rPr>
              <w:t> </w:t>
            </w:r>
          </w:p>
        </w:tc>
        <w:tc>
          <w:tcPr>
            <w:tcW w:w="400" w:type="dxa"/>
            <w:vAlign w:val="bottom"/>
          </w:tcPr>
          <w:p>
            <w:pPr>
              <w:ind w:left="200"/>
              <w:spacing w:after="0"/>
              <w:rPr>
                <w:sz w:val="20"/>
                <w:szCs w:val="20"/>
                <w:color w:val="auto"/>
              </w:rPr>
            </w:pPr>
            <w:r>
              <w:rPr>
                <w:rFonts w:ascii="Arial" w:cs="Arial" w:eastAsia="Arial" w:hAnsi="Arial"/>
                <w:sz w:val="25"/>
                <w:szCs w:val="25"/>
                <w:b w:val="1"/>
                <w:bCs w:val="1"/>
                <w:color w:val="auto"/>
                <w:w w:val="71"/>
              </w:rPr>
              <w:t> </w:t>
            </w:r>
          </w:p>
        </w:tc>
        <w:tc>
          <w:tcPr>
            <w:tcW w:w="260" w:type="dxa"/>
            <w:vAlign w:val="bottom"/>
          </w:tcPr>
          <w:p>
            <w:pPr>
              <w:ind w:left="120"/>
              <w:spacing w:after="0"/>
              <w:rPr>
                <w:sz w:val="20"/>
                <w:szCs w:val="20"/>
                <w:color w:val="auto"/>
              </w:rPr>
            </w:pPr>
            <w:r>
              <w:rPr>
                <w:rFonts w:ascii="Arial" w:cs="Arial" w:eastAsia="Arial" w:hAnsi="Arial"/>
                <w:sz w:val="17"/>
                <w:szCs w:val="17"/>
                <w:b w:val="1"/>
                <w:bCs w:val="1"/>
                <w:color w:val="auto"/>
                <w:w w:val="70"/>
              </w:rPr>
              <w:t> </w:t>
            </w:r>
          </w:p>
        </w:tc>
        <w:tc>
          <w:tcPr>
            <w:tcW w:w="360" w:type="dxa"/>
            <w:vAlign w:val="bottom"/>
          </w:tcPr>
          <w:p>
            <w:pPr>
              <w:ind w:left="160"/>
              <w:spacing w:after="0"/>
              <w:rPr>
                <w:sz w:val="20"/>
                <w:szCs w:val="20"/>
                <w:color w:val="auto"/>
              </w:rPr>
            </w:pPr>
            <w:r>
              <w:rPr>
                <w:rFonts w:ascii="Arial" w:cs="Arial" w:eastAsia="Arial" w:hAnsi="Arial"/>
                <w:sz w:val="25"/>
                <w:szCs w:val="25"/>
                <w:b w:val="1"/>
                <w:bCs w:val="1"/>
                <w:color w:val="auto"/>
                <w:w w:val="71"/>
              </w:rPr>
              <w:t> </w:t>
            </w:r>
          </w:p>
        </w:tc>
        <w:tc>
          <w:tcPr>
            <w:tcW w:w="320" w:type="dxa"/>
            <w:vAlign w:val="bottom"/>
          </w:tcPr>
          <w:p>
            <w:pPr>
              <w:ind w:left="120"/>
              <w:spacing w:after="0"/>
              <w:rPr>
                <w:sz w:val="20"/>
                <w:szCs w:val="20"/>
                <w:color w:val="auto"/>
              </w:rPr>
            </w:pPr>
            <w:r>
              <w:rPr>
                <w:rFonts w:ascii="Arial" w:cs="Arial" w:eastAsia="Arial" w:hAnsi="Arial"/>
                <w:sz w:val="25"/>
                <w:szCs w:val="25"/>
                <w:b w:val="1"/>
                <w:bCs w:val="1"/>
                <w:color w:val="auto"/>
                <w:w w:val="71"/>
              </w:rPr>
              <w:t> </w:t>
            </w:r>
          </w:p>
        </w:tc>
        <w:tc>
          <w:tcPr>
            <w:tcW w:w="320" w:type="dxa"/>
            <w:vAlign w:val="bottom"/>
          </w:tcPr>
          <w:p>
            <w:pPr>
              <w:ind w:left="120"/>
              <w:spacing w:after="0"/>
              <w:rPr>
                <w:sz w:val="20"/>
                <w:szCs w:val="20"/>
                <w:color w:val="auto"/>
              </w:rPr>
            </w:pPr>
            <w:r>
              <w:rPr>
                <w:rFonts w:ascii="Arial" w:cs="Arial" w:eastAsia="Arial" w:hAnsi="Arial"/>
                <w:sz w:val="25"/>
                <w:szCs w:val="25"/>
                <w:b w:val="1"/>
                <w:bCs w:val="1"/>
                <w:color w:val="auto"/>
                <w:w w:val="71"/>
              </w:rPr>
              <w:t> </w:t>
            </w:r>
          </w:p>
        </w:tc>
        <w:tc>
          <w:tcPr>
            <w:tcW w:w="4860" w:type="dxa"/>
            <w:vAlign w:val="bottom"/>
            <w:gridSpan w:val="2"/>
          </w:tcPr>
          <w:p>
            <w:pPr>
              <w:ind w:left="100"/>
              <w:spacing w:after="0"/>
              <w:rPr>
                <w:sz w:val="20"/>
                <w:szCs w:val="20"/>
                <w:color w:val="auto"/>
              </w:rPr>
            </w:pPr>
            <w:r>
              <w:rPr>
                <w:rFonts w:ascii="Arial" w:cs="Arial" w:eastAsia="Arial" w:hAnsi="Arial"/>
                <w:sz w:val="31"/>
                <w:szCs w:val="31"/>
                <w:b w:val="1"/>
                <w:bCs w:val="1"/>
                <w:color w:val="auto"/>
              </w:rPr>
              <w:t>    To be the top workforce</w:t>
            </w:r>
          </w:p>
        </w:tc>
      </w:tr>
      <w:tr>
        <w:trPr>
          <w:trHeight w:val="364"/>
        </w:trPr>
        <w:tc>
          <w:tcPr>
            <w:tcW w:w="260" w:type="dxa"/>
            <w:vAlign w:val="bottom"/>
          </w:tcPr>
          <w:p>
            <w:pPr>
              <w:spacing w:after="0"/>
              <w:rPr>
                <w:sz w:val="20"/>
                <w:szCs w:val="20"/>
                <w:color w:val="auto"/>
              </w:rPr>
            </w:pPr>
            <w:r>
              <w:rPr>
                <w:rFonts w:ascii="Arial" w:cs="Arial" w:eastAsia="Arial" w:hAnsi="Arial"/>
                <w:sz w:val="31"/>
                <w:szCs w:val="31"/>
                <w:b w:val="1"/>
                <w:bCs w:val="1"/>
                <w:color w:val="auto"/>
                <w:w w:val="77"/>
              </w:rPr>
              <w:t> </w:t>
            </w:r>
          </w:p>
        </w:tc>
        <w:tc>
          <w:tcPr>
            <w:tcW w:w="260" w:type="dxa"/>
            <w:vAlign w:val="bottom"/>
          </w:tcPr>
          <w:p>
            <w:pPr>
              <w:ind w:left="60"/>
              <w:spacing w:after="0"/>
              <w:rPr>
                <w:sz w:val="20"/>
                <w:szCs w:val="20"/>
                <w:color w:val="auto"/>
              </w:rPr>
            </w:pPr>
            <w:r>
              <w:rPr>
                <w:rFonts w:ascii="Arial" w:cs="Arial" w:eastAsia="Arial" w:hAnsi="Arial"/>
                <w:sz w:val="25"/>
                <w:szCs w:val="25"/>
                <w:b w:val="1"/>
                <w:bCs w:val="1"/>
                <w:color w:val="auto"/>
                <w:w w:val="71"/>
              </w:rPr>
              <w:t> </w:t>
            </w:r>
          </w:p>
        </w:tc>
        <w:tc>
          <w:tcPr>
            <w:tcW w:w="400" w:type="dxa"/>
            <w:vAlign w:val="bottom"/>
          </w:tcPr>
          <w:p>
            <w:pPr>
              <w:ind w:left="100"/>
              <w:spacing w:after="0"/>
              <w:rPr>
                <w:sz w:val="20"/>
                <w:szCs w:val="20"/>
                <w:color w:val="auto"/>
              </w:rPr>
            </w:pPr>
            <w:r>
              <w:rPr>
                <w:rFonts w:ascii="Arial" w:cs="Arial" w:eastAsia="Arial" w:hAnsi="Arial"/>
                <w:sz w:val="31"/>
                <w:szCs w:val="31"/>
                <w:b w:val="1"/>
                <w:bCs w:val="1"/>
                <w:color w:val="auto"/>
                <w:w w:val="90"/>
              </w:rPr>
              <w:t> </w:t>
            </w:r>
          </w:p>
        </w:tc>
        <w:tc>
          <w:tcPr>
            <w:tcW w:w="220" w:type="dxa"/>
            <w:vAlign w:val="bottom"/>
          </w:tcPr>
          <w:p>
            <w:pPr>
              <w:ind w:left="20"/>
              <w:spacing w:after="0"/>
              <w:rPr>
                <w:sz w:val="20"/>
                <w:szCs w:val="20"/>
                <w:color w:val="auto"/>
              </w:rPr>
            </w:pPr>
            <w:r>
              <w:rPr>
                <w:rFonts w:ascii="Arial" w:cs="Arial" w:eastAsia="Arial" w:hAnsi="Arial"/>
                <w:sz w:val="25"/>
                <w:szCs w:val="25"/>
                <w:b w:val="1"/>
                <w:bCs w:val="1"/>
                <w:color w:val="auto"/>
                <w:w w:val="71"/>
              </w:rPr>
              <w:t> </w:t>
            </w:r>
          </w:p>
        </w:tc>
        <w:tc>
          <w:tcPr>
            <w:tcW w:w="220" w:type="dxa"/>
            <w:vAlign w:val="bottom"/>
          </w:tcPr>
          <w:p>
            <w:pPr>
              <w:ind w:left="120"/>
              <w:spacing w:after="0"/>
              <w:rPr>
                <w:sz w:val="20"/>
                <w:szCs w:val="20"/>
                <w:color w:val="auto"/>
              </w:rPr>
            </w:pPr>
            <w:r>
              <w:rPr>
                <w:rFonts w:ascii="Arial" w:cs="Arial" w:eastAsia="Arial" w:hAnsi="Arial"/>
                <w:sz w:val="11"/>
                <w:szCs w:val="11"/>
                <w:b w:val="1"/>
                <w:bCs w:val="1"/>
                <w:color w:val="auto"/>
                <w:w w:val="72"/>
              </w:rPr>
              <w:t> </w:t>
            </w:r>
          </w:p>
        </w:tc>
        <w:tc>
          <w:tcPr>
            <w:tcW w:w="400" w:type="dxa"/>
            <w:vAlign w:val="bottom"/>
          </w:tcPr>
          <w:p>
            <w:pPr>
              <w:ind w:left="200"/>
              <w:spacing w:after="0"/>
              <w:rPr>
                <w:sz w:val="20"/>
                <w:szCs w:val="20"/>
                <w:color w:val="auto"/>
              </w:rPr>
            </w:pPr>
            <w:r>
              <w:rPr>
                <w:rFonts w:ascii="Arial" w:cs="Arial" w:eastAsia="Arial" w:hAnsi="Arial"/>
                <w:sz w:val="25"/>
                <w:szCs w:val="25"/>
                <w:b w:val="1"/>
                <w:bCs w:val="1"/>
                <w:color w:val="auto"/>
                <w:w w:val="71"/>
              </w:rPr>
              <w:t> </w:t>
            </w:r>
          </w:p>
        </w:tc>
        <w:tc>
          <w:tcPr>
            <w:tcW w:w="260" w:type="dxa"/>
            <w:vAlign w:val="bottom"/>
          </w:tcPr>
          <w:p>
            <w:pPr>
              <w:ind w:left="120"/>
              <w:spacing w:after="0"/>
              <w:rPr>
                <w:sz w:val="20"/>
                <w:szCs w:val="20"/>
                <w:color w:val="auto"/>
              </w:rPr>
            </w:pPr>
            <w:r>
              <w:rPr>
                <w:rFonts w:ascii="Arial" w:cs="Arial" w:eastAsia="Arial" w:hAnsi="Arial"/>
                <w:sz w:val="17"/>
                <w:szCs w:val="17"/>
                <w:b w:val="1"/>
                <w:bCs w:val="1"/>
                <w:color w:val="auto"/>
                <w:w w:val="70"/>
              </w:rPr>
              <w:t> </w:t>
            </w:r>
          </w:p>
        </w:tc>
        <w:tc>
          <w:tcPr>
            <w:tcW w:w="360" w:type="dxa"/>
            <w:vAlign w:val="bottom"/>
          </w:tcPr>
          <w:p>
            <w:pPr>
              <w:ind w:left="160"/>
              <w:spacing w:after="0"/>
              <w:rPr>
                <w:sz w:val="20"/>
                <w:szCs w:val="20"/>
                <w:color w:val="auto"/>
              </w:rPr>
            </w:pPr>
            <w:r>
              <w:rPr>
                <w:rFonts w:ascii="Arial" w:cs="Arial" w:eastAsia="Arial" w:hAnsi="Arial"/>
                <w:sz w:val="25"/>
                <w:szCs w:val="25"/>
                <w:b w:val="1"/>
                <w:bCs w:val="1"/>
                <w:color w:val="auto"/>
                <w:w w:val="71"/>
              </w:rPr>
              <w:t> </w:t>
            </w:r>
          </w:p>
        </w:tc>
        <w:tc>
          <w:tcPr>
            <w:tcW w:w="320" w:type="dxa"/>
            <w:vAlign w:val="bottom"/>
          </w:tcPr>
          <w:p>
            <w:pPr>
              <w:ind w:left="120"/>
              <w:spacing w:after="0"/>
              <w:rPr>
                <w:sz w:val="20"/>
                <w:szCs w:val="20"/>
                <w:color w:val="auto"/>
              </w:rPr>
            </w:pPr>
            <w:r>
              <w:rPr>
                <w:rFonts w:ascii="Arial" w:cs="Arial" w:eastAsia="Arial" w:hAnsi="Arial"/>
                <w:sz w:val="25"/>
                <w:szCs w:val="25"/>
                <w:b w:val="1"/>
                <w:bCs w:val="1"/>
                <w:color w:val="auto"/>
                <w:w w:val="71"/>
              </w:rPr>
              <w:t> </w:t>
            </w:r>
          </w:p>
        </w:tc>
        <w:tc>
          <w:tcPr>
            <w:tcW w:w="320" w:type="dxa"/>
            <w:vAlign w:val="bottom"/>
          </w:tcPr>
          <w:p>
            <w:pPr>
              <w:ind w:left="120"/>
              <w:spacing w:after="0"/>
              <w:rPr>
                <w:sz w:val="20"/>
                <w:szCs w:val="20"/>
                <w:color w:val="auto"/>
              </w:rPr>
            </w:pPr>
            <w:r>
              <w:rPr>
                <w:rFonts w:ascii="Arial" w:cs="Arial" w:eastAsia="Arial" w:hAnsi="Arial"/>
                <w:sz w:val="25"/>
                <w:szCs w:val="25"/>
                <w:b w:val="1"/>
                <w:bCs w:val="1"/>
                <w:color w:val="auto"/>
                <w:w w:val="71"/>
              </w:rPr>
              <w:t> </w:t>
            </w:r>
          </w:p>
        </w:tc>
        <w:tc>
          <w:tcPr>
            <w:tcW w:w="4860" w:type="dxa"/>
            <w:vAlign w:val="bottom"/>
            <w:gridSpan w:val="2"/>
          </w:tcPr>
          <w:p>
            <w:pPr>
              <w:ind w:left="100"/>
              <w:spacing w:after="0"/>
              <w:rPr>
                <w:sz w:val="20"/>
                <w:szCs w:val="20"/>
                <w:color w:val="auto"/>
              </w:rPr>
            </w:pPr>
            <w:r>
              <w:rPr>
                <w:rFonts w:ascii="Arial" w:cs="Arial" w:eastAsia="Arial" w:hAnsi="Arial"/>
                <w:sz w:val="31"/>
                <w:szCs w:val="31"/>
                <w:b w:val="1"/>
                <w:bCs w:val="1"/>
                <w:color w:val="auto"/>
                <w:w w:val="96"/>
              </w:rPr>
              <w:t>    solutions provider that drives</w:t>
            </w:r>
          </w:p>
        </w:tc>
      </w:tr>
      <w:tr>
        <w:trPr>
          <w:trHeight w:val="364"/>
        </w:trPr>
        <w:tc>
          <w:tcPr>
            <w:tcW w:w="260" w:type="dxa"/>
            <w:vAlign w:val="bottom"/>
          </w:tcPr>
          <w:p>
            <w:pPr>
              <w:spacing w:after="0"/>
              <w:rPr>
                <w:sz w:val="20"/>
                <w:szCs w:val="20"/>
                <w:color w:val="auto"/>
              </w:rPr>
            </w:pPr>
            <w:r>
              <w:rPr>
                <w:rFonts w:ascii="Arial" w:cs="Arial" w:eastAsia="Arial" w:hAnsi="Arial"/>
                <w:sz w:val="31"/>
                <w:szCs w:val="31"/>
                <w:b w:val="1"/>
                <w:bCs w:val="1"/>
                <w:color w:val="auto"/>
                <w:w w:val="77"/>
              </w:rPr>
              <w:t> </w:t>
            </w:r>
          </w:p>
        </w:tc>
        <w:tc>
          <w:tcPr>
            <w:tcW w:w="260" w:type="dxa"/>
            <w:vAlign w:val="bottom"/>
          </w:tcPr>
          <w:p>
            <w:pPr>
              <w:ind w:left="60"/>
              <w:spacing w:after="0"/>
              <w:rPr>
                <w:sz w:val="20"/>
                <w:szCs w:val="20"/>
                <w:color w:val="auto"/>
              </w:rPr>
            </w:pPr>
            <w:r>
              <w:rPr>
                <w:rFonts w:ascii="Arial" w:cs="Arial" w:eastAsia="Arial" w:hAnsi="Arial"/>
                <w:sz w:val="25"/>
                <w:szCs w:val="25"/>
                <w:b w:val="1"/>
                <w:bCs w:val="1"/>
                <w:color w:val="auto"/>
                <w:w w:val="71"/>
              </w:rPr>
              <w:t> </w:t>
            </w:r>
          </w:p>
        </w:tc>
        <w:tc>
          <w:tcPr>
            <w:tcW w:w="400" w:type="dxa"/>
            <w:vAlign w:val="bottom"/>
          </w:tcPr>
          <w:p>
            <w:pPr>
              <w:ind w:left="100"/>
              <w:spacing w:after="0"/>
              <w:rPr>
                <w:sz w:val="20"/>
                <w:szCs w:val="20"/>
                <w:color w:val="auto"/>
              </w:rPr>
            </w:pPr>
            <w:r>
              <w:rPr>
                <w:rFonts w:ascii="Arial" w:cs="Arial" w:eastAsia="Arial" w:hAnsi="Arial"/>
                <w:sz w:val="31"/>
                <w:szCs w:val="31"/>
                <w:b w:val="1"/>
                <w:bCs w:val="1"/>
                <w:color w:val="auto"/>
                <w:w w:val="90"/>
              </w:rPr>
              <w:t> </w:t>
            </w:r>
          </w:p>
        </w:tc>
        <w:tc>
          <w:tcPr>
            <w:tcW w:w="220" w:type="dxa"/>
            <w:vAlign w:val="bottom"/>
          </w:tcPr>
          <w:p>
            <w:pPr>
              <w:ind w:left="20"/>
              <w:spacing w:after="0"/>
              <w:rPr>
                <w:sz w:val="20"/>
                <w:szCs w:val="20"/>
                <w:color w:val="auto"/>
              </w:rPr>
            </w:pPr>
            <w:r>
              <w:rPr>
                <w:rFonts w:ascii="Arial" w:cs="Arial" w:eastAsia="Arial" w:hAnsi="Arial"/>
                <w:sz w:val="25"/>
                <w:szCs w:val="25"/>
                <w:b w:val="1"/>
                <w:bCs w:val="1"/>
                <w:color w:val="auto"/>
                <w:w w:val="71"/>
              </w:rPr>
              <w:t> </w:t>
            </w:r>
          </w:p>
        </w:tc>
        <w:tc>
          <w:tcPr>
            <w:tcW w:w="220" w:type="dxa"/>
            <w:vAlign w:val="bottom"/>
          </w:tcPr>
          <w:p>
            <w:pPr>
              <w:ind w:left="120"/>
              <w:spacing w:after="0"/>
              <w:rPr>
                <w:sz w:val="20"/>
                <w:szCs w:val="20"/>
                <w:color w:val="auto"/>
              </w:rPr>
            </w:pPr>
            <w:r>
              <w:rPr>
                <w:rFonts w:ascii="Arial" w:cs="Arial" w:eastAsia="Arial" w:hAnsi="Arial"/>
                <w:sz w:val="11"/>
                <w:szCs w:val="11"/>
                <w:b w:val="1"/>
                <w:bCs w:val="1"/>
                <w:color w:val="auto"/>
                <w:w w:val="72"/>
              </w:rPr>
              <w:t> </w:t>
            </w:r>
          </w:p>
        </w:tc>
        <w:tc>
          <w:tcPr>
            <w:tcW w:w="400" w:type="dxa"/>
            <w:vAlign w:val="bottom"/>
          </w:tcPr>
          <w:p>
            <w:pPr>
              <w:ind w:left="200"/>
              <w:spacing w:after="0"/>
              <w:rPr>
                <w:sz w:val="20"/>
                <w:szCs w:val="20"/>
                <w:color w:val="auto"/>
              </w:rPr>
            </w:pPr>
            <w:r>
              <w:rPr>
                <w:rFonts w:ascii="Arial" w:cs="Arial" w:eastAsia="Arial" w:hAnsi="Arial"/>
                <w:sz w:val="25"/>
                <w:szCs w:val="25"/>
                <w:b w:val="1"/>
                <w:bCs w:val="1"/>
                <w:color w:val="auto"/>
                <w:w w:val="71"/>
              </w:rPr>
              <w:t> </w:t>
            </w:r>
          </w:p>
        </w:tc>
        <w:tc>
          <w:tcPr>
            <w:tcW w:w="260" w:type="dxa"/>
            <w:vAlign w:val="bottom"/>
          </w:tcPr>
          <w:p>
            <w:pPr>
              <w:ind w:left="120"/>
              <w:spacing w:after="0"/>
              <w:rPr>
                <w:sz w:val="20"/>
                <w:szCs w:val="20"/>
                <w:color w:val="auto"/>
              </w:rPr>
            </w:pPr>
            <w:r>
              <w:rPr>
                <w:rFonts w:ascii="Arial" w:cs="Arial" w:eastAsia="Arial" w:hAnsi="Arial"/>
                <w:sz w:val="17"/>
                <w:szCs w:val="17"/>
                <w:b w:val="1"/>
                <w:bCs w:val="1"/>
                <w:color w:val="auto"/>
                <w:w w:val="70"/>
              </w:rPr>
              <w:t> </w:t>
            </w:r>
          </w:p>
        </w:tc>
        <w:tc>
          <w:tcPr>
            <w:tcW w:w="360" w:type="dxa"/>
            <w:vAlign w:val="bottom"/>
          </w:tcPr>
          <w:p>
            <w:pPr>
              <w:ind w:left="160"/>
              <w:spacing w:after="0"/>
              <w:rPr>
                <w:sz w:val="20"/>
                <w:szCs w:val="20"/>
                <w:color w:val="auto"/>
              </w:rPr>
            </w:pPr>
            <w:r>
              <w:rPr>
                <w:rFonts w:ascii="Arial" w:cs="Arial" w:eastAsia="Arial" w:hAnsi="Arial"/>
                <w:sz w:val="25"/>
                <w:szCs w:val="25"/>
                <w:b w:val="1"/>
                <w:bCs w:val="1"/>
                <w:color w:val="auto"/>
                <w:w w:val="71"/>
              </w:rPr>
              <w:t> </w:t>
            </w:r>
          </w:p>
        </w:tc>
        <w:tc>
          <w:tcPr>
            <w:tcW w:w="320" w:type="dxa"/>
            <w:vAlign w:val="bottom"/>
          </w:tcPr>
          <w:p>
            <w:pPr>
              <w:ind w:left="120"/>
              <w:spacing w:after="0"/>
              <w:rPr>
                <w:sz w:val="20"/>
                <w:szCs w:val="20"/>
                <w:color w:val="auto"/>
              </w:rPr>
            </w:pPr>
            <w:r>
              <w:rPr>
                <w:rFonts w:ascii="Arial" w:cs="Arial" w:eastAsia="Arial" w:hAnsi="Arial"/>
                <w:sz w:val="25"/>
                <w:szCs w:val="25"/>
                <w:b w:val="1"/>
                <w:bCs w:val="1"/>
                <w:color w:val="auto"/>
                <w:w w:val="71"/>
              </w:rPr>
              <w:t> </w:t>
            </w:r>
          </w:p>
        </w:tc>
        <w:tc>
          <w:tcPr>
            <w:tcW w:w="320" w:type="dxa"/>
            <w:vAlign w:val="bottom"/>
          </w:tcPr>
          <w:p>
            <w:pPr>
              <w:ind w:left="120"/>
              <w:spacing w:after="0"/>
              <w:rPr>
                <w:sz w:val="20"/>
                <w:szCs w:val="20"/>
                <w:color w:val="auto"/>
              </w:rPr>
            </w:pPr>
            <w:r>
              <w:rPr>
                <w:rFonts w:ascii="Arial" w:cs="Arial" w:eastAsia="Arial" w:hAnsi="Arial"/>
                <w:sz w:val="25"/>
                <w:szCs w:val="25"/>
                <w:b w:val="1"/>
                <w:bCs w:val="1"/>
                <w:color w:val="auto"/>
                <w:w w:val="71"/>
              </w:rPr>
              <w:t> </w:t>
            </w:r>
          </w:p>
        </w:tc>
        <w:tc>
          <w:tcPr>
            <w:tcW w:w="300" w:type="dxa"/>
            <w:vAlign w:val="bottom"/>
          </w:tcPr>
          <w:p>
            <w:pPr>
              <w:ind w:left="100"/>
              <w:spacing w:after="0"/>
              <w:rPr>
                <w:sz w:val="20"/>
                <w:szCs w:val="20"/>
                <w:color w:val="auto"/>
              </w:rPr>
            </w:pPr>
            <w:r>
              <w:rPr>
                <w:rFonts w:ascii="Arial" w:cs="Arial" w:eastAsia="Arial" w:hAnsi="Arial"/>
                <w:sz w:val="25"/>
                <w:szCs w:val="25"/>
                <w:b w:val="1"/>
                <w:bCs w:val="1"/>
                <w:color w:val="auto"/>
                <w:w w:val="71"/>
              </w:rPr>
              <w:t> </w:t>
            </w:r>
          </w:p>
        </w:tc>
        <w:tc>
          <w:tcPr>
            <w:tcW w:w="4560" w:type="dxa"/>
            <w:vAlign w:val="bottom"/>
          </w:tcPr>
          <w:p>
            <w:pPr>
              <w:ind w:left="120"/>
              <w:spacing w:after="0"/>
              <w:rPr>
                <w:sz w:val="20"/>
                <w:szCs w:val="20"/>
                <w:color w:val="auto"/>
              </w:rPr>
            </w:pPr>
            <w:r>
              <w:rPr>
                <w:rFonts w:ascii="Arial" w:cs="Arial" w:eastAsia="Arial" w:hAnsi="Arial"/>
                <w:sz w:val="31"/>
                <w:szCs w:val="31"/>
                <w:b w:val="1"/>
                <w:bCs w:val="1"/>
                <w:color w:val="auto"/>
              </w:rPr>
              <w:t> limitless opportunities</w:t>
            </w:r>
          </w:p>
        </w:tc>
      </w:tr>
      <w:tr>
        <w:trPr>
          <w:trHeight w:val="364"/>
        </w:trPr>
        <w:tc>
          <w:tcPr>
            <w:tcW w:w="260" w:type="dxa"/>
            <w:vAlign w:val="bottom"/>
          </w:tcPr>
          <w:p>
            <w:pPr>
              <w:spacing w:after="0"/>
              <w:rPr>
                <w:sz w:val="20"/>
                <w:szCs w:val="20"/>
                <w:color w:val="auto"/>
              </w:rPr>
            </w:pPr>
            <w:r>
              <w:rPr>
                <w:rFonts w:ascii="Arial" w:cs="Arial" w:eastAsia="Arial" w:hAnsi="Arial"/>
                <w:sz w:val="31"/>
                <w:szCs w:val="31"/>
                <w:b w:val="1"/>
                <w:bCs w:val="1"/>
                <w:color w:val="auto"/>
                <w:w w:val="77"/>
              </w:rPr>
              <w:t> </w:t>
            </w:r>
          </w:p>
        </w:tc>
        <w:tc>
          <w:tcPr>
            <w:tcW w:w="260" w:type="dxa"/>
            <w:vAlign w:val="bottom"/>
          </w:tcPr>
          <w:p>
            <w:pPr>
              <w:ind w:left="60"/>
              <w:spacing w:after="0"/>
              <w:rPr>
                <w:sz w:val="20"/>
                <w:szCs w:val="20"/>
                <w:color w:val="auto"/>
              </w:rPr>
            </w:pPr>
            <w:r>
              <w:rPr>
                <w:rFonts w:ascii="Arial" w:cs="Arial" w:eastAsia="Arial" w:hAnsi="Arial"/>
                <w:sz w:val="25"/>
                <w:szCs w:val="25"/>
                <w:b w:val="1"/>
                <w:bCs w:val="1"/>
                <w:color w:val="auto"/>
                <w:w w:val="71"/>
              </w:rPr>
              <w:t> </w:t>
            </w:r>
          </w:p>
        </w:tc>
        <w:tc>
          <w:tcPr>
            <w:tcW w:w="400" w:type="dxa"/>
            <w:vAlign w:val="bottom"/>
          </w:tcPr>
          <w:p>
            <w:pPr>
              <w:ind w:left="100"/>
              <w:spacing w:after="0"/>
              <w:rPr>
                <w:sz w:val="20"/>
                <w:szCs w:val="20"/>
                <w:color w:val="auto"/>
              </w:rPr>
            </w:pPr>
            <w:r>
              <w:rPr>
                <w:rFonts w:ascii="Arial" w:cs="Arial" w:eastAsia="Arial" w:hAnsi="Arial"/>
                <w:sz w:val="31"/>
                <w:szCs w:val="31"/>
                <w:b w:val="1"/>
                <w:bCs w:val="1"/>
                <w:color w:val="auto"/>
                <w:w w:val="90"/>
              </w:rPr>
              <w:t> </w:t>
            </w:r>
          </w:p>
        </w:tc>
        <w:tc>
          <w:tcPr>
            <w:tcW w:w="220" w:type="dxa"/>
            <w:vAlign w:val="bottom"/>
          </w:tcPr>
          <w:p>
            <w:pPr>
              <w:ind w:left="20"/>
              <w:spacing w:after="0"/>
              <w:rPr>
                <w:sz w:val="20"/>
                <w:szCs w:val="20"/>
                <w:color w:val="auto"/>
              </w:rPr>
            </w:pPr>
            <w:r>
              <w:rPr>
                <w:rFonts w:ascii="Arial" w:cs="Arial" w:eastAsia="Arial" w:hAnsi="Arial"/>
                <w:sz w:val="25"/>
                <w:szCs w:val="25"/>
                <w:b w:val="1"/>
                <w:bCs w:val="1"/>
                <w:color w:val="auto"/>
                <w:w w:val="71"/>
              </w:rPr>
              <w:t> </w:t>
            </w:r>
          </w:p>
        </w:tc>
        <w:tc>
          <w:tcPr>
            <w:tcW w:w="220" w:type="dxa"/>
            <w:vAlign w:val="bottom"/>
          </w:tcPr>
          <w:p>
            <w:pPr>
              <w:ind w:left="120"/>
              <w:spacing w:after="0"/>
              <w:rPr>
                <w:sz w:val="20"/>
                <w:szCs w:val="20"/>
                <w:color w:val="auto"/>
              </w:rPr>
            </w:pPr>
            <w:r>
              <w:rPr>
                <w:rFonts w:ascii="Arial" w:cs="Arial" w:eastAsia="Arial" w:hAnsi="Arial"/>
                <w:sz w:val="11"/>
                <w:szCs w:val="11"/>
                <w:b w:val="1"/>
                <w:bCs w:val="1"/>
                <w:color w:val="auto"/>
                <w:w w:val="72"/>
              </w:rPr>
              <w:t> </w:t>
            </w:r>
          </w:p>
        </w:tc>
        <w:tc>
          <w:tcPr>
            <w:tcW w:w="400" w:type="dxa"/>
            <w:vAlign w:val="bottom"/>
          </w:tcPr>
          <w:p>
            <w:pPr>
              <w:ind w:left="200"/>
              <w:spacing w:after="0"/>
              <w:rPr>
                <w:sz w:val="20"/>
                <w:szCs w:val="20"/>
                <w:color w:val="auto"/>
              </w:rPr>
            </w:pPr>
            <w:r>
              <w:rPr>
                <w:rFonts w:ascii="Arial" w:cs="Arial" w:eastAsia="Arial" w:hAnsi="Arial"/>
                <w:sz w:val="25"/>
                <w:szCs w:val="25"/>
                <w:b w:val="1"/>
                <w:bCs w:val="1"/>
                <w:color w:val="auto"/>
                <w:w w:val="71"/>
              </w:rPr>
              <w:t> </w:t>
            </w:r>
          </w:p>
        </w:tc>
        <w:tc>
          <w:tcPr>
            <w:tcW w:w="260" w:type="dxa"/>
            <w:vAlign w:val="bottom"/>
          </w:tcPr>
          <w:p>
            <w:pPr>
              <w:ind w:left="120"/>
              <w:spacing w:after="0"/>
              <w:rPr>
                <w:sz w:val="20"/>
                <w:szCs w:val="20"/>
                <w:color w:val="auto"/>
              </w:rPr>
            </w:pPr>
            <w:r>
              <w:rPr>
                <w:rFonts w:ascii="Arial" w:cs="Arial" w:eastAsia="Arial" w:hAnsi="Arial"/>
                <w:sz w:val="17"/>
                <w:szCs w:val="17"/>
                <w:b w:val="1"/>
                <w:bCs w:val="1"/>
                <w:color w:val="auto"/>
                <w:w w:val="70"/>
              </w:rPr>
              <w:t> </w:t>
            </w:r>
          </w:p>
        </w:tc>
        <w:tc>
          <w:tcPr>
            <w:tcW w:w="360" w:type="dxa"/>
            <w:vAlign w:val="bottom"/>
          </w:tcPr>
          <w:p>
            <w:pPr>
              <w:ind w:left="160"/>
              <w:spacing w:after="0"/>
              <w:rPr>
                <w:sz w:val="20"/>
                <w:szCs w:val="20"/>
                <w:color w:val="auto"/>
              </w:rPr>
            </w:pPr>
            <w:r>
              <w:rPr>
                <w:rFonts w:ascii="Arial" w:cs="Arial" w:eastAsia="Arial" w:hAnsi="Arial"/>
                <w:sz w:val="25"/>
                <w:szCs w:val="25"/>
                <w:b w:val="1"/>
                <w:bCs w:val="1"/>
                <w:color w:val="auto"/>
                <w:w w:val="71"/>
              </w:rPr>
              <w:t> </w:t>
            </w:r>
          </w:p>
        </w:tc>
        <w:tc>
          <w:tcPr>
            <w:tcW w:w="320" w:type="dxa"/>
            <w:vAlign w:val="bottom"/>
          </w:tcPr>
          <w:p>
            <w:pPr>
              <w:ind w:left="120"/>
              <w:spacing w:after="0"/>
              <w:rPr>
                <w:sz w:val="20"/>
                <w:szCs w:val="20"/>
                <w:color w:val="auto"/>
              </w:rPr>
            </w:pPr>
            <w:r>
              <w:rPr>
                <w:rFonts w:ascii="Arial" w:cs="Arial" w:eastAsia="Arial" w:hAnsi="Arial"/>
                <w:sz w:val="25"/>
                <w:szCs w:val="25"/>
                <w:b w:val="1"/>
                <w:bCs w:val="1"/>
                <w:color w:val="auto"/>
                <w:w w:val="71"/>
              </w:rPr>
              <w:t> </w:t>
            </w:r>
          </w:p>
        </w:tc>
        <w:tc>
          <w:tcPr>
            <w:tcW w:w="320" w:type="dxa"/>
            <w:vAlign w:val="bottom"/>
          </w:tcPr>
          <w:p>
            <w:pPr>
              <w:ind w:left="120"/>
              <w:spacing w:after="0"/>
              <w:rPr>
                <w:sz w:val="20"/>
                <w:szCs w:val="20"/>
                <w:color w:val="auto"/>
              </w:rPr>
            </w:pPr>
            <w:r>
              <w:rPr>
                <w:rFonts w:ascii="Arial" w:cs="Arial" w:eastAsia="Arial" w:hAnsi="Arial"/>
                <w:sz w:val="25"/>
                <w:szCs w:val="25"/>
                <w:b w:val="1"/>
                <w:bCs w:val="1"/>
                <w:color w:val="auto"/>
                <w:w w:val="71"/>
              </w:rPr>
              <w:t> </w:t>
            </w:r>
          </w:p>
        </w:tc>
        <w:tc>
          <w:tcPr>
            <w:tcW w:w="4860" w:type="dxa"/>
            <w:vAlign w:val="bottom"/>
            <w:gridSpan w:val="2"/>
          </w:tcPr>
          <w:p>
            <w:pPr>
              <w:ind w:left="100"/>
              <w:spacing w:after="0"/>
              <w:rPr>
                <w:sz w:val="20"/>
                <w:szCs w:val="20"/>
                <w:color w:val="auto"/>
              </w:rPr>
            </w:pPr>
            <w:r>
              <w:rPr>
                <w:rFonts w:ascii="Arial" w:cs="Arial" w:eastAsia="Arial" w:hAnsi="Arial"/>
                <w:sz w:val="31"/>
                <w:szCs w:val="31"/>
                <w:b w:val="1"/>
                <w:bCs w:val="1"/>
                <w:color w:val="auto"/>
              </w:rPr>
              <w:t>    and growth by connecting</w:t>
            </w:r>
          </w:p>
        </w:tc>
      </w:tr>
      <w:tr>
        <w:trPr>
          <w:trHeight w:val="364"/>
        </w:trPr>
        <w:tc>
          <w:tcPr>
            <w:tcW w:w="260" w:type="dxa"/>
            <w:vAlign w:val="bottom"/>
          </w:tcPr>
          <w:p>
            <w:pPr>
              <w:spacing w:after="0"/>
              <w:rPr>
                <w:sz w:val="20"/>
                <w:szCs w:val="20"/>
                <w:color w:val="auto"/>
              </w:rPr>
            </w:pPr>
            <w:r>
              <w:rPr>
                <w:rFonts w:ascii="Arial" w:cs="Arial" w:eastAsia="Arial" w:hAnsi="Arial"/>
                <w:sz w:val="31"/>
                <w:szCs w:val="31"/>
                <w:b w:val="1"/>
                <w:bCs w:val="1"/>
                <w:color w:val="auto"/>
                <w:w w:val="77"/>
              </w:rPr>
              <w:t> </w:t>
            </w:r>
          </w:p>
        </w:tc>
        <w:tc>
          <w:tcPr>
            <w:tcW w:w="260" w:type="dxa"/>
            <w:vAlign w:val="bottom"/>
          </w:tcPr>
          <w:p>
            <w:pPr>
              <w:ind w:left="60"/>
              <w:spacing w:after="0"/>
              <w:rPr>
                <w:sz w:val="20"/>
                <w:szCs w:val="20"/>
                <w:color w:val="auto"/>
              </w:rPr>
            </w:pPr>
            <w:r>
              <w:rPr>
                <w:rFonts w:ascii="Arial" w:cs="Arial" w:eastAsia="Arial" w:hAnsi="Arial"/>
                <w:sz w:val="25"/>
                <w:szCs w:val="25"/>
                <w:b w:val="1"/>
                <w:bCs w:val="1"/>
                <w:color w:val="auto"/>
                <w:w w:val="71"/>
              </w:rPr>
              <w:t> </w:t>
            </w:r>
          </w:p>
        </w:tc>
        <w:tc>
          <w:tcPr>
            <w:tcW w:w="400" w:type="dxa"/>
            <w:vAlign w:val="bottom"/>
          </w:tcPr>
          <w:p>
            <w:pPr>
              <w:ind w:left="100"/>
              <w:spacing w:after="0"/>
              <w:rPr>
                <w:sz w:val="20"/>
                <w:szCs w:val="20"/>
                <w:color w:val="auto"/>
              </w:rPr>
            </w:pPr>
            <w:r>
              <w:rPr>
                <w:rFonts w:ascii="Arial" w:cs="Arial" w:eastAsia="Arial" w:hAnsi="Arial"/>
                <w:sz w:val="31"/>
                <w:szCs w:val="31"/>
                <w:b w:val="1"/>
                <w:bCs w:val="1"/>
                <w:color w:val="auto"/>
                <w:w w:val="90"/>
              </w:rPr>
              <w:t> </w:t>
            </w:r>
          </w:p>
        </w:tc>
        <w:tc>
          <w:tcPr>
            <w:tcW w:w="220" w:type="dxa"/>
            <w:vAlign w:val="bottom"/>
          </w:tcPr>
          <w:p>
            <w:pPr>
              <w:ind w:left="20"/>
              <w:spacing w:after="0"/>
              <w:rPr>
                <w:sz w:val="20"/>
                <w:szCs w:val="20"/>
                <w:color w:val="auto"/>
              </w:rPr>
            </w:pPr>
            <w:r>
              <w:rPr>
                <w:rFonts w:ascii="Arial" w:cs="Arial" w:eastAsia="Arial" w:hAnsi="Arial"/>
                <w:sz w:val="25"/>
                <w:szCs w:val="25"/>
                <w:b w:val="1"/>
                <w:bCs w:val="1"/>
                <w:color w:val="auto"/>
                <w:w w:val="71"/>
              </w:rPr>
              <w:t> </w:t>
            </w:r>
          </w:p>
        </w:tc>
        <w:tc>
          <w:tcPr>
            <w:tcW w:w="220" w:type="dxa"/>
            <w:vAlign w:val="bottom"/>
          </w:tcPr>
          <w:p>
            <w:pPr>
              <w:ind w:left="120"/>
              <w:spacing w:after="0"/>
              <w:rPr>
                <w:sz w:val="20"/>
                <w:szCs w:val="20"/>
                <w:color w:val="auto"/>
              </w:rPr>
            </w:pPr>
            <w:r>
              <w:rPr>
                <w:rFonts w:ascii="Arial" w:cs="Arial" w:eastAsia="Arial" w:hAnsi="Arial"/>
                <w:sz w:val="11"/>
                <w:szCs w:val="11"/>
                <w:b w:val="1"/>
                <w:bCs w:val="1"/>
                <w:color w:val="auto"/>
                <w:w w:val="72"/>
              </w:rPr>
              <w:t> </w:t>
            </w:r>
          </w:p>
        </w:tc>
        <w:tc>
          <w:tcPr>
            <w:tcW w:w="400" w:type="dxa"/>
            <w:vAlign w:val="bottom"/>
          </w:tcPr>
          <w:p>
            <w:pPr>
              <w:ind w:left="200"/>
              <w:spacing w:after="0"/>
              <w:rPr>
                <w:sz w:val="20"/>
                <w:szCs w:val="20"/>
                <w:color w:val="auto"/>
              </w:rPr>
            </w:pPr>
            <w:r>
              <w:rPr>
                <w:rFonts w:ascii="Arial" w:cs="Arial" w:eastAsia="Arial" w:hAnsi="Arial"/>
                <w:sz w:val="25"/>
                <w:szCs w:val="25"/>
                <w:b w:val="1"/>
                <w:bCs w:val="1"/>
                <w:color w:val="auto"/>
                <w:w w:val="71"/>
              </w:rPr>
              <w:t> </w:t>
            </w:r>
          </w:p>
        </w:tc>
        <w:tc>
          <w:tcPr>
            <w:tcW w:w="260" w:type="dxa"/>
            <w:vAlign w:val="bottom"/>
          </w:tcPr>
          <w:p>
            <w:pPr>
              <w:ind w:left="120"/>
              <w:spacing w:after="0"/>
              <w:rPr>
                <w:sz w:val="20"/>
                <w:szCs w:val="20"/>
                <w:color w:val="auto"/>
              </w:rPr>
            </w:pPr>
            <w:r>
              <w:rPr>
                <w:rFonts w:ascii="Arial" w:cs="Arial" w:eastAsia="Arial" w:hAnsi="Arial"/>
                <w:sz w:val="17"/>
                <w:szCs w:val="17"/>
                <w:b w:val="1"/>
                <w:bCs w:val="1"/>
                <w:color w:val="auto"/>
                <w:w w:val="70"/>
              </w:rPr>
              <w:t> </w:t>
            </w:r>
          </w:p>
        </w:tc>
        <w:tc>
          <w:tcPr>
            <w:tcW w:w="360" w:type="dxa"/>
            <w:vAlign w:val="bottom"/>
          </w:tcPr>
          <w:p>
            <w:pPr>
              <w:ind w:left="160"/>
              <w:spacing w:after="0"/>
              <w:rPr>
                <w:sz w:val="20"/>
                <w:szCs w:val="20"/>
                <w:color w:val="auto"/>
              </w:rPr>
            </w:pPr>
            <w:r>
              <w:rPr>
                <w:rFonts w:ascii="Arial" w:cs="Arial" w:eastAsia="Arial" w:hAnsi="Arial"/>
                <w:sz w:val="25"/>
                <w:szCs w:val="25"/>
                <w:b w:val="1"/>
                <w:bCs w:val="1"/>
                <w:color w:val="auto"/>
                <w:w w:val="71"/>
              </w:rPr>
              <w:t> </w:t>
            </w:r>
          </w:p>
        </w:tc>
        <w:tc>
          <w:tcPr>
            <w:tcW w:w="320" w:type="dxa"/>
            <w:vAlign w:val="bottom"/>
          </w:tcPr>
          <w:p>
            <w:pPr>
              <w:ind w:left="120"/>
              <w:spacing w:after="0"/>
              <w:rPr>
                <w:sz w:val="20"/>
                <w:szCs w:val="20"/>
                <w:color w:val="auto"/>
              </w:rPr>
            </w:pPr>
            <w:r>
              <w:rPr>
                <w:rFonts w:ascii="Arial" w:cs="Arial" w:eastAsia="Arial" w:hAnsi="Arial"/>
                <w:sz w:val="25"/>
                <w:szCs w:val="25"/>
                <w:b w:val="1"/>
                <w:bCs w:val="1"/>
                <w:color w:val="auto"/>
                <w:w w:val="71"/>
              </w:rPr>
              <w:t> </w:t>
            </w:r>
          </w:p>
        </w:tc>
        <w:tc>
          <w:tcPr>
            <w:tcW w:w="320" w:type="dxa"/>
            <w:vAlign w:val="bottom"/>
          </w:tcPr>
          <w:p>
            <w:pPr>
              <w:ind w:left="120"/>
              <w:spacing w:after="0"/>
              <w:rPr>
                <w:sz w:val="20"/>
                <w:szCs w:val="20"/>
                <w:color w:val="auto"/>
              </w:rPr>
            </w:pPr>
            <w:r>
              <w:rPr>
                <w:rFonts w:ascii="Arial" w:cs="Arial" w:eastAsia="Arial" w:hAnsi="Arial"/>
                <w:sz w:val="25"/>
                <w:szCs w:val="25"/>
                <w:b w:val="1"/>
                <w:bCs w:val="1"/>
                <w:color w:val="auto"/>
                <w:w w:val="71"/>
              </w:rPr>
              <w:t> </w:t>
            </w:r>
          </w:p>
        </w:tc>
        <w:tc>
          <w:tcPr>
            <w:tcW w:w="300" w:type="dxa"/>
            <w:vAlign w:val="bottom"/>
          </w:tcPr>
          <w:p>
            <w:pPr>
              <w:ind w:left="100"/>
              <w:spacing w:after="0"/>
              <w:rPr>
                <w:sz w:val="20"/>
                <w:szCs w:val="20"/>
                <w:color w:val="auto"/>
              </w:rPr>
            </w:pPr>
            <w:r>
              <w:rPr>
                <w:rFonts w:ascii="Arial" w:cs="Arial" w:eastAsia="Arial" w:hAnsi="Arial"/>
                <w:sz w:val="25"/>
                <w:szCs w:val="25"/>
                <w:b w:val="1"/>
                <w:bCs w:val="1"/>
                <w:color w:val="auto"/>
                <w:w w:val="71"/>
              </w:rPr>
              <w:t> </w:t>
            </w:r>
          </w:p>
        </w:tc>
        <w:tc>
          <w:tcPr>
            <w:tcW w:w="4560" w:type="dxa"/>
            <w:vAlign w:val="bottom"/>
          </w:tcPr>
          <w:p>
            <w:pPr>
              <w:ind w:left="120"/>
              <w:spacing w:after="0"/>
              <w:rPr>
                <w:sz w:val="20"/>
                <w:szCs w:val="20"/>
                <w:color w:val="auto"/>
              </w:rPr>
            </w:pPr>
            <w:r>
              <w:rPr>
                <w:rFonts w:ascii="Arial" w:cs="Arial" w:eastAsia="Arial" w:hAnsi="Arial"/>
                <w:sz w:val="31"/>
                <w:szCs w:val="31"/>
                <w:b w:val="1"/>
                <w:bCs w:val="1"/>
                <w:color w:val="auto"/>
              </w:rPr>
              <w:t> organizations with specialty</w:t>
            </w:r>
          </w:p>
        </w:tc>
      </w:tr>
      <w:tr>
        <w:trPr>
          <w:trHeight w:val="431"/>
        </w:trPr>
        <w:tc>
          <w:tcPr>
            <w:tcW w:w="260" w:type="dxa"/>
            <w:vAlign w:val="bottom"/>
          </w:tcPr>
          <w:p>
            <w:pPr>
              <w:spacing w:after="0"/>
              <w:rPr>
                <w:sz w:val="20"/>
                <w:szCs w:val="20"/>
                <w:color w:val="auto"/>
              </w:rPr>
            </w:pPr>
            <w:r>
              <w:rPr>
                <w:rFonts w:ascii="Arial" w:cs="Arial" w:eastAsia="Arial" w:hAnsi="Arial"/>
                <w:sz w:val="31"/>
                <w:szCs w:val="31"/>
                <w:b w:val="1"/>
                <w:bCs w:val="1"/>
                <w:color w:val="auto"/>
                <w:w w:val="77"/>
              </w:rPr>
              <w:t> </w:t>
            </w:r>
          </w:p>
        </w:tc>
        <w:tc>
          <w:tcPr>
            <w:tcW w:w="260" w:type="dxa"/>
            <w:vAlign w:val="bottom"/>
          </w:tcPr>
          <w:p>
            <w:pPr>
              <w:ind w:left="60"/>
              <w:spacing w:after="0"/>
              <w:rPr>
                <w:sz w:val="20"/>
                <w:szCs w:val="20"/>
                <w:color w:val="auto"/>
              </w:rPr>
            </w:pPr>
            <w:r>
              <w:rPr>
                <w:rFonts w:ascii="Arial" w:cs="Arial" w:eastAsia="Arial" w:hAnsi="Arial"/>
                <w:sz w:val="25"/>
                <w:szCs w:val="25"/>
                <w:b w:val="1"/>
                <w:bCs w:val="1"/>
                <w:color w:val="auto"/>
                <w:w w:val="71"/>
              </w:rPr>
              <w:t> </w:t>
            </w:r>
          </w:p>
        </w:tc>
        <w:tc>
          <w:tcPr>
            <w:tcW w:w="400" w:type="dxa"/>
            <w:vAlign w:val="bottom"/>
          </w:tcPr>
          <w:p>
            <w:pPr>
              <w:ind w:left="100"/>
              <w:spacing w:after="0"/>
              <w:rPr>
                <w:sz w:val="20"/>
                <w:szCs w:val="20"/>
                <w:color w:val="auto"/>
              </w:rPr>
            </w:pPr>
            <w:r>
              <w:rPr>
                <w:rFonts w:ascii="Arial" w:cs="Arial" w:eastAsia="Arial" w:hAnsi="Arial"/>
                <w:sz w:val="31"/>
                <w:szCs w:val="31"/>
                <w:b w:val="1"/>
                <w:bCs w:val="1"/>
                <w:color w:val="auto"/>
                <w:w w:val="90"/>
              </w:rPr>
              <w:t> </w:t>
            </w:r>
          </w:p>
        </w:tc>
        <w:tc>
          <w:tcPr>
            <w:tcW w:w="220" w:type="dxa"/>
            <w:vAlign w:val="bottom"/>
          </w:tcPr>
          <w:p>
            <w:pPr>
              <w:ind w:left="20"/>
              <w:spacing w:after="0"/>
              <w:rPr>
                <w:sz w:val="20"/>
                <w:szCs w:val="20"/>
                <w:color w:val="auto"/>
              </w:rPr>
            </w:pPr>
            <w:r>
              <w:rPr>
                <w:rFonts w:ascii="Arial" w:cs="Arial" w:eastAsia="Arial" w:hAnsi="Arial"/>
                <w:sz w:val="25"/>
                <w:szCs w:val="25"/>
                <w:b w:val="1"/>
                <w:bCs w:val="1"/>
                <w:color w:val="auto"/>
                <w:w w:val="71"/>
              </w:rPr>
              <w:t> </w:t>
            </w:r>
          </w:p>
        </w:tc>
        <w:tc>
          <w:tcPr>
            <w:tcW w:w="220" w:type="dxa"/>
            <w:vAlign w:val="bottom"/>
          </w:tcPr>
          <w:p>
            <w:pPr>
              <w:ind w:left="120"/>
              <w:spacing w:after="0"/>
              <w:rPr>
                <w:sz w:val="20"/>
                <w:szCs w:val="20"/>
                <w:color w:val="auto"/>
              </w:rPr>
            </w:pPr>
            <w:r>
              <w:rPr>
                <w:rFonts w:ascii="Arial" w:cs="Arial" w:eastAsia="Arial" w:hAnsi="Arial"/>
                <w:sz w:val="11"/>
                <w:szCs w:val="11"/>
                <w:b w:val="1"/>
                <w:bCs w:val="1"/>
                <w:color w:val="auto"/>
                <w:w w:val="72"/>
              </w:rPr>
              <w:t> </w:t>
            </w:r>
          </w:p>
        </w:tc>
        <w:tc>
          <w:tcPr>
            <w:tcW w:w="400" w:type="dxa"/>
            <w:vAlign w:val="bottom"/>
          </w:tcPr>
          <w:p>
            <w:pPr>
              <w:ind w:left="200"/>
              <w:spacing w:after="0"/>
              <w:rPr>
                <w:sz w:val="20"/>
                <w:szCs w:val="20"/>
                <w:color w:val="auto"/>
              </w:rPr>
            </w:pPr>
            <w:r>
              <w:rPr>
                <w:rFonts w:ascii="Arial" w:cs="Arial" w:eastAsia="Arial" w:hAnsi="Arial"/>
                <w:sz w:val="25"/>
                <w:szCs w:val="25"/>
                <w:b w:val="1"/>
                <w:bCs w:val="1"/>
                <w:color w:val="auto"/>
                <w:w w:val="71"/>
              </w:rPr>
              <w:t> </w:t>
            </w:r>
          </w:p>
        </w:tc>
        <w:tc>
          <w:tcPr>
            <w:tcW w:w="260" w:type="dxa"/>
            <w:vAlign w:val="bottom"/>
          </w:tcPr>
          <w:p>
            <w:pPr>
              <w:ind w:left="120"/>
              <w:spacing w:after="0"/>
              <w:rPr>
                <w:sz w:val="20"/>
                <w:szCs w:val="20"/>
                <w:color w:val="auto"/>
              </w:rPr>
            </w:pPr>
            <w:r>
              <w:rPr>
                <w:rFonts w:ascii="Arial" w:cs="Arial" w:eastAsia="Arial" w:hAnsi="Arial"/>
                <w:sz w:val="17"/>
                <w:szCs w:val="17"/>
                <w:b w:val="1"/>
                <w:bCs w:val="1"/>
                <w:color w:val="auto"/>
                <w:w w:val="70"/>
              </w:rPr>
              <w:t> </w:t>
            </w:r>
          </w:p>
        </w:tc>
        <w:tc>
          <w:tcPr>
            <w:tcW w:w="360" w:type="dxa"/>
            <w:vAlign w:val="bottom"/>
          </w:tcPr>
          <w:p>
            <w:pPr>
              <w:ind w:left="160"/>
              <w:spacing w:after="0"/>
              <w:rPr>
                <w:sz w:val="20"/>
                <w:szCs w:val="20"/>
                <w:color w:val="auto"/>
              </w:rPr>
            </w:pPr>
            <w:r>
              <w:rPr>
                <w:rFonts w:ascii="Arial" w:cs="Arial" w:eastAsia="Arial" w:hAnsi="Arial"/>
                <w:sz w:val="25"/>
                <w:szCs w:val="25"/>
                <w:b w:val="1"/>
                <w:bCs w:val="1"/>
                <w:color w:val="auto"/>
                <w:w w:val="71"/>
              </w:rPr>
              <w:t> </w:t>
            </w:r>
          </w:p>
        </w:tc>
        <w:tc>
          <w:tcPr>
            <w:tcW w:w="320" w:type="dxa"/>
            <w:vAlign w:val="bottom"/>
          </w:tcPr>
          <w:p>
            <w:pPr>
              <w:ind w:left="120"/>
              <w:spacing w:after="0"/>
              <w:rPr>
                <w:sz w:val="20"/>
                <w:szCs w:val="20"/>
                <w:color w:val="auto"/>
              </w:rPr>
            </w:pPr>
            <w:r>
              <w:rPr>
                <w:rFonts w:ascii="Arial" w:cs="Arial" w:eastAsia="Arial" w:hAnsi="Arial"/>
                <w:sz w:val="25"/>
                <w:szCs w:val="25"/>
                <w:b w:val="1"/>
                <w:bCs w:val="1"/>
                <w:color w:val="auto"/>
                <w:w w:val="71"/>
              </w:rPr>
              <w:t> </w:t>
            </w:r>
          </w:p>
        </w:tc>
        <w:tc>
          <w:tcPr>
            <w:tcW w:w="320" w:type="dxa"/>
            <w:vAlign w:val="bottom"/>
          </w:tcPr>
          <w:p>
            <w:pPr>
              <w:ind w:left="120"/>
              <w:spacing w:after="0"/>
              <w:rPr>
                <w:sz w:val="20"/>
                <w:szCs w:val="20"/>
                <w:color w:val="auto"/>
              </w:rPr>
            </w:pPr>
            <w:r>
              <w:rPr>
                <w:rFonts w:ascii="Arial" w:cs="Arial" w:eastAsia="Arial" w:hAnsi="Arial"/>
                <w:sz w:val="25"/>
                <w:szCs w:val="25"/>
                <w:b w:val="1"/>
                <w:bCs w:val="1"/>
                <w:color w:val="auto"/>
                <w:w w:val="71"/>
              </w:rPr>
              <w:t> </w:t>
            </w:r>
          </w:p>
        </w:tc>
        <w:tc>
          <w:tcPr>
            <w:tcW w:w="300" w:type="dxa"/>
            <w:vAlign w:val="bottom"/>
          </w:tcPr>
          <w:p>
            <w:pPr>
              <w:ind w:left="100"/>
              <w:spacing w:after="0"/>
              <w:rPr>
                <w:sz w:val="20"/>
                <w:szCs w:val="20"/>
                <w:color w:val="auto"/>
              </w:rPr>
            </w:pPr>
            <w:r>
              <w:rPr>
                <w:rFonts w:ascii="Arial" w:cs="Arial" w:eastAsia="Arial" w:hAnsi="Arial"/>
                <w:sz w:val="25"/>
                <w:szCs w:val="25"/>
                <w:b w:val="1"/>
                <w:bCs w:val="1"/>
                <w:color w:val="auto"/>
                <w:w w:val="71"/>
              </w:rPr>
              <w:t> </w:t>
            </w:r>
          </w:p>
        </w:tc>
        <w:tc>
          <w:tcPr>
            <w:tcW w:w="4560" w:type="dxa"/>
            <w:vAlign w:val="bottom"/>
          </w:tcPr>
          <w:p>
            <w:pPr>
              <w:ind w:left="120"/>
              <w:spacing w:after="0"/>
              <w:rPr>
                <w:sz w:val="20"/>
                <w:szCs w:val="20"/>
                <w:color w:val="auto"/>
              </w:rPr>
            </w:pPr>
            <w:r>
              <w:rPr>
                <w:rFonts w:ascii="Arial" w:cs="Arial" w:eastAsia="Arial" w:hAnsi="Arial"/>
                <w:sz w:val="31"/>
                <w:szCs w:val="31"/>
                <w:b w:val="1"/>
                <w:bCs w:val="1"/>
                <w:color w:val="auto"/>
              </w:rPr>
              <w:t> talent.</w:t>
            </w:r>
          </w:p>
        </w:tc>
      </w:tr>
    </w:tbl>
    <w:p>
      <w:pPr>
        <w:sectPr>
          <w:pgSz w:w="11900" w:h="16838" w:orient="portrait"/>
          <w:cols w:equalWidth="0" w:num="1">
            <w:col w:w="10139"/>
          </w:cols>
          <w:pgMar w:left="320" w:top="47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78" w:lineRule="exact"/>
        <w:rPr>
          <w:sz w:val="20"/>
          <w:szCs w:val="20"/>
          <w:color w:val="auto"/>
        </w:rPr>
      </w:pPr>
    </w:p>
    <w:p>
      <w:pPr>
        <w:jc w:val="right"/>
        <w:ind w:right="1860"/>
        <w:spacing w:after="0"/>
        <w:rPr>
          <w:sz w:val="20"/>
          <w:szCs w:val="20"/>
          <w:color w:val="auto"/>
        </w:rPr>
      </w:pPr>
      <w:r>
        <w:rPr>
          <w:rFonts w:ascii="Arial" w:cs="Arial" w:eastAsia="Arial" w:hAnsi="Arial"/>
          <w:sz w:val="64"/>
          <w:szCs w:val="64"/>
          <w:b w:val="1"/>
          <w:bCs w:val="1"/>
          <w:color w:val="auto"/>
        </w:rPr>
        <w:t>Letter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-413385</wp:posOffset>
            </wp:positionV>
            <wp:extent cx="875665" cy="528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75665" cy="5289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       </w:t>
      </w:r>
    </w:p>
    <w:p>
      <w:pPr>
        <w:spacing w:after="0" w:line="3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April 15, 2024</w:t>
      </w:r>
    </w:p>
    <w:p>
      <w:pPr>
        <w:sectPr>
          <w:pgSz w:w="11900" w:h="16838" w:orient="portrait"/>
          <w:cols w:equalWidth="0" w:num="1">
            <w:col w:w="10900"/>
          </w:cols>
          <w:pgMar w:left="320" w:top="471" w:right="679" w:bottom="1440" w:gutter="0" w:footer="0" w:header="0"/>
        </w:sectPr>
      </w:pPr>
    </w:p>
    <w:p>
      <w:pPr>
        <w:spacing w:after="0" w:line="236"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auto"/>
        </w:rPr>
        <w:t>Dear Shareholders,</w:t>
      </w:r>
    </w:p>
    <w:p>
      <w:pPr>
        <w:spacing w:after="0" w:line="145" w:lineRule="exact"/>
        <w:rPr>
          <w:sz w:val="20"/>
          <w:szCs w:val="20"/>
          <w:color w:val="auto"/>
        </w:rPr>
      </w:pPr>
    </w:p>
    <w:p>
      <w:pPr>
        <w:ind w:left="320"/>
        <w:spacing w:after="0" w:line="241" w:lineRule="auto"/>
        <w:rPr>
          <w:sz w:val="20"/>
          <w:szCs w:val="20"/>
          <w:color w:val="auto"/>
        </w:rPr>
      </w:pPr>
      <w:r>
        <w:rPr>
          <w:rFonts w:ascii="Arial" w:cs="Arial" w:eastAsia="Arial" w:hAnsi="Arial"/>
          <w:sz w:val="16"/>
          <w:szCs w:val="16"/>
          <w:color w:val="auto"/>
        </w:rPr>
        <w:t>2023 marked a year of transformative action as we set out to build upon the progress we have achieved on Kelly’s specialty growth journey during the last three years. We began the year with a clear vision for the company’s future defined by significantly improved profitability, sustainable growth, and greater value creation for all stakeholders. Notwithstanding ongoing macroeconomic uncertainty, we focused on what we can control, steering the company through a challenging operating environment while executing on our vision with urgency and agility.</w:t>
      </w:r>
    </w:p>
    <w:p>
      <w:pPr>
        <w:spacing w:after="0" w:line="41" w:lineRule="exact"/>
        <w:rPr>
          <w:sz w:val="20"/>
          <w:szCs w:val="20"/>
          <w:color w:val="auto"/>
        </w:rPr>
      </w:pPr>
    </w:p>
    <w:p>
      <w:pPr>
        <w:ind w:left="320" w:right="60"/>
        <w:spacing w:after="0" w:line="275" w:lineRule="auto"/>
        <w:rPr>
          <w:sz w:val="20"/>
          <w:szCs w:val="20"/>
          <w:color w:val="auto"/>
        </w:rPr>
      </w:pPr>
      <w:r>
        <w:rPr>
          <w:rFonts w:ascii="Arial" w:cs="Arial" w:eastAsia="Arial" w:hAnsi="Arial"/>
          <w:sz w:val="14"/>
          <w:szCs w:val="14"/>
          <w:color w:val="auto"/>
        </w:rPr>
        <w:t>Amid persistent headwinds that impacted demand for staffing and recruitment process outsourcing services in Science, Engineering &amp; Technology, Professional &amp; Industrial, and Outsourcing &amp; Consulting, we captured growth in more resilient markets. Kelly Education continued to be a high-performing asset within the company’s portfolio, growing</w:t>
      </w:r>
    </w:p>
    <w:p>
      <w:pPr>
        <w:spacing w:after="0" w:line="2" w:lineRule="exact"/>
        <w:rPr>
          <w:sz w:val="20"/>
          <w:szCs w:val="20"/>
          <w:color w:val="auto"/>
        </w:rPr>
      </w:pPr>
    </w:p>
    <w:p>
      <w:pPr>
        <w:ind w:left="320" w:right="40"/>
        <w:spacing w:after="0"/>
        <w:rPr>
          <w:sz w:val="20"/>
          <w:szCs w:val="20"/>
          <w:color w:val="auto"/>
        </w:rPr>
      </w:pPr>
      <w:r>
        <w:rPr>
          <w:rFonts w:ascii="Arial" w:cs="Arial" w:eastAsia="Arial" w:hAnsi="Arial"/>
          <w:sz w:val="16"/>
          <w:szCs w:val="16"/>
          <w:color w:val="auto"/>
        </w:rPr>
        <w:t>27 percent through improved fill rates, strong demand from existing customers, and new customer wins. In Professional &amp; Industrial, revenue from higher-margin outcome-based solutions also increased as demand for value-added services remained steady.</w:t>
      </w:r>
    </w:p>
    <w:p>
      <w:pPr>
        <w:spacing w:after="0" w:line="44" w:lineRule="exact"/>
        <w:rPr>
          <w:sz w:val="20"/>
          <w:szCs w:val="20"/>
          <w:color w:val="auto"/>
        </w:rPr>
      </w:pPr>
    </w:p>
    <w:p>
      <w:pPr>
        <w:ind w:left="320" w:right="20"/>
        <w:spacing w:after="0" w:line="279" w:lineRule="auto"/>
        <w:rPr>
          <w:sz w:val="20"/>
          <w:szCs w:val="20"/>
          <w:color w:val="auto"/>
        </w:rPr>
      </w:pPr>
      <w:r>
        <w:rPr>
          <w:rFonts w:ascii="Arial" w:cs="Arial" w:eastAsia="Arial" w:hAnsi="Arial"/>
          <w:sz w:val="14"/>
          <w:szCs w:val="14"/>
          <w:color w:val="auto"/>
        </w:rPr>
        <w:t>Concurrent with our focus on driving results in the near term, we kept an eye trained on the future as well, reviewing our long-term growth and efficiency objectives to identify opportunities to accelerate progress on our specialty growth journey. As a result of the review, Kelly announced a comprehensive transformation initiative to optimize operations in a sustainable manner, unlock additional value-creating opportunities, and accelerate profitable growth. As part of the initiative, we committed to making long-term, structural improvements across the enterprise to significantly improve Kelly’s EBITDA margin. Following careful analysis, we took swift and decisive action to deliver on our commitment.</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Driving Efficiency and Effectiveness</w:t>
      </w:r>
    </w:p>
    <w:p>
      <w:pPr>
        <w:spacing w:after="0" w:line="71" w:lineRule="exact"/>
        <w:rPr>
          <w:sz w:val="20"/>
          <w:szCs w:val="20"/>
          <w:color w:val="auto"/>
        </w:rPr>
      </w:pPr>
    </w:p>
    <w:p>
      <w:pPr>
        <w:ind w:left="320" w:right="520"/>
        <w:spacing w:after="0" w:line="265" w:lineRule="auto"/>
        <w:rPr>
          <w:sz w:val="20"/>
          <w:szCs w:val="20"/>
          <w:color w:val="auto"/>
        </w:rPr>
      </w:pPr>
      <w:r>
        <w:rPr>
          <w:rFonts w:ascii="Arial" w:cs="Arial" w:eastAsia="Arial" w:hAnsi="Arial"/>
          <w:sz w:val="16"/>
          <w:szCs w:val="16"/>
          <w:color w:val="auto"/>
        </w:rPr>
        <w:t>In July, we implemented strategic restructuring actions that further streamlined Kelly’s operating model. Among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actions: simplifying Kelly’s organizational structure, renegotiating supplier agreements; and revamping the company’s performance management process. We also made the difficult decision to implement a workforce reduction plan to align our resources with new ways of working. These actions delivered a structural reduction in the company’s cost base and accordingly, a significant improvement to EBITDA margin, ending the year at 2.6 percent on an adjusted basis. We are committed to sustaining these efficiencies and have established controls to provide visibility into resources and expenses across the company.</w:t>
      </w:r>
    </w:p>
    <w:p>
      <w:pPr>
        <w:spacing w:after="0" w:line="41"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With the efficiency measures in place, we pivoted to the second phase of our transformation: driving growth. In this phase, we undertook several strategic initiatives to increase top-line results over the long term. They include a comprehensive strategy to deliver the full suite of Kelly solutions to large enterprise customers. This approach is transforming the culture, capabilities, and technology across each segment to serve the most critical accounts more efficiently and effectively. We are now executing this strategy with an initial set of focus accounts which represent a meaningful portion of the company’s revenue base. This approach will accelerate our progress on capturing share-of-wallet, shifting Kelly’s business mix, and optimizing expenses over a large subset of the business.</w:t>
      </w:r>
    </w:p>
    <w:p>
      <w:pPr>
        <w:spacing w:after="0" w:line="204"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In Kelly’s Professional &amp; Industrial segment, we implemented an enhanced localized delivery model to meet commercial and light industrial talent and customers where they are. Underpinning this model is a network of physical branch locations through which Kelly can more quickly address customer and talent needs, uncover deeper insights into local market dynamics, and stimulate greater collaboration among branch team members. The model continues to generate positive momentum, benefiting further from the Kelly Now mobile app. The app is now live nationwide and actively serving up tailored job opportunities in commercial and light industrial to thousands of highly qualified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631825</wp:posOffset>
            </wp:positionV>
            <wp:extent cx="6740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782" w:lineRule="exact"/>
        <w:rPr>
          <w:sz w:val="20"/>
          <w:szCs w:val="20"/>
          <w:color w:val="auto"/>
        </w:rPr>
      </w:pPr>
    </w:p>
    <w:p>
      <w:pPr>
        <w:sectPr>
          <w:pgSz w:w="11900" w:h="16838" w:orient="portrait"/>
          <w:cols w:equalWidth="0" w:num="2">
            <w:col w:w="5380" w:space="360"/>
            <w:col w:w="5160"/>
          </w:cols>
          <w:pgMar w:left="320" w:top="471" w:right="67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both"/>
        <w:ind w:left="320" w:right="600"/>
        <w:spacing w:after="0" w:line="286" w:lineRule="auto"/>
        <w:rPr>
          <w:sz w:val="20"/>
          <w:szCs w:val="20"/>
          <w:color w:val="auto"/>
        </w:rPr>
      </w:pPr>
      <w:r>
        <w:rPr>
          <w:rFonts w:ascii="Arial" w:cs="Arial" w:eastAsia="Arial" w:hAnsi="Arial"/>
          <w:sz w:val="22"/>
          <w:szCs w:val="22"/>
          <w:b w:val="1"/>
          <w:bCs w:val="1"/>
          <w:color w:val="auto"/>
        </w:rPr>
        <w:t>“The change we set out to create within Kelly is no longer hypothetical; our transformation is delivering results. I am confident that the collective strength and resilience of Team Kelly will continue to propel us forward on our journey in 2024, as it has over the past 77 years.”</w:t>
      </w:r>
    </w:p>
    <w:p>
      <w:pPr>
        <w:spacing w:after="0" w:line="127"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Peter Quigley</w:t>
      </w:r>
      <w:r>
        <w:rPr>
          <w:rFonts w:ascii="Arial" w:cs="Arial" w:eastAsia="Arial" w:hAnsi="Arial"/>
          <w:sz w:val="14"/>
          <w:szCs w:val="14"/>
          <w:color w:val="auto"/>
        </w:rPr>
        <w:t xml:space="preserve">, President and CEO    </w:t>
      </w:r>
    </w:p>
    <w:p>
      <w:pPr>
        <w:spacing w:after="0" w:line="152" w:lineRule="exact"/>
        <w:rPr>
          <w:sz w:val="20"/>
          <w:szCs w:val="20"/>
          <w:color w:val="auto"/>
        </w:rPr>
      </w:pPr>
    </w:p>
    <w:tbl>
      <w:tblPr>
        <w:tblLayout w:type="fixed"/>
        <w:tblInd w:w="9220" w:type="dxa"/>
        <w:tblCellMar>
          <w:top w:w="0" w:type="dxa"/>
          <w:left w:w="0" w:type="dxa"/>
          <w:bottom w:w="0" w:type="dxa"/>
          <w:right w:w="0" w:type="dxa"/>
        </w:tblCellMar>
      </w:tblPr>
      <w:tr>
        <w:trPr>
          <w:trHeight w:val="26"/>
        </w:trPr>
        <w:tc>
          <w:tcPr>
            <w:tcW w:w="480" w:type="dxa"/>
            <w:vAlign w:val="bottom"/>
            <w:vMerge w:val="restart"/>
          </w:tcPr>
          <w:p>
            <w:pPr>
              <w:spacing w:after="0"/>
              <w:rPr>
                <w:sz w:val="20"/>
                <w:szCs w:val="20"/>
                <w:color w:val="auto"/>
              </w:rPr>
            </w:pPr>
            <w:r>
              <w:rPr>
                <w:rFonts w:ascii="Arial" w:cs="Arial" w:eastAsia="Arial" w:hAnsi="Arial"/>
                <w:sz w:val="21"/>
                <w:szCs w:val="21"/>
                <w:color w:val="auto"/>
              </w:rPr>
              <w:t> </w:t>
            </w:r>
          </w:p>
        </w:tc>
        <w:tc>
          <w:tcPr>
            <w:tcW w:w="680" w:type="dxa"/>
            <w:vAlign w:val="bottom"/>
            <w:vMerge w:val="restart"/>
          </w:tcPr>
          <w:p>
            <w:pPr>
              <w:ind w:left="400"/>
              <w:spacing w:after="0"/>
              <w:rPr>
                <w:sz w:val="20"/>
                <w:szCs w:val="20"/>
                <w:color w:val="auto"/>
              </w:rPr>
            </w:pPr>
            <w:r>
              <w:rPr>
                <w:rFonts w:ascii="Arial" w:cs="Arial" w:eastAsia="Arial" w:hAnsi="Arial"/>
                <w:sz w:val="21"/>
                <w:szCs w:val="21"/>
                <w:color w:val="auto"/>
                <w:w w:val="96"/>
              </w:rPr>
              <w:t xml:space="preserve">  </w:t>
            </w:r>
          </w:p>
        </w:tc>
        <w:tc>
          <w:tcPr>
            <w:tcW w:w="20" w:type="dxa"/>
            <w:vAlign w:val="bottom"/>
          </w:tcPr>
          <w:p>
            <w:pPr>
              <w:spacing w:after="0"/>
              <w:rPr>
                <w:sz w:val="2"/>
                <w:szCs w:val="2"/>
                <w:color w:val="auto"/>
              </w:rPr>
            </w:pPr>
          </w:p>
        </w:tc>
        <w:tc>
          <w:tcPr>
            <w:tcW w:w="460" w:type="dxa"/>
            <w:vAlign w:val="bottom"/>
            <w:vMerge w:val="restart"/>
          </w:tcPr>
          <w:p>
            <w:pPr>
              <w:ind w:left="80"/>
              <w:spacing w:after="0"/>
              <w:rPr>
                <w:sz w:val="20"/>
                <w:szCs w:val="20"/>
                <w:color w:val="auto"/>
              </w:rPr>
            </w:pPr>
            <w:r>
              <w:rPr>
                <w:rFonts w:ascii="Arial" w:cs="Arial" w:eastAsia="Arial" w:hAnsi="Arial"/>
                <w:sz w:val="21"/>
                <w:szCs w:val="21"/>
                <w:color w:val="auto"/>
                <w:w w:val="71"/>
              </w:rPr>
              <w:t>    1</w:t>
            </w:r>
          </w:p>
        </w:tc>
        <w:tc>
          <w:tcPr>
            <w:tcW w:w="0" w:type="dxa"/>
            <w:vAlign w:val="bottom"/>
          </w:tcPr>
          <w:p>
            <w:pPr>
              <w:spacing w:after="0" w:line="20" w:lineRule="exact"/>
              <w:rPr>
                <w:sz w:val="1"/>
                <w:szCs w:val="1"/>
                <w:color w:val="auto"/>
              </w:rPr>
            </w:pPr>
          </w:p>
        </w:tc>
      </w:tr>
      <w:tr>
        <w:trPr>
          <w:trHeight w:val="248"/>
        </w:trPr>
        <w:tc>
          <w:tcPr>
            <w:tcW w:w="48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4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6024880</wp:posOffset>
            </wp:positionH>
            <wp:positionV relativeFrom="paragraph">
              <wp:posOffset>-222250</wp:posOffset>
            </wp:positionV>
            <wp:extent cx="396240" cy="189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6240" cy="189865"/>
                    </a:xfrm>
                    <a:prstGeom prst="rect">
                      <a:avLst/>
                    </a:prstGeom>
                    <a:noFill/>
                  </pic:spPr>
                </pic:pic>
              </a:graphicData>
            </a:graphic>
          </wp:anchor>
        </w:drawing>
      </w:r>
    </w:p>
    <w:p>
      <w:pPr>
        <w:sectPr>
          <w:pgSz w:w="11900" w:h="16838" w:orient="portrait"/>
          <w:cols w:equalWidth="0" w:num="1">
            <w:col w:w="10900"/>
          </w:cols>
          <w:pgMar w:left="320" w:top="471" w:right="67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Sharpening our Focus</w:t>
      </w:r>
    </w:p>
    <w:p>
      <w:pPr>
        <w:spacing w:after="0" w:line="84" w:lineRule="exact"/>
        <w:rPr>
          <w:sz w:val="20"/>
          <w:szCs w:val="20"/>
          <w:color w:val="auto"/>
        </w:rPr>
      </w:pPr>
    </w:p>
    <w:p>
      <w:pPr>
        <w:ind w:left="320" w:right="40"/>
        <w:spacing w:after="0" w:line="279" w:lineRule="auto"/>
        <w:rPr>
          <w:sz w:val="20"/>
          <w:szCs w:val="20"/>
          <w:color w:val="auto"/>
        </w:rPr>
      </w:pPr>
      <w:r>
        <w:rPr>
          <w:rFonts w:ascii="Arial" w:cs="Arial" w:eastAsia="Arial" w:hAnsi="Arial"/>
          <w:sz w:val="14"/>
          <w:szCs w:val="14"/>
          <w:color w:val="auto"/>
        </w:rPr>
        <w:t>We also took bold steps in 2023 to optimize Kelly’s portfolio of businesses and unlock capital in support of our specialty strategy. In November, Kelly entered into an agreement to sell its European staffing business for more than $100 million. The transaction, which closed in January, sharpens our focus on higher margin, higher growth MSP and RPO solutions globally, and specialty outcome-based and staffing services in North America. Furthermore, it accelerates our transformation efforts, boosting Kelly’s EBITDA margin to 3.0 percent on an adjusted basis entering 2024 – a step change from the company’s historical EBITDA margin average of approximately 2.0 percent.</w:t>
      </w:r>
    </w:p>
    <w:p>
      <w:pPr>
        <w:spacing w:after="0" w:line="202" w:lineRule="exact"/>
        <w:rPr>
          <w:sz w:val="20"/>
          <w:szCs w:val="20"/>
          <w:color w:val="auto"/>
        </w:rPr>
      </w:pPr>
    </w:p>
    <w:p>
      <w:pPr>
        <w:ind w:left="320" w:right="40"/>
        <w:spacing w:after="0" w:line="241" w:lineRule="auto"/>
        <w:rPr>
          <w:sz w:val="20"/>
          <w:szCs w:val="20"/>
          <w:color w:val="auto"/>
        </w:rPr>
      </w:pPr>
      <w:r>
        <w:rPr>
          <w:rFonts w:ascii="Arial" w:cs="Arial" w:eastAsia="Arial" w:hAnsi="Arial"/>
          <w:sz w:val="16"/>
          <w:szCs w:val="16"/>
          <w:color w:val="auto"/>
        </w:rPr>
        <w:t>Having added significant capital to Kelly’s available liquidity, we are redoubling our efforts to identify high-margin, high-growth inorganic opportunities. We remain committed to pursuing acquisitions in our Science, Engineering &amp; Technology and Education segments – and more opportunistically, Outsourcing &amp; Consulting. With a strong balance sheet, a disciplined approach to evaluating opportunities, and clear inorganic priorities, Kelly is poised to pursue deals in any macroeconomic environment.</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Accelerating Profitable Growth</w:t>
      </w:r>
    </w:p>
    <w:p>
      <w:pPr>
        <w:spacing w:after="0" w:line="71" w:lineRule="exact"/>
        <w:rPr>
          <w:sz w:val="20"/>
          <w:szCs w:val="20"/>
          <w:color w:val="auto"/>
        </w:rPr>
      </w:pPr>
    </w:p>
    <w:p>
      <w:pPr>
        <w:ind w:left="320"/>
        <w:spacing w:after="0" w:line="280" w:lineRule="auto"/>
        <w:rPr>
          <w:sz w:val="20"/>
          <w:szCs w:val="20"/>
          <w:color w:val="auto"/>
        </w:rPr>
      </w:pPr>
      <w:r>
        <w:rPr>
          <w:rFonts w:ascii="Arial" w:cs="Arial" w:eastAsia="Arial" w:hAnsi="Arial"/>
          <w:sz w:val="14"/>
          <w:szCs w:val="14"/>
          <w:color w:val="auto"/>
        </w:rPr>
        <w:t>Through the decisive action and rapid progress, the Kelly team delivered in 2023, we have laid the groundwork for 2024 to be an inflection point in the company’s 77-year history. With the efficiency measures delivering sustained results and growth initiatives in the implementation phase, Kelly is well positioned to capture increased customer demand when the macroeconomic environment improves. While there is work to be done, we are confident that 2024 is the start of a new era of profitable growth – a year in which we will begin to reap the full benefits of our transformation and create value for all of Kelly’s stakeholders.</w:t>
      </w:r>
    </w:p>
    <w:p>
      <w:pPr>
        <w:spacing w:after="0" w:line="202" w:lineRule="exact"/>
        <w:rPr>
          <w:sz w:val="20"/>
          <w:szCs w:val="20"/>
          <w:color w:val="auto"/>
        </w:rPr>
      </w:pPr>
    </w:p>
    <w:p>
      <w:pPr>
        <w:ind w:left="320" w:right="20"/>
        <w:spacing w:after="0" w:line="280" w:lineRule="auto"/>
        <w:rPr>
          <w:sz w:val="20"/>
          <w:szCs w:val="20"/>
          <w:color w:val="auto"/>
        </w:rPr>
      </w:pPr>
      <w:r>
        <w:rPr>
          <w:rFonts w:ascii="Arial" w:cs="Arial" w:eastAsia="Arial" w:hAnsi="Arial"/>
          <w:sz w:val="14"/>
          <w:szCs w:val="14"/>
          <w:color w:val="auto"/>
        </w:rPr>
        <w:t>We extend our sincere appreciation to the members of Kelly’s board of directors, each of whom brings a diverse set of experiences and skills that have proven invaluable as we have executed this transformation. We are particularly appreciative of Donald Parfet, who concluded a five-year term as chairman of the board of directors in May. Kelly has benefited immensely from his guidance and insights as we have positioned the company for the future. We thank him for his leadership, and are grateful for his continued service on Kelly’s board as an independent director.</w:t>
      </w:r>
    </w:p>
    <w:p>
      <w:pPr>
        <w:spacing w:after="0" w:line="32" w:lineRule="exact"/>
        <w:rPr>
          <w:sz w:val="20"/>
          <w:szCs w:val="20"/>
          <w:color w:val="auto"/>
        </w:rPr>
      </w:pPr>
    </w:p>
    <w:p>
      <w:pPr>
        <w:ind w:left="320"/>
        <w:spacing w:after="0" w:line="246" w:lineRule="auto"/>
        <w:rPr>
          <w:sz w:val="20"/>
          <w:szCs w:val="20"/>
          <w:color w:val="auto"/>
        </w:rPr>
      </w:pPr>
      <w:r>
        <w:rPr>
          <w:rFonts w:ascii="Arial" w:cs="Arial" w:eastAsia="Arial" w:hAnsi="Arial"/>
          <w:sz w:val="16"/>
          <w:szCs w:val="16"/>
          <w:color w:val="auto"/>
        </w:rPr>
        <w:t>Finally, to Kelly’s shareholders: thank you for placing your trust in us. With our Noble Purpose as our guide, we look forward to realizing our collective ambitions and rewarding you for recognizing the value-creating potential of this great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With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-769620</wp:posOffset>
            </wp:positionV>
            <wp:extent cx="7179310" cy="53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p>
    <w:p>
      <w:pPr>
        <w:spacing w:after="0" w:line="69"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-108585</wp:posOffset>
            </wp:positionV>
            <wp:extent cx="2395855" cy="537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95855" cy="53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2260" w:val="left"/>
        </w:tabs>
        <w:rPr>
          <w:sz w:val="20"/>
          <w:szCs w:val="20"/>
          <w:color w:val="auto"/>
        </w:rPr>
      </w:pPr>
      <w:r>
        <w:rPr>
          <w:rFonts w:ascii="Arial" w:cs="Arial" w:eastAsia="Arial" w:hAnsi="Arial"/>
          <w:sz w:val="16"/>
          <w:szCs w:val="16"/>
          <w:b w:val="1"/>
          <w:bCs w:val="1"/>
          <w:color w:val="auto"/>
        </w:rPr>
        <w:t>Terrence B. Larkin</w:t>
      </w:r>
      <w:r>
        <w:rPr>
          <w:sz w:val="20"/>
          <w:szCs w:val="20"/>
          <w:color w:val="auto"/>
        </w:rPr>
        <w:tab/>
      </w:r>
      <w:r>
        <w:rPr>
          <w:rFonts w:ascii="Arial" w:cs="Arial" w:eastAsia="Arial" w:hAnsi="Arial"/>
          <w:sz w:val="14"/>
          <w:szCs w:val="14"/>
          <w:b w:val="1"/>
          <w:bCs w:val="1"/>
          <w:color w:val="auto"/>
        </w:rPr>
        <w:t>Peter W. Quigley</w:t>
      </w:r>
    </w:p>
    <w:p>
      <w:pPr>
        <w:spacing w:after="0" w:line="14" w:lineRule="exact"/>
        <w:rPr>
          <w:sz w:val="20"/>
          <w:szCs w:val="20"/>
          <w:color w:val="auto"/>
        </w:rPr>
      </w:pPr>
    </w:p>
    <w:p>
      <w:pPr>
        <w:spacing w:after="0"/>
        <w:tabs>
          <w:tab w:leader="none" w:pos="2260" w:val="left"/>
        </w:tabs>
        <w:rPr>
          <w:sz w:val="20"/>
          <w:szCs w:val="20"/>
          <w:color w:val="auto"/>
        </w:rPr>
      </w:pPr>
      <w:r>
        <w:rPr>
          <w:rFonts w:ascii="Arial" w:cs="Arial" w:eastAsia="Arial" w:hAnsi="Arial"/>
          <w:sz w:val="16"/>
          <w:szCs w:val="16"/>
          <w:color w:val="auto"/>
        </w:rPr>
        <w:t>Chairman of the Board</w:t>
      </w:r>
      <w:r>
        <w:rPr>
          <w:sz w:val="20"/>
          <w:szCs w:val="20"/>
          <w:color w:val="auto"/>
        </w:rPr>
        <w:tab/>
      </w:r>
      <w:r>
        <w:rPr>
          <w:rFonts w:ascii="Arial" w:cs="Arial" w:eastAsia="Arial" w:hAnsi="Arial"/>
          <w:sz w:val="14"/>
          <w:szCs w:val="14"/>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154305</wp:posOffset>
            </wp:positionV>
            <wp:extent cx="6781800" cy="5262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81800" cy="5262245"/>
                    </a:xfrm>
                    <a:prstGeom prst="rect">
                      <a:avLst/>
                    </a:prstGeom>
                    <a:noFill/>
                  </pic:spPr>
                </pic:pic>
              </a:graphicData>
            </a:graphic>
          </wp:anchor>
        </w:drawing>
      </w:r>
    </w:p>
    <w:p>
      <w:pPr>
        <w:spacing w:after="0" w:line="6701" w:lineRule="exact"/>
        <w:rPr>
          <w:sz w:val="20"/>
          <w:szCs w:val="20"/>
          <w:color w:val="auto"/>
        </w:rPr>
      </w:pPr>
    </w:p>
    <w:p>
      <w:pPr>
        <w:sectPr>
          <w:pgSz w:w="11900" w:h="16838" w:orient="portrait"/>
          <w:cols w:equalWidth="0" w:num="2">
            <w:col w:w="5400" w:space="340"/>
            <w:col w:w="5120"/>
          </w:cols>
          <w:pgMar w:left="320" w:top="471"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0"/>
        <w:spacing w:after="0" w:line="258" w:lineRule="auto"/>
        <w:rPr>
          <w:sz w:val="20"/>
          <w:szCs w:val="20"/>
          <w:color w:val="auto"/>
        </w:rPr>
      </w:pPr>
      <w:r>
        <w:rPr>
          <w:rFonts w:ascii="Arial" w:cs="Arial" w:eastAsia="Arial" w:hAnsi="Arial"/>
          <w:sz w:val="23"/>
          <w:szCs w:val="23"/>
          <w:b w:val="1"/>
          <w:bCs w:val="1"/>
          <w:color w:val="auto"/>
        </w:rPr>
        <w:t>“After serving for more than a decade as a member of Kelly’s board of directors, I have never been more optimistic about the company’s future than I am today. I am grateful for the privilege to lead this board as chairman and work together with its distinguished members to carry out our responsibility to Kelly’s shareholders as the company accelerates forward into a new era of profitable growth.”</w:t>
      </w:r>
    </w:p>
    <w:p>
      <w:pPr>
        <w:spacing w:after="0" w:line="156"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Terrence Larkin</w:t>
      </w:r>
      <w:r>
        <w:rPr>
          <w:rFonts w:ascii="Arial" w:cs="Arial" w:eastAsia="Arial" w:hAnsi="Arial"/>
          <w:sz w:val="14"/>
          <w:szCs w:val="14"/>
          <w:color w:val="auto"/>
        </w:rPr>
        <w:t xml:space="preserve">, Chairman of the Board    </w:t>
      </w:r>
    </w:p>
    <w:p>
      <w:pPr>
        <w:sectPr>
          <w:pgSz w:w="11900" w:h="16838" w:orient="portrait"/>
          <w:cols w:equalWidth="0" w:num="1">
            <w:col w:w="10860"/>
          </w:cols>
          <w:pgMar w:left="320" w:top="471" w:right="719" w:bottom="1440" w:gutter="0" w:footer="0" w:header="0"/>
          <w:type w:val="continuous"/>
        </w:sectPr>
      </w:pPr>
    </w:p>
    <w:p>
      <w:pPr>
        <w:spacing w:after="0" w:line="152"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9"/>
          <w:szCs w:val="19"/>
          <w:color w:val="auto"/>
          <w:vertAlign w:val="superscript"/>
        </w:rPr>
        <w:t>2 </w:t>
      </w:r>
      <w:r>
        <w:rPr>
          <w:sz w:val="20"/>
          <w:szCs w:val="20"/>
          <w:color w:val="auto"/>
        </w:rPr>
        <w:tab/>
      </w:r>
      <w:r>
        <w:rPr>
          <w:rFonts w:ascii="Arial" w:cs="Arial" w:eastAsia="Arial" w:hAnsi="Arial"/>
          <w:sz w:val="13"/>
          <w:szCs w:val="13"/>
          <w:color w:val="auto"/>
        </w:rPr>
        <w:t xml:space="preserve">    </w:t>
      </w:r>
      <w:r>
        <w:rPr>
          <w:sz w:val="1"/>
          <w:szCs w:val="1"/>
          <w:color w:val="auto"/>
        </w:rPr>
        <w:drawing>
          <wp:inline distT="0" distB="0" distL="0" distR="0">
            <wp:extent cx="396240" cy="18986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-198120</wp:posOffset>
            </wp:positionV>
            <wp:extent cx="8255"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860"/>
          </w:cols>
          <w:pgMar w:left="320" w:top="471" w:right="7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Notice of Annual Meeting of Shareholders</w:t>
      </w:r>
    </w:p>
    <w:p>
      <w:pPr>
        <w:spacing w:after="0" w:line="322"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2024 Annual Meeting of Shareholders</w:t>
      </w:r>
    </w:p>
    <w:p>
      <w:pPr>
        <w:spacing w:after="0" w:line="253" w:lineRule="exact"/>
        <w:rPr>
          <w:sz w:val="20"/>
          <w:szCs w:val="20"/>
          <w:color w:val="auto"/>
        </w:rPr>
      </w:pPr>
    </w:p>
    <w:tbl>
      <w:tblPr>
        <w:tblLayout w:type="fixed"/>
        <w:tblInd w:w="320" w:type="dxa"/>
        <w:tblCellMar>
          <w:top w:w="0" w:type="dxa"/>
          <w:left w:w="0" w:type="dxa"/>
          <w:bottom w:w="0" w:type="dxa"/>
          <w:right w:w="0" w:type="dxa"/>
        </w:tblCellMar>
      </w:tblPr>
      <w:tr>
        <w:trPr>
          <w:trHeight w:val="286"/>
        </w:trPr>
        <w:tc>
          <w:tcPr>
            <w:tcW w:w="3080" w:type="dxa"/>
            <w:vAlign w:val="bottom"/>
            <w:shd w:val="clear" w:color="auto" w:fill="EDEDED"/>
          </w:tcPr>
          <w:p>
            <w:pPr>
              <w:spacing w:after="0"/>
              <w:rPr>
                <w:sz w:val="20"/>
                <w:szCs w:val="20"/>
                <w:color w:val="auto"/>
              </w:rPr>
            </w:pPr>
            <w:r>
              <w:rPr>
                <w:rFonts w:ascii="Arial" w:cs="Arial" w:eastAsia="Arial" w:hAnsi="Arial"/>
                <w:sz w:val="16"/>
                <w:szCs w:val="16"/>
                <w:b w:val="1"/>
                <w:bCs w:val="1"/>
                <w:color w:val="auto"/>
              </w:rPr>
              <w:t>  Date and Time:</w:t>
            </w:r>
          </w:p>
        </w:tc>
        <w:tc>
          <w:tcPr>
            <w:tcW w:w="4560" w:type="dxa"/>
            <w:vAlign w:val="bottom"/>
            <w:shd w:val="clear" w:color="auto" w:fill="EDEDED"/>
          </w:tcPr>
          <w:p>
            <w:pPr>
              <w:ind w:left="1280"/>
              <w:spacing w:after="0"/>
              <w:rPr>
                <w:sz w:val="20"/>
                <w:szCs w:val="20"/>
                <w:color w:val="auto"/>
              </w:rPr>
            </w:pPr>
            <w:r>
              <w:rPr>
                <w:rFonts w:ascii="Arial" w:cs="Arial" w:eastAsia="Arial" w:hAnsi="Arial"/>
                <w:sz w:val="16"/>
                <w:szCs w:val="16"/>
                <w:b w:val="1"/>
                <w:bCs w:val="1"/>
                <w:color w:val="auto"/>
              </w:rPr>
              <w:t>Place:</w:t>
            </w:r>
          </w:p>
        </w:tc>
        <w:tc>
          <w:tcPr>
            <w:tcW w:w="2980" w:type="dxa"/>
            <w:vAlign w:val="bottom"/>
            <w:shd w:val="clear" w:color="auto" w:fill="EDEDED"/>
          </w:tcPr>
          <w:p>
            <w:pPr>
              <w:ind w:left="100"/>
              <w:spacing w:after="0"/>
              <w:rPr>
                <w:sz w:val="20"/>
                <w:szCs w:val="20"/>
                <w:color w:val="auto"/>
              </w:rPr>
            </w:pPr>
            <w:r>
              <w:rPr>
                <w:rFonts w:ascii="Arial" w:cs="Arial" w:eastAsia="Arial" w:hAnsi="Arial"/>
                <w:sz w:val="16"/>
                <w:szCs w:val="16"/>
                <w:b w:val="1"/>
                <w:bCs w:val="1"/>
                <w:color w:val="auto"/>
              </w:rPr>
              <w:t>Record Date:</w:t>
            </w:r>
          </w:p>
        </w:tc>
      </w:tr>
      <w:tr>
        <w:trPr>
          <w:trHeight w:val="274"/>
        </w:trPr>
        <w:tc>
          <w:tcPr>
            <w:tcW w:w="3080" w:type="dxa"/>
            <w:vAlign w:val="bottom"/>
            <w:shd w:val="clear" w:color="auto" w:fill="EDEDED"/>
          </w:tcPr>
          <w:p>
            <w:pPr>
              <w:spacing w:after="0"/>
              <w:rPr>
                <w:sz w:val="20"/>
                <w:szCs w:val="20"/>
                <w:color w:val="auto"/>
              </w:rPr>
            </w:pPr>
            <w:r>
              <w:rPr>
                <w:rFonts w:ascii="Arial" w:cs="Arial" w:eastAsia="Arial" w:hAnsi="Arial"/>
                <w:sz w:val="17"/>
                <w:szCs w:val="17"/>
                <w:color w:val="auto"/>
              </w:rPr>
              <w:t>  Thursday, May 9, 2024 at</w:t>
            </w:r>
          </w:p>
        </w:tc>
        <w:tc>
          <w:tcPr>
            <w:tcW w:w="4560" w:type="dxa"/>
            <w:vAlign w:val="bottom"/>
            <w:shd w:val="clear" w:color="auto" w:fill="EDEDED"/>
          </w:tcPr>
          <w:p>
            <w:pPr>
              <w:ind w:left="1280"/>
              <w:spacing w:after="0"/>
              <w:rPr>
                <w:sz w:val="20"/>
                <w:szCs w:val="20"/>
                <w:color w:val="auto"/>
              </w:rPr>
            </w:pPr>
            <w:r>
              <w:rPr>
                <w:rFonts w:ascii="Arial" w:cs="Arial" w:eastAsia="Arial" w:hAnsi="Arial"/>
                <w:sz w:val="16"/>
                <w:szCs w:val="16"/>
                <w:color w:val="auto"/>
              </w:rPr>
              <w:t>Virtual Meeting:</w:t>
            </w:r>
          </w:p>
        </w:tc>
        <w:tc>
          <w:tcPr>
            <w:tcW w:w="2980" w:type="dxa"/>
            <w:vAlign w:val="bottom"/>
            <w:shd w:val="clear" w:color="auto" w:fill="EDEDED"/>
          </w:tcPr>
          <w:p>
            <w:pPr>
              <w:ind w:left="100"/>
              <w:spacing w:after="0"/>
              <w:rPr>
                <w:sz w:val="20"/>
                <w:szCs w:val="20"/>
                <w:color w:val="auto"/>
              </w:rPr>
            </w:pPr>
            <w:r>
              <w:rPr>
                <w:rFonts w:ascii="Arial" w:cs="Arial" w:eastAsia="Arial" w:hAnsi="Arial"/>
                <w:sz w:val="16"/>
                <w:szCs w:val="16"/>
                <w:color w:val="auto"/>
              </w:rPr>
              <w:t>Close of Business, Eastern Daylight</w:t>
            </w:r>
          </w:p>
        </w:tc>
      </w:tr>
      <w:tr>
        <w:trPr>
          <w:trHeight w:val="218"/>
        </w:trPr>
        <w:tc>
          <w:tcPr>
            <w:tcW w:w="3080" w:type="dxa"/>
            <w:vAlign w:val="bottom"/>
            <w:shd w:val="clear" w:color="auto" w:fill="EDEDED"/>
          </w:tcPr>
          <w:p>
            <w:pPr>
              <w:spacing w:after="0"/>
              <w:rPr>
                <w:sz w:val="20"/>
                <w:szCs w:val="20"/>
                <w:color w:val="auto"/>
              </w:rPr>
            </w:pPr>
            <w:r>
              <w:rPr>
                <w:rFonts w:ascii="Arial" w:cs="Arial" w:eastAsia="Arial" w:hAnsi="Arial"/>
                <w:sz w:val="16"/>
                <w:szCs w:val="16"/>
                <w:color w:val="auto"/>
              </w:rPr>
              <w:t>  12:00 p.m., Eastern Daylight Time</w:t>
            </w:r>
          </w:p>
        </w:tc>
        <w:tc>
          <w:tcPr>
            <w:tcW w:w="4560" w:type="dxa"/>
            <w:vAlign w:val="bottom"/>
            <w:shd w:val="clear" w:color="auto" w:fill="EDEDED"/>
          </w:tcPr>
          <w:p>
            <w:pPr>
              <w:ind w:left="1280"/>
              <w:spacing w:after="0"/>
              <w:rPr>
                <w:sz w:val="20"/>
                <w:szCs w:val="20"/>
                <w:color w:val="auto"/>
              </w:rPr>
            </w:pPr>
            <w:r>
              <w:rPr>
                <w:rFonts w:ascii="Arial" w:cs="Arial" w:eastAsia="Arial" w:hAnsi="Arial"/>
                <w:sz w:val="16"/>
                <w:szCs w:val="16"/>
                <w:color w:val="auto"/>
              </w:rPr>
              <w:t>kellyservices.com</w:t>
            </w:r>
          </w:p>
        </w:tc>
        <w:tc>
          <w:tcPr>
            <w:tcW w:w="2980" w:type="dxa"/>
            <w:vAlign w:val="bottom"/>
            <w:shd w:val="clear" w:color="auto" w:fill="EDEDED"/>
          </w:tcPr>
          <w:p>
            <w:pPr>
              <w:ind w:left="100"/>
              <w:spacing w:after="0"/>
              <w:rPr>
                <w:sz w:val="20"/>
                <w:szCs w:val="20"/>
                <w:color w:val="auto"/>
              </w:rPr>
            </w:pPr>
            <w:r>
              <w:rPr>
                <w:rFonts w:ascii="Arial" w:cs="Arial" w:eastAsia="Arial" w:hAnsi="Arial"/>
                <w:sz w:val="16"/>
                <w:szCs w:val="16"/>
                <w:color w:val="auto"/>
              </w:rPr>
              <w:t>Time, March 21, 2024</w:t>
            </w:r>
          </w:p>
        </w:tc>
      </w:tr>
      <w:tr>
        <w:trPr>
          <w:trHeight w:val="67"/>
        </w:trPr>
        <w:tc>
          <w:tcPr>
            <w:tcW w:w="3080" w:type="dxa"/>
            <w:vAlign w:val="bottom"/>
            <w:shd w:val="clear" w:color="auto" w:fill="EDEDED"/>
          </w:tcPr>
          <w:p>
            <w:pPr>
              <w:spacing w:after="0"/>
              <w:rPr>
                <w:sz w:val="5"/>
                <w:szCs w:val="5"/>
                <w:color w:val="auto"/>
              </w:rPr>
            </w:pPr>
          </w:p>
        </w:tc>
        <w:tc>
          <w:tcPr>
            <w:tcW w:w="4560" w:type="dxa"/>
            <w:vAlign w:val="bottom"/>
            <w:shd w:val="clear" w:color="auto" w:fill="EDEDED"/>
          </w:tcPr>
          <w:p>
            <w:pPr>
              <w:spacing w:after="0"/>
              <w:rPr>
                <w:sz w:val="5"/>
                <w:szCs w:val="5"/>
                <w:color w:val="auto"/>
              </w:rPr>
            </w:pPr>
          </w:p>
        </w:tc>
        <w:tc>
          <w:tcPr>
            <w:tcW w:w="2980" w:type="dxa"/>
            <w:vAlign w:val="bottom"/>
            <w:shd w:val="clear" w:color="auto" w:fill="EDEDED"/>
          </w:tcPr>
          <w:p>
            <w:pPr>
              <w:spacing w:after="0"/>
              <w:rPr>
                <w:sz w:val="5"/>
                <w:szCs w:val="5"/>
                <w:color w:val="auto"/>
              </w:rPr>
            </w:pPr>
          </w:p>
        </w:tc>
      </w:tr>
      <w:tr>
        <w:trPr>
          <w:trHeight w:val="500"/>
        </w:trPr>
        <w:tc>
          <w:tcPr>
            <w:tcW w:w="3080" w:type="dxa"/>
            <w:vAlign w:val="bottom"/>
          </w:tcPr>
          <w:p>
            <w:pPr>
              <w:spacing w:after="0"/>
              <w:rPr>
                <w:sz w:val="20"/>
                <w:szCs w:val="20"/>
                <w:color w:val="auto"/>
              </w:rPr>
            </w:pPr>
            <w:r>
              <w:rPr>
                <w:rFonts w:ascii="Arial" w:cs="Arial" w:eastAsia="Arial" w:hAnsi="Arial"/>
                <w:sz w:val="16"/>
                <w:szCs w:val="16"/>
                <w:b w:val="1"/>
                <w:bCs w:val="1"/>
                <w:color w:val="auto"/>
              </w:rPr>
              <w:t>Voting Matters</w:t>
            </w:r>
          </w:p>
        </w:tc>
        <w:tc>
          <w:tcPr>
            <w:tcW w:w="4560" w:type="dxa"/>
            <w:vAlign w:val="bottom"/>
          </w:tcPr>
          <w:p>
            <w:pPr>
              <w:ind w:left="1080"/>
              <w:spacing w:after="0"/>
              <w:rPr>
                <w:sz w:val="20"/>
                <w:szCs w:val="20"/>
                <w:color w:val="auto"/>
              </w:rPr>
            </w:pPr>
            <w:r>
              <w:rPr>
                <w:rFonts w:ascii="Arial" w:cs="Arial" w:eastAsia="Arial" w:hAnsi="Arial"/>
                <w:sz w:val="16"/>
                <w:szCs w:val="16"/>
                <w:b w:val="1"/>
                <w:bCs w:val="1"/>
                <w:color w:val="auto"/>
              </w:rPr>
              <w:t>How to Vote</w:t>
            </w:r>
          </w:p>
        </w:tc>
        <w:tc>
          <w:tcPr>
            <w:tcW w:w="2980" w:type="dxa"/>
            <w:vAlign w:val="bottom"/>
          </w:tcPr>
          <w:p>
            <w:pPr>
              <w:spacing w:after="0"/>
              <w:rPr>
                <w:sz w:val="24"/>
                <w:szCs w:val="24"/>
                <w:color w:val="auto"/>
              </w:rPr>
            </w:pPr>
          </w:p>
        </w:tc>
      </w:tr>
    </w:tbl>
    <w:p>
      <w:pPr>
        <w:spacing w:after="0" w:line="136" w:lineRule="exact"/>
        <w:rPr>
          <w:sz w:val="20"/>
          <w:szCs w:val="20"/>
          <w:color w:val="auto"/>
        </w:rPr>
      </w:pPr>
    </w:p>
    <w:p>
      <w:pPr>
        <w:sectPr>
          <w:pgSz w:w="11900" w:h="16838" w:orient="portrait"/>
          <w:cols w:equalWidth="0" w:num="1">
            <w:col w:w="10940"/>
          </w:cols>
          <w:pgMar w:left="320" w:top="471" w:right="639" w:bottom="1440" w:gutter="0" w:footer="0" w:header="0"/>
        </w:sectPr>
      </w:pPr>
    </w:p>
    <w:p>
      <w:pPr>
        <w:ind w:left="320"/>
        <w:spacing w:after="0"/>
        <w:rPr>
          <w:sz w:val="20"/>
          <w:szCs w:val="20"/>
          <w:color w:val="auto"/>
        </w:rPr>
      </w:pPr>
      <w:r>
        <w:rPr>
          <w:rFonts w:ascii="Arial" w:cs="Arial" w:eastAsia="Arial" w:hAnsi="Arial"/>
          <w:sz w:val="16"/>
          <w:szCs w:val="16"/>
          <w:b w:val="1"/>
          <w:bCs w:val="1"/>
          <w:color w:val="auto"/>
        </w:rPr>
        <w:t>At the Annual Meeting, you</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will be asked to consider</w:t>
      </w:r>
    </w:p>
    <w:p>
      <w:pPr>
        <w:ind w:left="320"/>
        <w:spacing w:after="0"/>
        <w:rPr>
          <w:sz w:val="20"/>
          <w:szCs w:val="20"/>
          <w:color w:val="auto"/>
        </w:rPr>
      </w:pPr>
      <w:r>
        <w:rPr>
          <w:rFonts w:ascii="Arial" w:cs="Arial" w:eastAsia="Arial" w:hAnsi="Arial"/>
          <w:sz w:val="16"/>
          <w:szCs w:val="16"/>
          <w:b w:val="1"/>
          <w:bCs w:val="1"/>
          <w:color w:val="auto"/>
        </w:rPr>
        <w:t>the following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46990</wp:posOffset>
            </wp:positionV>
            <wp:extent cx="20897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89785" cy="8255"/>
                    </a:xfrm>
                    <a:prstGeom prst="rect">
                      <a:avLst/>
                    </a:prstGeom>
                    <a:noFill/>
                  </pic:spPr>
                </pic:pic>
              </a:graphicData>
            </a:graphic>
          </wp:anchor>
        </w:drawing>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Proposal 1.</w:t>
      </w:r>
    </w:p>
    <w:p>
      <w:pPr>
        <w:spacing w:after="0" w:line="14" w:lineRule="exact"/>
        <w:rPr>
          <w:sz w:val="20"/>
          <w:szCs w:val="20"/>
          <w:color w:val="auto"/>
        </w:rPr>
      </w:pPr>
    </w:p>
    <w:p>
      <w:pPr>
        <w:ind w:left="320" w:right="300"/>
        <w:spacing w:after="0" w:line="247" w:lineRule="auto"/>
        <w:rPr>
          <w:sz w:val="20"/>
          <w:szCs w:val="20"/>
          <w:color w:val="auto"/>
        </w:rPr>
      </w:pPr>
      <w:r>
        <w:rPr>
          <w:rFonts w:ascii="Arial" w:cs="Arial" w:eastAsia="Arial" w:hAnsi="Arial"/>
          <w:sz w:val="16"/>
          <w:szCs w:val="16"/>
          <w:color w:val="auto"/>
        </w:rPr>
        <w:t>Election of nine Board-recommended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39370</wp:posOffset>
            </wp:positionV>
            <wp:extent cx="20897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89785" cy="8255"/>
                    </a:xfrm>
                    <a:prstGeom prst="rect">
                      <a:avLst/>
                    </a:prstGeom>
                    <a:noFill/>
                  </pic:spPr>
                </pic:pic>
              </a:graphicData>
            </a:graphic>
          </wp:anchor>
        </w:drawing>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Proposal 2.</w:t>
      </w:r>
    </w:p>
    <w:p>
      <w:pPr>
        <w:spacing w:after="0" w:line="14" w:lineRule="exact"/>
        <w:rPr>
          <w:sz w:val="20"/>
          <w:szCs w:val="20"/>
          <w:color w:val="auto"/>
        </w:rPr>
      </w:pPr>
    </w:p>
    <w:p>
      <w:pPr>
        <w:ind w:left="320" w:right="240"/>
        <w:spacing w:after="0" w:line="247" w:lineRule="auto"/>
        <w:rPr>
          <w:sz w:val="20"/>
          <w:szCs w:val="20"/>
          <w:color w:val="auto"/>
        </w:rPr>
      </w:pPr>
      <w:r>
        <w:rPr>
          <w:rFonts w:ascii="Arial" w:cs="Arial" w:eastAsia="Arial" w:hAnsi="Arial"/>
          <w:sz w:val="16"/>
          <w:szCs w:val="16"/>
          <w:color w:val="auto"/>
        </w:rPr>
        <w:t>Advisory approval of the Company’s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39370</wp:posOffset>
            </wp:positionV>
            <wp:extent cx="20897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89785" cy="8255"/>
                    </a:xfrm>
                    <a:prstGeom prst="rect">
                      <a:avLst/>
                    </a:prstGeom>
                    <a:noFill/>
                  </pic:spPr>
                </pic:pic>
              </a:graphicData>
            </a:graphic>
          </wp:anchor>
        </w:drawing>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Proposal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Online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-437515</wp:posOffset>
            </wp:positionV>
            <wp:extent cx="305435" cy="305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5435" cy="3054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www.envisionreports.com/kelyb</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meetnow.global/MTZZK6S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305435" cy="305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5435" cy="30543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color w:val="auto"/>
        </w:rPr>
        <w:t xml:space="preserve">Calling - </w:t>
      </w:r>
      <w:r>
        <w:rPr>
          <w:rFonts w:ascii="Arial" w:cs="Arial" w:eastAsia="Arial" w:hAnsi="Arial"/>
          <w:sz w:val="16"/>
          <w:szCs w:val="16"/>
          <w:color w:val="auto"/>
        </w:rPr>
        <w:t>1-800-652-VOTE (8683) Within the</w:t>
      </w:r>
      <w:r>
        <w:rPr>
          <w:rFonts w:ascii="Arial" w:cs="Arial" w:eastAsia="Arial" w:hAnsi="Arial"/>
          <w:sz w:val="16"/>
          <w:szCs w:val="16"/>
          <w:b w:val="1"/>
          <w:bCs w:val="1"/>
          <w:color w:val="auto"/>
        </w:rPr>
        <w:t xml:space="preserve"> </w:t>
      </w:r>
      <w:r>
        <w:rPr>
          <w:rFonts w:ascii="Arial" w:cs="Arial" w:eastAsia="Arial" w:hAnsi="Arial"/>
          <w:sz w:val="16"/>
          <w:szCs w:val="16"/>
          <w:color w:val="auto"/>
        </w:rPr>
        <w:t>U.S., U.S. territories &amp; Canada on a touch tone telephone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QR code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-454025</wp:posOffset>
            </wp:positionV>
            <wp:extent cx="338455" cy="3467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8455" cy="34671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Scan and vote with your mobile device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227330</wp:posOffset>
            </wp:positionV>
            <wp:extent cx="305435" cy="305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5435" cy="30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Mail -</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Return the signed proxy card</w:t>
      </w:r>
    </w:p>
    <w:p>
      <w:pPr>
        <w:spacing w:after="0" w:line="310" w:lineRule="exact"/>
        <w:rPr>
          <w:sz w:val="20"/>
          <w:szCs w:val="20"/>
          <w:color w:val="auto"/>
        </w:rPr>
      </w:pPr>
    </w:p>
    <w:p>
      <w:pPr>
        <w:sectPr>
          <w:pgSz w:w="11900" w:h="16838" w:orient="portrait"/>
          <w:cols w:equalWidth="0" w:num="3">
            <w:col w:w="3760" w:space="720"/>
            <w:col w:w="3080" w:space="200"/>
            <w:col w:w="3180"/>
          </w:cols>
          <w:pgMar w:left="320" w:top="471" w:right="639" w:bottom="1440" w:gutter="0" w:footer="0" w:header="0"/>
          <w:type w:val="continuous"/>
        </w:sectPr>
      </w:pPr>
    </w:p>
    <w:p>
      <w:pPr>
        <w:ind w:left="320" w:right="360"/>
        <w:spacing w:after="0"/>
        <w:rPr>
          <w:sz w:val="20"/>
          <w:szCs w:val="20"/>
          <w:color w:val="auto"/>
        </w:rPr>
      </w:pPr>
      <w:r>
        <w:rPr>
          <w:rFonts w:ascii="Arial" w:cs="Arial" w:eastAsia="Arial" w:hAnsi="Arial"/>
          <w:sz w:val="16"/>
          <w:szCs w:val="16"/>
          <w:color w:val="auto"/>
        </w:rPr>
        <w:t>Amendment of the Company’s Restated Certificate of Incorporation to reflect updated Delaware law provisions permitting officer exculpation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43815</wp:posOffset>
            </wp:positionV>
            <wp:extent cx="20897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89785" cy="8255"/>
                    </a:xfrm>
                    <a:prstGeom prst="rect">
                      <a:avLst/>
                    </a:prstGeom>
                    <a:noFill/>
                  </pic:spPr>
                </pic:pic>
              </a:graphicData>
            </a:graphic>
          </wp:anchor>
        </w:drawing>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Proposal 4.</w:t>
      </w:r>
    </w:p>
    <w:p>
      <w:pPr>
        <w:spacing w:after="0" w:line="14" w:lineRule="exact"/>
        <w:rPr>
          <w:sz w:val="20"/>
          <w:szCs w:val="20"/>
          <w:color w:val="auto"/>
        </w:rPr>
      </w:pPr>
    </w:p>
    <w:p>
      <w:pPr>
        <w:ind w:left="320" w:right="180"/>
        <w:spacing w:after="0" w:line="242" w:lineRule="auto"/>
        <w:rPr>
          <w:sz w:val="20"/>
          <w:szCs w:val="20"/>
          <w:color w:val="auto"/>
        </w:rPr>
      </w:pPr>
      <w:r>
        <w:rPr>
          <w:rFonts w:ascii="Arial" w:cs="Arial" w:eastAsia="Arial" w:hAnsi="Arial"/>
          <w:sz w:val="16"/>
          <w:szCs w:val="16"/>
          <w:color w:val="auto"/>
        </w:rPr>
        <w:t>Ratification of PricewaterhouseCoopers LLP as the Company’s independent registered public accounting firm for the 2024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41910</wp:posOffset>
            </wp:positionV>
            <wp:extent cx="20897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89785" cy="8255"/>
                    </a:xfrm>
                    <a:prstGeom prst="rect">
                      <a:avLst/>
                    </a:prstGeom>
                    <a:noFill/>
                  </pic:spPr>
                </pic:pic>
              </a:graphicData>
            </a:graphic>
          </wp:anchor>
        </w:drawing>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Proposal 5.</w:t>
      </w:r>
    </w:p>
    <w:p>
      <w:pPr>
        <w:spacing w:after="0" w:line="14" w:lineRule="exact"/>
        <w:rPr>
          <w:sz w:val="20"/>
          <w:szCs w:val="20"/>
          <w:color w:val="auto"/>
        </w:rPr>
      </w:pPr>
    </w:p>
    <w:p>
      <w:pPr>
        <w:ind w:left="320" w:right="560"/>
        <w:spacing w:after="0" w:line="247" w:lineRule="auto"/>
        <w:rPr>
          <w:sz w:val="20"/>
          <w:szCs w:val="20"/>
          <w:color w:val="auto"/>
        </w:rPr>
      </w:pPr>
      <w:r>
        <w:rPr>
          <w:rFonts w:ascii="Arial" w:cs="Arial" w:eastAsia="Arial" w:hAnsi="Arial"/>
          <w:sz w:val="16"/>
          <w:szCs w:val="16"/>
          <w:color w:val="auto"/>
        </w:rPr>
        <w:t>Transaction of any other business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39370</wp:posOffset>
            </wp:positionV>
            <wp:extent cx="20897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897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Proxies submitted online or by telephone must be received by 11:59 p.m., Central Daylight Time, on May 8, 2024. If you vote by mail, your proxy card must be received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-506730</wp:posOffset>
            </wp:positionV>
            <wp:extent cx="41719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71950" cy="8255"/>
                    </a:xfrm>
                    <a:prstGeom prst="rect">
                      <a:avLst/>
                    </a:prstGeom>
                    <a:noFill/>
                  </pic:spPr>
                </pic:pic>
              </a:graphicData>
            </a:graphic>
          </wp:anchor>
        </w:drawing>
      </w:r>
    </w:p>
    <w:p>
      <w:pPr>
        <w:spacing w:after="0" w:line="64"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b w:val="1"/>
          <w:bCs w:val="1"/>
          <w:color w:val="auto"/>
        </w:rPr>
        <w:t>Beneficial owners</w:t>
      </w:r>
      <w:r>
        <w:rPr>
          <w:rFonts w:ascii="Arial" w:cs="Arial" w:eastAsia="Arial" w:hAnsi="Arial"/>
          <w:sz w:val="16"/>
          <w:szCs w:val="16"/>
          <w:color w:val="auto"/>
        </w:rPr>
        <w:t>, who own shares through a bank, brokerage firm, or other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 can vote by returning the voting instruction form, or by following the instructions for voting via telephone or the Internet, provided by the bank, broker, or other organization. If you own shares in different accounts or in more than one name, you may receive different voting instructions for each type of ownership. Please vote all your shares.</w:t>
      </w:r>
    </w:p>
    <w:p>
      <w:pPr>
        <w:spacing w:after="0" w:line="89" w:lineRule="exact"/>
        <w:rPr>
          <w:sz w:val="20"/>
          <w:szCs w:val="20"/>
          <w:color w:val="auto"/>
        </w:rPr>
      </w:pPr>
    </w:p>
    <w:p>
      <w:pPr>
        <w:ind w:right="220"/>
        <w:spacing w:after="0" w:line="267" w:lineRule="auto"/>
        <w:rPr>
          <w:sz w:val="20"/>
          <w:szCs w:val="20"/>
          <w:color w:val="auto"/>
        </w:rPr>
      </w:pPr>
      <w:r>
        <w:rPr>
          <w:rFonts w:ascii="Arial" w:cs="Arial" w:eastAsia="Arial" w:hAnsi="Arial"/>
          <w:sz w:val="16"/>
          <w:szCs w:val="16"/>
          <w:color w:val="auto"/>
        </w:rPr>
        <w:t xml:space="preserve">If you are a </w:t>
      </w:r>
      <w:r>
        <w:rPr>
          <w:rFonts w:ascii="Arial" w:cs="Arial" w:eastAsia="Arial" w:hAnsi="Arial"/>
          <w:sz w:val="16"/>
          <w:szCs w:val="16"/>
          <w:b w:val="1"/>
          <w:bCs w:val="1"/>
          <w:color w:val="auto"/>
        </w:rPr>
        <w:t>registered shareholder</w:t>
      </w:r>
      <w:r>
        <w:rPr>
          <w:rFonts w:ascii="Arial" w:cs="Arial" w:eastAsia="Arial" w:hAnsi="Arial"/>
          <w:sz w:val="16"/>
          <w:szCs w:val="16"/>
          <w:color w:val="auto"/>
        </w:rPr>
        <w:t xml:space="preserve"> (i.e., you hold your shares through our transfer agent, Computershare), you may vote online, by telephone, or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-2643505</wp:posOffset>
            </wp:positionH>
            <wp:positionV relativeFrom="paragraph">
              <wp:posOffset>244475</wp:posOffset>
            </wp:positionV>
            <wp:extent cx="6740525" cy="1866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40525" cy="1866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720"/>
            <w:col w:w="6460"/>
          </w:cols>
          <w:pgMar w:left="320" w:top="471" w:right="639" w:bottom="1440" w:gutter="0" w:footer="0" w:header="0"/>
          <w:type w:val="continuous"/>
        </w:sectPr>
      </w:pPr>
    </w:p>
    <w:p>
      <w:pPr>
        <w:spacing w:after="0" w:line="355" w:lineRule="exact"/>
        <w:rPr>
          <w:sz w:val="20"/>
          <w:szCs w:val="20"/>
          <w:color w:val="auto"/>
        </w:rPr>
      </w:pPr>
    </w:p>
    <w:p>
      <w:pPr>
        <w:ind w:left="420" w:right="140"/>
        <w:spacing w:after="0" w:line="265" w:lineRule="auto"/>
        <w:rPr>
          <w:sz w:val="20"/>
          <w:szCs w:val="20"/>
          <w:color w:val="auto"/>
        </w:rPr>
      </w:pPr>
      <w:r>
        <w:rPr>
          <w:rFonts w:ascii="Arial" w:cs="Arial" w:eastAsia="Arial" w:hAnsi="Arial"/>
          <w:sz w:val="16"/>
          <w:szCs w:val="16"/>
          <w:color w:val="auto"/>
        </w:rPr>
        <w:t>If you were a holder of record of the Company’s Class B Common Stock at the close of business on the Record Date, March 21, 2024, you are entitled to vote at the Annual Meeting.</w:t>
      </w:r>
    </w:p>
    <w:p>
      <w:pPr>
        <w:spacing w:after="0" w:line="62" w:lineRule="exact"/>
        <w:rPr>
          <w:sz w:val="20"/>
          <w:szCs w:val="20"/>
          <w:color w:val="auto"/>
        </w:rPr>
      </w:pPr>
    </w:p>
    <w:p>
      <w:pPr>
        <w:ind w:left="420" w:right="220"/>
        <w:spacing w:after="0" w:line="265" w:lineRule="auto"/>
        <w:rPr>
          <w:sz w:val="20"/>
          <w:szCs w:val="20"/>
          <w:color w:val="auto"/>
        </w:rPr>
      </w:pPr>
      <w:r>
        <w:rPr>
          <w:rFonts w:ascii="Arial" w:cs="Arial" w:eastAsia="Arial" w:hAnsi="Arial"/>
          <w:sz w:val="16"/>
          <w:szCs w:val="16"/>
          <w:color w:val="auto"/>
        </w:rPr>
        <w:t>Please promptly submit your vote by internet, telephone, or by signing, dating, and returning the enclosed proxy card or voting instructions form in the postage-paid envelope provided so that your shares will be represented and voted at the meeting.</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Thank you for your interest in Kelly.</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By Order of the Board of Directors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 xml:space="preserve">  </w:t>
      </w:r>
      <w:r>
        <w:rPr>
          <w:sz w:val="1"/>
          <w:szCs w:val="1"/>
          <w:color w:val="auto"/>
        </w:rPr>
        <w:drawing>
          <wp:inline distT="0" distB="0" distL="0" distR="0">
            <wp:extent cx="1189355" cy="19812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89355" cy="198120"/>
                    </a:xfrm>
                    <a:prstGeom prst="rect">
                      <a:avLst/>
                    </a:prstGeom>
                    <a:noFill/>
                    <a:ln>
                      <a:noFill/>
                    </a:ln>
                  </pic:spPr>
                </pic:pic>
              </a:graphicData>
            </a:graphic>
          </wp:inline>
        </w:drawing>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VANESSA P. WILLIAMS</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Corporate Secretary</w:t>
      </w:r>
    </w:p>
    <w:p>
      <w:pPr>
        <w:spacing w:after="0" w:line="295" w:lineRule="exact"/>
        <w:rPr>
          <w:sz w:val="20"/>
          <w:szCs w:val="20"/>
          <w:color w:val="auto"/>
        </w:rPr>
      </w:pPr>
    </w:p>
    <w:p>
      <w:pPr>
        <w:jc w:val="right"/>
        <w:ind w:right="80"/>
        <w:spacing w:after="0"/>
        <w:tabs>
          <w:tab w:leader="none" w:pos="360" w:val="left"/>
        </w:tabs>
        <w:rPr>
          <w:sz w:val="20"/>
          <w:szCs w:val="20"/>
          <w:color w:val="auto"/>
        </w:rPr>
      </w:pPr>
      <w:r>
        <w:rPr>
          <w:rFonts w:ascii="Arial" w:cs="Arial" w:eastAsia="Arial" w:hAnsi="Arial"/>
          <w:sz w:val="21"/>
          <w:szCs w:val="21"/>
          <w:color w:val="auto"/>
        </w:rPr>
        <w:t xml:space="preserve">   </w:t>
      </w:r>
      <w:r>
        <w:rPr>
          <w:sz w:val="1"/>
          <w:szCs w:val="1"/>
          <w:color w:val="auto"/>
        </w:rPr>
        <w:drawing>
          <wp:inline distT="0" distB="0" distL="0" distR="0">
            <wp:extent cx="396240" cy="18986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1"/>
          <w:szCs w:val="21"/>
          <w:color w:val="auto"/>
        </w:rPr>
        <w:t xml:space="preserve">  </w:t>
      </w:r>
      <w:r>
        <w:rPr>
          <w:sz w:val="20"/>
          <w:szCs w:val="20"/>
          <w:color w:val="auto"/>
        </w:rPr>
        <w:tab/>
      </w:r>
      <w:r>
        <w:rPr>
          <w:rFonts w:ascii="Arial" w:cs="Arial" w:eastAsia="Arial" w:hAnsi="Arial"/>
          <w:sz w:val="23"/>
          <w:szCs w:val="23"/>
          <w:color w:val="auto"/>
          <w:vertAlign w:val="superscript"/>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6586220</wp:posOffset>
            </wp:positionH>
            <wp:positionV relativeFrom="paragraph">
              <wp:posOffset>-200660</wp:posOffset>
            </wp:positionV>
            <wp:extent cx="8255"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0"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4700" w:type="dxa"/>
            <w:vAlign w:val="bottom"/>
            <w:gridSpan w:val="48"/>
          </w:tcPr>
          <w:p>
            <w:pPr>
              <w:spacing w:after="0"/>
              <w:rPr>
                <w:sz w:val="20"/>
                <w:szCs w:val="20"/>
                <w:color w:val="auto"/>
              </w:rPr>
            </w:pPr>
            <w:r>
              <w:rPr>
                <w:rFonts w:ascii="Arial" w:cs="Arial" w:eastAsia="Arial" w:hAnsi="Arial"/>
                <w:sz w:val="15"/>
                <w:szCs w:val="15"/>
                <w:b w:val="1"/>
                <w:bCs w:val="1"/>
                <w:color w:val="0000EE"/>
              </w:rPr>
              <w:t>Proxy Summary</w:t>
            </w:r>
          </w:p>
        </w:tc>
        <w:tc>
          <w:tcPr>
            <w:tcW w:w="380" w:type="dxa"/>
            <w:vAlign w:val="bottom"/>
          </w:tcPr>
          <w:p>
            <w:pPr>
              <w:jc w:val="right"/>
              <w:ind w:right="6"/>
              <w:spacing w:after="0"/>
              <w:rPr>
                <w:sz w:val="20"/>
                <w:szCs w:val="20"/>
                <w:color w:val="auto"/>
              </w:rPr>
            </w:pPr>
            <w:r>
              <w:rPr>
                <w:rFonts w:ascii="Arial" w:cs="Arial" w:eastAsia="Arial" w:hAnsi="Arial"/>
                <w:sz w:val="15"/>
                <w:szCs w:val="15"/>
                <w:b w:val="1"/>
                <w:bCs w:val="1"/>
                <w:color w:val="0A9E50"/>
              </w:rPr>
              <w:t>5</w:t>
            </w: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0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30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38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4700" w:type="dxa"/>
            <w:vAlign w:val="bottom"/>
            <w:gridSpan w:val="48"/>
          </w:tcPr>
          <w:p>
            <w:pPr>
              <w:spacing w:after="0" w:line="136" w:lineRule="exact"/>
              <w:rPr>
                <w:sz w:val="20"/>
                <w:szCs w:val="20"/>
                <w:color w:val="auto"/>
              </w:rPr>
            </w:pPr>
            <w:r>
              <w:rPr>
                <w:rFonts w:ascii="Arial" w:cs="Arial" w:eastAsia="Arial" w:hAnsi="Arial"/>
                <w:sz w:val="15"/>
                <w:szCs w:val="15"/>
                <w:color w:val="0000EE"/>
              </w:rPr>
              <w:t>2024 Annual Meeting of Shareholders Details</w:t>
            </w:r>
          </w:p>
        </w:tc>
        <w:tc>
          <w:tcPr>
            <w:tcW w:w="380" w:type="dxa"/>
            <w:vAlign w:val="bottom"/>
          </w:tcPr>
          <w:p>
            <w:pPr>
              <w:jc w:val="right"/>
              <w:ind w:right="6"/>
              <w:spacing w:after="0" w:line="136"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62"/>
        </w:trPr>
        <w:tc>
          <w:tcPr>
            <w:tcW w:w="1520" w:type="dxa"/>
            <w:vAlign w:val="bottom"/>
            <w:tcBorders>
              <w:top w:val="single" w:sz="8" w:color="0000EE"/>
              <w:bottom w:val="single" w:sz="8" w:color="0000EE"/>
            </w:tcBorders>
            <w:gridSpan w:val="15"/>
          </w:tcPr>
          <w:p>
            <w:pPr>
              <w:spacing w:after="0" w:line="162" w:lineRule="exact"/>
              <w:rPr>
                <w:sz w:val="20"/>
                <w:szCs w:val="20"/>
                <w:color w:val="auto"/>
              </w:rPr>
            </w:pPr>
            <w:r>
              <w:rPr>
                <w:rFonts w:ascii="Arial" w:cs="Arial" w:eastAsia="Arial" w:hAnsi="Arial"/>
                <w:sz w:val="15"/>
                <w:szCs w:val="15"/>
                <w:color w:val="0000EE"/>
                <w:w w:val="97"/>
              </w:rPr>
              <w:t>Proxy Voting Roadmap</w:t>
            </w:r>
          </w:p>
        </w:tc>
        <w:tc>
          <w:tcPr>
            <w:tcW w:w="1440" w:type="dxa"/>
            <w:vAlign w:val="bottom"/>
            <w:tcBorders>
              <w:top w:val="single" w:sz="8" w:color="0000EE"/>
            </w:tcBorders>
            <w:gridSpan w:val="22"/>
          </w:tcPr>
          <w:p>
            <w:pPr>
              <w:spacing w:after="0"/>
              <w:rPr>
                <w:sz w:val="14"/>
                <w:szCs w:val="14"/>
                <w:color w:val="auto"/>
              </w:rPr>
            </w:pPr>
          </w:p>
        </w:tc>
        <w:tc>
          <w:tcPr>
            <w:tcW w:w="1740" w:type="dxa"/>
            <w:vAlign w:val="bottom"/>
            <w:gridSpan w:val="11"/>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Director Nominees</w:t>
            </w: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200" w:type="dxa"/>
            <w:vAlign w:val="bottom"/>
            <w:tcBorders>
              <w:bottom w:val="single" w:sz="8" w:color="0000EE"/>
            </w:tcBorders>
            <w:gridSpan w:val="29"/>
          </w:tcPr>
          <w:p>
            <w:pPr>
              <w:spacing w:after="0" w:line="162" w:lineRule="exact"/>
              <w:rPr>
                <w:sz w:val="20"/>
                <w:szCs w:val="20"/>
                <w:color w:val="auto"/>
              </w:rPr>
            </w:pPr>
            <w:r>
              <w:rPr>
                <w:rFonts w:ascii="Arial" w:cs="Arial" w:eastAsia="Arial" w:hAnsi="Arial"/>
                <w:sz w:val="15"/>
                <w:szCs w:val="15"/>
                <w:color w:val="0000EE"/>
                <w:w w:val="97"/>
              </w:rPr>
              <w:t>Corporate Governance Highlights</w:t>
            </w:r>
          </w:p>
        </w:tc>
        <w:tc>
          <w:tcPr>
            <w:tcW w:w="2500" w:type="dxa"/>
            <w:vAlign w:val="bottom"/>
            <w:gridSpan w:val="19"/>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Meet Today’s Kelly</w:t>
            </w: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62"/>
        </w:trPr>
        <w:tc>
          <w:tcPr>
            <w:tcW w:w="1120" w:type="dxa"/>
            <w:vAlign w:val="bottom"/>
            <w:tcBorders>
              <w:top w:val="single" w:sz="8" w:color="0000EE"/>
              <w:bottom w:val="single" w:sz="8" w:color="0000EE"/>
            </w:tcBorders>
            <w:gridSpan w:val="8"/>
          </w:tcPr>
          <w:p>
            <w:pPr>
              <w:spacing w:after="0" w:line="162" w:lineRule="exact"/>
              <w:rPr>
                <w:sz w:val="20"/>
                <w:szCs w:val="20"/>
                <w:color w:val="auto"/>
              </w:rPr>
            </w:pPr>
            <w:r>
              <w:rPr>
                <w:rFonts w:ascii="Arial" w:cs="Arial" w:eastAsia="Arial" w:hAnsi="Arial"/>
                <w:sz w:val="15"/>
                <w:szCs w:val="15"/>
                <w:color w:val="0000EE"/>
                <w:w w:val="95"/>
              </w:rPr>
              <w:t>A Year in Review</w:t>
            </w:r>
          </w:p>
        </w:tc>
        <w:tc>
          <w:tcPr>
            <w:tcW w:w="100" w:type="dxa"/>
            <w:vAlign w:val="bottom"/>
            <w:tcBorders>
              <w:top w:val="single" w:sz="8" w:color="0000EE"/>
            </w:tcBorders>
            <w:gridSpan w:val="2"/>
          </w:tcPr>
          <w:p>
            <w:pPr>
              <w:spacing w:after="0"/>
              <w:rPr>
                <w:sz w:val="14"/>
                <w:szCs w:val="14"/>
                <w:color w:val="auto"/>
              </w:rPr>
            </w:pPr>
          </w:p>
        </w:tc>
        <w:tc>
          <w:tcPr>
            <w:tcW w:w="3480" w:type="dxa"/>
            <w:vAlign w:val="bottom"/>
            <w:gridSpan w:val="38"/>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62"/>
        </w:trPr>
        <w:tc>
          <w:tcPr>
            <w:tcW w:w="1660" w:type="dxa"/>
            <w:vAlign w:val="bottom"/>
            <w:tcBorders>
              <w:bottom w:val="single" w:sz="8" w:color="0000EE"/>
            </w:tcBorders>
            <w:gridSpan w:val="19"/>
          </w:tcPr>
          <w:p>
            <w:pPr>
              <w:spacing w:after="0" w:line="162" w:lineRule="exact"/>
              <w:rPr>
                <w:sz w:val="20"/>
                <w:szCs w:val="20"/>
                <w:color w:val="auto"/>
              </w:rPr>
            </w:pPr>
            <w:r>
              <w:rPr>
                <w:rFonts w:ascii="Arial" w:cs="Arial" w:eastAsia="Arial" w:hAnsi="Arial"/>
                <w:sz w:val="15"/>
                <w:szCs w:val="15"/>
                <w:color w:val="0000EE"/>
                <w:w w:val="97"/>
              </w:rPr>
              <w:t>2023 Financial Highlights</w:t>
            </w:r>
          </w:p>
        </w:tc>
        <w:tc>
          <w:tcPr>
            <w:tcW w:w="3040" w:type="dxa"/>
            <w:vAlign w:val="bottom"/>
            <w:gridSpan w:val="29"/>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62"/>
        </w:trPr>
        <w:tc>
          <w:tcPr>
            <w:tcW w:w="1980" w:type="dxa"/>
            <w:vAlign w:val="bottom"/>
            <w:tcBorders>
              <w:bottom w:val="single" w:sz="8" w:color="0000EE"/>
            </w:tcBorders>
            <w:gridSpan w:val="23"/>
          </w:tcPr>
          <w:p>
            <w:pPr>
              <w:spacing w:after="0" w:line="162" w:lineRule="exact"/>
              <w:rPr>
                <w:sz w:val="20"/>
                <w:szCs w:val="20"/>
                <w:color w:val="auto"/>
              </w:rPr>
            </w:pPr>
            <w:r>
              <w:rPr>
                <w:rFonts w:ascii="Arial" w:cs="Arial" w:eastAsia="Arial" w:hAnsi="Arial"/>
                <w:sz w:val="15"/>
                <w:szCs w:val="15"/>
                <w:color w:val="0000EE"/>
                <w:w w:val="97"/>
              </w:rPr>
              <w:t>Select Awards &amp; Recognitions</w:t>
            </w:r>
          </w:p>
        </w:tc>
        <w:tc>
          <w:tcPr>
            <w:tcW w:w="2720" w:type="dxa"/>
            <w:vAlign w:val="bottom"/>
            <w:gridSpan w:val="25"/>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62"/>
        </w:trPr>
        <w:tc>
          <w:tcPr>
            <w:tcW w:w="2320" w:type="dxa"/>
            <w:vAlign w:val="bottom"/>
            <w:tcBorders>
              <w:bottom w:val="single" w:sz="8" w:color="0000EE"/>
            </w:tcBorders>
            <w:gridSpan w:val="32"/>
          </w:tcPr>
          <w:p>
            <w:pPr>
              <w:spacing w:after="0" w:line="162" w:lineRule="exact"/>
              <w:rPr>
                <w:sz w:val="20"/>
                <w:szCs w:val="20"/>
                <w:color w:val="auto"/>
              </w:rPr>
            </w:pPr>
            <w:r>
              <w:rPr>
                <w:rFonts w:ascii="Arial" w:cs="Arial" w:eastAsia="Arial" w:hAnsi="Arial"/>
                <w:sz w:val="15"/>
                <w:szCs w:val="15"/>
                <w:color w:val="0000EE"/>
                <w:w w:val="97"/>
              </w:rPr>
              <w:t>Executive Compensation Highlights</w:t>
            </w:r>
          </w:p>
        </w:tc>
        <w:tc>
          <w:tcPr>
            <w:tcW w:w="2380" w:type="dxa"/>
            <w:vAlign w:val="bottom"/>
            <w:gridSpan w:val="16"/>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88"/>
        </w:trPr>
        <w:tc>
          <w:tcPr>
            <w:tcW w:w="4700" w:type="dxa"/>
            <w:vAlign w:val="bottom"/>
            <w:gridSpan w:val="48"/>
          </w:tcPr>
          <w:p>
            <w:pPr>
              <w:spacing w:after="0"/>
              <w:rPr>
                <w:sz w:val="20"/>
                <w:szCs w:val="20"/>
                <w:color w:val="auto"/>
              </w:rPr>
            </w:pPr>
            <w:r>
              <w:rPr>
                <w:rFonts w:ascii="Arial" w:cs="Arial" w:eastAsia="Arial" w:hAnsi="Arial"/>
                <w:sz w:val="15"/>
                <w:szCs w:val="15"/>
                <w:b w:val="1"/>
                <w:bCs w:val="1"/>
                <w:color w:val="0000EE"/>
              </w:rPr>
              <w:t>Proposal 1: Election of Directors</w:t>
            </w:r>
          </w:p>
        </w:tc>
        <w:tc>
          <w:tcPr>
            <w:tcW w:w="380" w:type="dxa"/>
            <w:vAlign w:val="bottom"/>
          </w:tcPr>
          <w:p>
            <w:pPr>
              <w:jc w:val="right"/>
              <w:ind w:right="6"/>
              <w:spacing w:after="0"/>
              <w:rPr>
                <w:sz w:val="20"/>
                <w:szCs w:val="20"/>
                <w:color w:val="auto"/>
              </w:rPr>
            </w:pPr>
            <w:r>
              <w:rPr>
                <w:rFonts w:ascii="Arial" w:cs="Arial" w:eastAsia="Arial" w:hAnsi="Arial"/>
                <w:sz w:val="15"/>
                <w:szCs w:val="15"/>
                <w:b w:val="1"/>
                <w:bCs w:val="1"/>
                <w:color w:val="0A9E50"/>
              </w:rPr>
              <w:t>14</w:t>
            </w: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0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1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14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30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38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500" w:type="dxa"/>
            <w:vAlign w:val="bottom"/>
            <w:tcBorders>
              <w:bottom w:val="single" w:sz="8" w:color="0000EE"/>
            </w:tcBorders>
            <w:gridSpan w:val="14"/>
          </w:tcPr>
          <w:p>
            <w:pPr>
              <w:spacing w:after="0" w:line="136" w:lineRule="exact"/>
              <w:rPr>
                <w:sz w:val="20"/>
                <w:szCs w:val="20"/>
                <w:color w:val="auto"/>
              </w:rPr>
            </w:pPr>
            <w:r>
              <w:rPr>
                <w:rFonts w:ascii="Arial" w:cs="Arial" w:eastAsia="Arial" w:hAnsi="Arial"/>
                <w:sz w:val="15"/>
                <w:szCs w:val="15"/>
                <w:color w:val="0000EE"/>
                <w:w w:val="97"/>
              </w:rPr>
              <w:t>Director Independence</w:t>
            </w:r>
          </w:p>
        </w:tc>
        <w:tc>
          <w:tcPr>
            <w:tcW w:w="3200" w:type="dxa"/>
            <w:vAlign w:val="bottom"/>
            <w:gridSpan w:val="34"/>
          </w:tcPr>
          <w:p>
            <w:pPr>
              <w:spacing w:after="0"/>
              <w:rPr>
                <w:sz w:val="11"/>
                <w:szCs w:val="11"/>
                <w:color w:val="auto"/>
              </w:rPr>
            </w:pPr>
          </w:p>
        </w:tc>
        <w:tc>
          <w:tcPr>
            <w:tcW w:w="380" w:type="dxa"/>
            <w:vAlign w:val="bottom"/>
          </w:tcPr>
          <w:p>
            <w:pPr>
              <w:jc w:val="right"/>
              <w:ind w:right="6"/>
              <w:spacing w:after="0" w:line="136"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62"/>
        </w:trPr>
        <w:tc>
          <w:tcPr>
            <w:tcW w:w="1100" w:type="dxa"/>
            <w:vAlign w:val="bottom"/>
            <w:tcBorders>
              <w:bottom w:val="single" w:sz="8" w:color="0000EE"/>
            </w:tcBorders>
            <w:gridSpan w:val="7"/>
          </w:tcPr>
          <w:p>
            <w:pPr>
              <w:spacing w:after="0" w:line="162" w:lineRule="exact"/>
              <w:rPr>
                <w:sz w:val="20"/>
                <w:szCs w:val="20"/>
                <w:color w:val="auto"/>
              </w:rPr>
            </w:pPr>
            <w:r>
              <w:rPr>
                <w:rFonts w:ascii="Arial" w:cs="Arial" w:eastAsia="Arial" w:hAnsi="Arial"/>
                <w:sz w:val="15"/>
                <w:szCs w:val="15"/>
                <w:color w:val="0000EE"/>
                <w:w w:val="96"/>
              </w:rPr>
              <w:t>Board Nominees</w:t>
            </w:r>
          </w:p>
        </w:tc>
        <w:tc>
          <w:tcPr>
            <w:tcW w:w="3600" w:type="dxa"/>
            <w:vAlign w:val="bottom"/>
            <w:gridSpan w:val="41"/>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62"/>
        </w:trPr>
        <w:tc>
          <w:tcPr>
            <w:tcW w:w="1260" w:type="dxa"/>
            <w:vAlign w:val="bottom"/>
            <w:tcBorders>
              <w:bottom w:val="single" w:sz="8" w:color="0000EE"/>
            </w:tcBorders>
            <w:gridSpan w:val="11"/>
          </w:tcPr>
          <w:p>
            <w:pPr>
              <w:spacing w:after="0" w:line="162" w:lineRule="exact"/>
              <w:rPr>
                <w:sz w:val="20"/>
                <w:szCs w:val="20"/>
                <w:color w:val="auto"/>
              </w:rPr>
            </w:pPr>
            <w:r>
              <w:rPr>
                <w:rFonts w:ascii="Arial" w:cs="Arial" w:eastAsia="Arial" w:hAnsi="Arial"/>
                <w:sz w:val="15"/>
                <w:szCs w:val="15"/>
                <w:color w:val="0000EE"/>
                <w:w w:val="97"/>
              </w:rPr>
              <w:t>Board Composition</w:t>
            </w:r>
          </w:p>
        </w:tc>
        <w:tc>
          <w:tcPr>
            <w:tcW w:w="3440" w:type="dxa"/>
            <w:vAlign w:val="bottom"/>
            <w:gridSpan w:val="37"/>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0000EE"/>
            </w:tcBorders>
            <w:gridSpan w:val="20"/>
          </w:tcPr>
          <w:p>
            <w:pPr>
              <w:spacing w:after="0" w:line="162" w:lineRule="exact"/>
              <w:rPr>
                <w:sz w:val="20"/>
                <w:szCs w:val="20"/>
                <w:color w:val="auto"/>
              </w:rPr>
            </w:pPr>
            <w:r>
              <w:rPr>
                <w:rFonts w:ascii="Arial" w:cs="Arial" w:eastAsia="Arial" w:hAnsi="Arial"/>
                <w:sz w:val="15"/>
                <w:szCs w:val="15"/>
                <w:color w:val="0000EE"/>
                <w:w w:val="97"/>
              </w:rPr>
              <w:t>Board Composition Matrix</w:t>
            </w:r>
          </w:p>
        </w:tc>
        <w:tc>
          <w:tcPr>
            <w:tcW w:w="3000" w:type="dxa"/>
            <w:vAlign w:val="bottom"/>
            <w:gridSpan w:val="28"/>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0000EE"/>
            </w:tcBorders>
            <w:gridSpan w:val="5"/>
          </w:tcPr>
          <w:p>
            <w:pPr>
              <w:spacing w:after="0" w:line="162" w:lineRule="exact"/>
              <w:rPr>
                <w:sz w:val="20"/>
                <w:szCs w:val="20"/>
                <w:color w:val="auto"/>
              </w:rPr>
            </w:pPr>
            <w:r>
              <w:rPr>
                <w:rFonts w:ascii="Arial" w:cs="Arial" w:eastAsia="Arial" w:hAnsi="Arial"/>
                <w:sz w:val="15"/>
                <w:szCs w:val="15"/>
                <w:color w:val="0000EE"/>
                <w:w w:val="96"/>
              </w:rPr>
              <w:t>Board Diversity</w:t>
            </w:r>
          </w:p>
        </w:tc>
        <w:tc>
          <w:tcPr>
            <w:tcW w:w="3700" w:type="dxa"/>
            <w:vAlign w:val="bottom"/>
            <w:gridSpan w:val="43"/>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62"/>
        </w:trPr>
        <w:tc>
          <w:tcPr>
            <w:tcW w:w="3280" w:type="dxa"/>
            <w:vAlign w:val="bottom"/>
            <w:tcBorders>
              <w:bottom w:val="single" w:sz="8" w:color="0000EE"/>
            </w:tcBorders>
            <w:gridSpan w:val="39"/>
          </w:tcPr>
          <w:p>
            <w:pPr>
              <w:spacing w:after="0" w:line="162" w:lineRule="exact"/>
              <w:rPr>
                <w:sz w:val="20"/>
                <w:szCs w:val="20"/>
                <w:color w:val="auto"/>
              </w:rPr>
            </w:pPr>
            <w:r>
              <w:rPr>
                <w:rFonts w:ascii="Arial" w:cs="Arial" w:eastAsia="Arial" w:hAnsi="Arial"/>
                <w:sz w:val="15"/>
                <w:szCs w:val="15"/>
                <w:color w:val="0000EE"/>
                <w:w w:val="97"/>
              </w:rPr>
              <w:t>Biographical Information About Director Nominees</w:t>
            </w:r>
          </w:p>
        </w:tc>
        <w:tc>
          <w:tcPr>
            <w:tcW w:w="1420" w:type="dxa"/>
            <w:vAlign w:val="bottom"/>
            <w:gridSpan w:val="9"/>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88"/>
        </w:trPr>
        <w:tc>
          <w:tcPr>
            <w:tcW w:w="4700" w:type="dxa"/>
            <w:vAlign w:val="bottom"/>
            <w:gridSpan w:val="48"/>
          </w:tcPr>
          <w:p>
            <w:pPr>
              <w:spacing w:after="0"/>
              <w:rPr>
                <w:sz w:val="20"/>
                <w:szCs w:val="20"/>
                <w:color w:val="auto"/>
              </w:rPr>
            </w:pPr>
            <w:r>
              <w:rPr>
                <w:rFonts w:ascii="Arial" w:cs="Arial" w:eastAsia="Arial" w:hAnsi="Arial"/>
                <w:sz w:val="15"/>
                <w:szCs w:val="15"/>
                <w:b w:val="1"/>
                <w:bCs w:val="1"/>
                <w:color w:val="0000EE"/>
              </w:rPr>
              <w:t>Corporate Governance</w:t>
            </w:r>
          </w:p>
        </w:tc>
        <w:tc>
          <w:tcPr>
            <w:tcW w:w="380" w:type="dxa"/>
            <w:vAlign w:val="bottom"/>
          </w:tcPr>
          <w:p>
            <w:pPr>
              <w:jc w:val="right"/>
              <w:ind w:right="6"/>
              <w:spacing w:after="0"/>
              <w:rPr>
                <w:sz w:val="20"/>
                <w:szCs w:val="20"/>
                <w:color w:val="auto"/>
              </w:rPr>
            </w:pPr>
            <w:r>
              <w:rPr>
                <w:rFonts w:ascii="Arial" w:cs="Arial" w:eastAsia="Arial" w:hAnsi="Arial"/>
                <w:sz w:val="15"/>
                <w:szCs w:val="15"/>
                <w:b w:val="1"/>
                <w:bCs w:val="1"/>
                <w:color w:val="0A9E50"/>
              </w:rPr>
              <w:t>23</w:t>
            </w: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0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1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30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38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4700" w:type="dxa"/>
            <w:vAlign w:val="bottom"/>
            <w:gridSpan w:val="48"/>
          </w:tcPr>
          <w:p>
            <w:pPr>
              <w:spacing w:after="0" w:line="136" w:lineRule="exact"/>
              <w:rPr>
                <w:sz w:val="20"/>
                <w:szCs w:val="20"/>
                <w:color w:val="auto"/>
              </w:rPr>
            </w:pPr>
            <w:r>
              <w:rPr>
                <w:rFonts w:ascii="Arial" w:cs="Arial" w:eastAsia="Arial" w:hAnsi="Arial"/>
                <w:sz w:val="15"/>
                <w:szCs w:val="15"/>
                <w:color w:val="0000EE"/>
              </w:rPr>
              <w:t>Compliance with Nasdaq Independence Standards for Non-Controlled</w:t>
            </w:r>
          </w:p>
        </w:tc>
        <w:tc>
          <w:tcPr>
            <w:tcW w:w="380" w:type="dxa"/>
            <w:vAlign w:val="bottom"/>
            <w:vMerge w:val="restart"/>
          </w:tcPr>
          <w:p>
            <w:pPr>
              <w:jc w:val="right"/>
              <w:ind w:right="6"/>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36"/>
        </w:trPr>
        <w:tc>
          <w:tcPr>
            <w:tcW w:w="4560" w:type="dxa"/>
            <w:vAlign w:val="bottom"/>
            <w:tcBorders>
              <w:top w:val="single" w:sz="8" w:color="0000EE"/>
            </w:tcBorders>
            <w:gridSpan w:val="47"/>
          </w:tcPr>
          <w:p>
            <w:pPr>
              <w:spacing w:after="0" w:line="136" w:lineRule="exact"/>
              <w:rPr>
                <w:sz w:val="20"/>
                <w:szCs w:val="20"/>
                <w:color w:val="auto"/>
              </w:rPr>
            </w:pPr>
            <w:r>
              <w:rPr>
                <w:rFonts w:ascii="Arial" w:cs="Arial" w:eastAsia="Arial" w:hAnsi="Arial"/>
                <w:sz w:val="15"/>
                <w:szCs w:val="15"/>
                <w:color w:val="0000EE"/>
              </w:rPr>
              <w:t>Companies</w:t>
            </w:r>
          </w:p>
        </w:tc>
        <w:tc>
          <w:tcPr>
            <w:tcW w:w="1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Role of the Board of Directors</w:t>
            </w: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40" w:type="dxa"/>
            <w:vAlign w:val="bottom"/>
            <w:tcBorders>
              <w:bottom w:val="single" w:sz="8" w:color="0000EE"/>
            </w:tcBorders>
            <w:gridSpan w:val="36"/>
          </w:tcPr>
          <w:p>
            <w:pPr>
              <w:spacing w:after="0" w:line="162" w:lineRule="exact"/>
              <w:rPr>
                <w:sz w:val="20"/>
                <w:szCs w:val="20"/>
                <w:color w:val="auto"/>
              </w:rPr>
            </w:pPr>
            <w:r>
              <w:rPr>
                <w:rFonts w:ascii="Arial" w:cs="Arial" w:eastAsia="Arial" w:hAnsi="Arial"/>
                <w:sz w:val="15"/>
                <w:szCs w:val="15"/>
                <w:color w:val="0000EE"/>
                <w:w w:val="97"/>
              </w:rPr>
              <w:t>Board Leadership and Governance Structure</w:t>
            </w:r>
          </w:p>
        </w:tc>
        <w:tc>
          <w:tcPr>
            <w:tcW w:w="1760" w:type="dxa"/>
            <w:vAlign w:val="bottom"/>
            <w:gridSpan w:val="12"/>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62"/>
        </w:trPr>
        <w:tc>
          <w:tcPr>
            <w:tcW w:w="1640" w:type="dxa"/>
            <w:vAlign w:val="bottom"/>
            <w:tcBorders>
              <w:bottom w:val="single" w:sz="8" w:color="0000EE"/>
            </w:tcBorders>
            <w:gridSpan w:val="18"/>
          </w:tcPr>
          <w:p>
            <w:pPr>
              <w:spacing w:after="0" w:line="162" w:lineRule="exact"/>
              <w:rPr>
                <w:sz w:val="20"/>
                <w:szCs w:val="20"/>
                <w:color w:val="auto"/>
              </w:rPr>
            </w:pPr>
            <w:r>
              <w:rPr>
                <w:rFonts w:ascii="Arial" w:cs="Arial" w:eastAsia="Arial" w:hAnsi="Arial"/>
                <w:sz w:val="15"/>
                <w:szCs w:val="15"/>
                <w:color w:val="0000EE"/>
                <w:w w:val="97"/>
              </w:rPr>
              <w:t>Committees of the Board</w:t>
            </w:r>
          </w:p>
        </w:tc>
        <w:tc>
          <w:tcPr>
            <w:tcW w:w="3060" w:type="dxa"/>
            <w:vAlign w:val="bottom"/>
            <w:gridSpan w:val="30"/>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62"/>
        </w:trPr>
        <w:tc>
          <w:tcPr>
            <w:tcW w:w="2120" w:type="dxa"/>
            <w:vAlign w:val="bottom"/>
            <w:tcBorders>
              <w:bottom w:val="single" w:sz="8" w:color="0000EE"/>
            </w:tcBorders>
            <w:gridSpan w:val="27"/>
          </w:tcPr>
          <w:p>
            <w:pPr>
              <w:spacing w:after="0" w:line="162" w:lineRule="exact"/>
              <w:rPr>
                <w:sz w:val="20"/>
                <w:szCs w:val="20"/>
                <w:color w:val="auto"/>
              </w:rPr>
            </w:pPr>
            <w:r>
              <w:rPr>
                <w:rFonts w:ascii="Arial" w:cs="Arial" w:eastAsia="Arial" w:hAnsi="Arial"/>
                <w:sz w:val="15"/>
                <w:szCs w:val="15"/>
                <w:color w:val="0000EE"/>
                <w:w w:val="98"/>
              </w:rPr>
              <w:t>Risk Governance and Oversight</w:t>
            </w:r>
          </w:p>
        </w:tc>
        <w:tc>
          <w:tcPr>
            <w:tcW w:w="2580" w:type="dxa"/>
            <w:vAlign w:val="bottom"/>
            <w:gridSpan w:val="21"/>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Kelly’s Corporate Sustainability and ESG Strategy – Growing with</w:t>
            </w:r>
          </w:p>
        </w:tc>
        <w:tc>
          <w:tcPr>
            <w:tcW w:w="380" w:type="dxa"/>
            <w:vAlign w:val="bottom"/>
            <w:vMerge w:val="restart"/>
          </w:tcPr>
          <w:p>
            <w:pPr>
              <w:jc w:val="right"/>
              <w:ind w:right="6"/>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36"/>
        </w:trPr>
        <w:tc>
          <w:tcPr>
            <w:tcW w:w="4280" w:type="dxa"/>
            <w:vAlign w:val="bottom"/>
            <w:tcBorders>
              <w:top w:val="single" w:sz="8" w:color="0000EE"/>
            </w:tcBorders>
            <w:gridSpan w:val="44"/>
          </w:tcPr>
          <w:p>
            <w:pPr>
              <w:spacing w:after="0" w:line="136" w:lineRule="exact"/>
              <w:rPr>
                <w:sz w:val="20"/>
                <w:szCs w:val="20"/>
                <w:color w:val="auto"/>
              </w:rPr>
            </w:pPr>
            <w:r>
              <w:rPr>
                <w:rFonts w:ascii="Arial" w:cs="Arial" w:eastAsia="Arial" w:hAnsi="Arial"/>
                <w:sz w:val="15"/>
                <w:szCs w:val="15"/>
                <w:color w:val="0000EE"/>
              </w:rPr>
              <w:t>Purpose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80" w:type="dxa"/>
            <w:vAlign w:val="bottom"/>
            <w:tcBorders>
              <w:bottom w:val="single" w:sz="8" w:color="0000EE"/>
            </w:tcBorders>
            <w:gridSpan w:val="4"/>
          </w:tcPr>
          <w:p>
            <w:pPr>
              <w:spacing w:after="0" w:line="162" w:lineRule="exact"/>
              <w:rPr>
                <w:sz w:val="20"/>
                <w:szCs w:val="20"/>
                <w:color w:val="auto"/>
              </w:rPr>
            </w:pPr>
            <w:r>
              <w:rPr>
                <w:rFonts w:ascii="Arial" w:cs="Arial" w:eastAsia="Arial" w:hAnsi="Arial"/>
                <w:sz w:val="15"/>
                <w:szCs w:val="15"/>
                <w:color w:val="0000EE"/>
                <w:w w:val="96"/>
              </w:rPr>
              <w:t>Human Capital</w:t>
            </w:r>
          </w:p>
        </w:tc>
        <w:tc>
          <w:tcPr>
            <w:tcW w:w="3720" w:type="dxa"/>
            <w:vAlign w:val="bottom"/>
            <w:gridSpan w:val="44"/>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62"/>
        </w:trPr>
        <w:tc>
          <w:tcPr>
            <w:tcW w:w="1740" w:type="dxa"/>
            <w:vAlign w:val="bottom"/>
            <w:tcBorders>
              <w:bottom w:val="single" w:sz="8" w:color="0000EE"/>
            </w:tcBorders>
            <w:gridSpan w:val="21"/>
          </w:tcPr>
          <w:p>
            <w:pPr>
              <w:spacing w:after="0" w:line="162" w:lineRule="exact"/>
              <w:rPr>
                <w:sz w:val="20"/>
                <w:szCs w:val="20"/>
                <w:color w:val="auto"/>
              </w:rPr>
            </w:pPr>
            <w:r>
              <w:rPr>
                <w:rFonts w:ascii="Arial" w:cs="Arial" w:eastAsia="Arial" w:hAnsi="Arial"/>
                <w:sz w:val="15"/>
                <w:szCs w:val="15"/>
                <w:color w:val="0000EE"/>
                <w:w w:val="97"/>
              </w:rPr>
              <w:t>Director Selection Process</w:t>
            </w:r>
          </w:p>
        </w:tc>
        <w:tc>
          <w:tcPr>
            <w:tcW w:w="2960" w:type="dxa"/>
            <w:vAlign w:val="bottom"/>
            <w:gridSpan w:val="27"/>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Director Attendance</w:t>
            </w: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62"/>
        </w:trPr>
        <w:tc>
          <w:tcPr>
            <w:tcW w:w="1140" w:type="dxa"/>
            <w:vAlign w:val="bottom"/>
            <w:tcBorders>
              <w:top w:val="single" w:sz="8" w:color="0000EE"/>
              <w:bottom w:val="single" w:sz="8" w:color="0000EE"/>
            </w:tcBorders>
            <w:gridSpan w:val="9"/>
          </w:tcPr>
          <w:p>
            <w:pPr>
              <w:spacing w:after="0" w:line="162" w:lineRule="exact"/>
              <w:rPr>
                <w:sz w:val="20"/>
                <w:szCs w:val="20"/>
                <w:color w:val="auto"/>
              </w:rPr>
            </w:pPr>
            <w:r>
              <w:rPr>
                <w:rFonts w:ascii="Arial" w:cs="Arial" w:eastAsia="Arial" w:hAnsi="Arial"/>
                <w:sz w:val="15"/>
                <w:szCs w:val="15"/>
                <w:color w:val="0000EE"/>
                <w:w w:val="97"/>
              </w:rPr>
              <w:t>Size of the Board</w:t>
            </w:r>
          </w:p>
        </w:tc>
        <w:tc>
          <w:tcPr>
            <w:tcW w:w="160" w:type="dxa"/>
            <w:vAlign w:val="bottom"/>
            <w:tcBorders>
              <w:top w:val="single" w:sz="8" w:color="0000EE"/>
            </w:tcBorders>
            <w:gridSpan w:val="3"/>
          </w:tcPr>
          <w:p>
            <w:pPr>
              <w:spacing w:after="0"/>
              <w:rPr>
                <w:sz w:val="14"/>
                <w:szCs w:val="14"/>
                <w:color w:val="auto"/>
              </w:rPr>
            </w:pPr>
          </w:p>
        </w:tc>
        <w:tc>
          <w:tcPr>
            <w:tcW w:w="3400" w:type="dxa"/>
            <w:vAlign w:val="bottom"/>
            <w:gridSpan w:val="36"/>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Director Tenure</w:t>
            </w: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Director Service on Outside Public Company Boards</w:t>
            </w: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62"/>
        </w:trPr>
        <w:tc>
          <w:tcPr>
            <w:tcW w:w="3420" w:type="dxa"/>
            <w:vAlign w:val="bottom"/>
            <w:tcBorders>
              <w:top w:val="single" w:sz="8" w:color="0000EE"/>
            </w:tcBorders>
            <w:gridSpan w:val="40"/>
          </w:tcPr>
          <w:p>
            <w:pPr>
              <w:spacing w:after="0" w:line="162" w:lineRule="exact"/>
              <w:rPr>
                <w:sz w:val="20"/>
                <w:szCs w:val="20"/>
                <w:color w:val="auto"/>
              </w:rPr>
            </w:pPr>
            <w:r>
              <w:rPr>
                <w:rFonts w:ascii="Arial" w:cs="Arial" w:eastAsia="Arial" w:hAnsi="Arial"/>
                <w:sz w:val="15"/>
                <w:szCs w:val="15"/>
                <w:color w:val="0000EE"/>
              </w:rPr>
              <w:t>Director Orientation and Continuing Education</w:t>
            </w:r>
          </w:p>
        </w:tc>
        <w:tc>
          <w:tcPr>
            <w:tcW w:w="1280" w:type="dxa"/>
            <w:vAlign w:val="bottom"/>
            <w:gridSpan w:val="8"/>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62"/>
        </w:trPr>
        <w:tc>
          <w:tcPr>
            <w:tcW w:w="2600" w:type="dxa"/>
            <w:vAlign w:val="bottom"/>
            <w:tcBorders>
              <w:top w:val="single" w:sz="8" w:color="0000EE"/>
              <w:bottom w:val="single" w:sz="8" w:color="0000EE"/>
            </w:tcBorders>
            <w:gridSpan w:val="34"/>
          </w:tcPr>
          <w:p>
            <w:pPr>
              <w:spacing w:after="0" w:line="162" w:lineRule="exact"/>
              <w:rPr>
                <w:sz w:val="20"/>
                <w:szCs w:val="20"/>
                <w:color w:val="auto"/>
              </w:rPr>
            </w:pPr>
            <w:r>
              <w:rPr>
                <w:rFonts w:ascii="Arial" w:cs="Arial" w:eastAsia="Arial" w:hAnsi="Arial"/>
                <w:sz w:val="15"/>
                <w:szCs w:val="15"/>
                <w:color w:val="0000EE"/>
                <w:w w:val="97"/>
              </w:rPr>
              <w:t>Board, Committee, and Peer Evaluation</w:t>
            </w:r>
          </w:p>
        </w:tc>
        <w:tc>
          <w:tcPr>
            <w:tcW w:w="400" w:type="dxa"/>
            <w:vAlign w:val="bottom"/>
            <w:tcBorders>
              <w:top w:val="single" w:sz="8" w:color="0000EE"/>
            </w:tcBorders>
            <w:gridSpan w:val="4"/>
          </w:tcPr>
          <w:p>
            <w:pPr>
              <w:spacing w:after="0"/>
              <w:rPr>
                <w:sz w:val="14"/>
                <w:szCs w:val="14"/>
                <w:color w:val="auto"/>
              </w:rPr>
            </w:pPr>
          </w:p>
        </w:tc>
        <w:tc>
          <w:tcPr>
            <w:tcW w:w="1700" w:type="dxa"/>
            <w:vAlign w:val="bottom"/>
            <w:gridSpan w:val="10"/>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62"/>
        </w:trPr>
        <w:tc>
          <w:tcPr>
            <w:tcW w:w="2480" w:type="dxa"/>
            <w:vAlign w:val="bottom"/>
            <w:tcBorders>
              <w:bottom w:val="single" w:sz="8" w:color="0000EE"/>
            </w:tcBorders>
            <w:gridSpan w:val="33"/>
          </w:tcPr>
          <w:p>
            <w:pPr>
              <w:spacing w:after="0" w:line="162" w:lineRule="exact"/>
              <w:rPr>
                <w:sz w:val="20"/>
                <w:szCs w:val="20"/>
                <w:color w:val="auto"/>
              </w:rPr>
            </w:pPr>
            <w:r>
              <w:rPr>
                <w:rFonts w:ascii="Arial" w:cs="Arial" w:eastAsia="Arial" w:hAnsi="Arial"/>
                <w:sz w:val="15"/>
                <w:szCs w:val="15"/>
                <w:color w:val="0000EE"/>
                <w:w w:val="97"/>
              </w:rPr>
              <w:t>Code of Business Conduct and Ethics</w:t>
            </w:r>
          </w:p>
        </w:tc>
        <w:tc>
          <w:tcPr>
            <w:tcW w:w="2220" w:type="dxa"/>
            <w:vAlign w:val="bottom"/>
            <w:gridSpan w:val="15"/>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Related Person Transactions and Certain Relationships</w:t>
            </w: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88"/>
        </w:trPr>
        <w:tc>
          <w:tcPr>
            <w:tcW w:w="3620" w:type="dxa"/>
            <w:vAlign w:val="bottom"/>
            <w:tcBorders>
              <w:top w:val="single" w:sz="8" w:color="0000EE"/>
            </w:tcBorders>
            <w:gridSpan w:val="42"/>
          </w:tcPr>
          <w:p>
            <w:pPr>
              <w:spacing w:after="0"/>
              <w:rPr>
                <w:sz w:val="20"/>
                <w:szCs w:val="20"/>
                <w:color w:val="auto"/>
              </w:rPr>
            </w:pPr>
            <w:r>
              <w:rPr>
                <w:rFonts w:ascii="Arial" w:cs="Arial" w:eastAsia="Arial" w:hAnsi="Arial"/>
                <w:sz w:val="15"/>
                <w:szCs w:val="15"/>
                <w:b w:val="1"/>
                <w:bCs w:val="1"/>
                <w:color w:val="0000EE"/>
              </w:rPr>
              <w:t>Director Compensation</w:t>
            </w:r>
          </w:p>
        </w:tc>
        <w:tc>
          <w:tcPr>
            <w:tcW w:w="1080" w:type="dxa"/>
            <w:vAlign w:val="bottom"/>
            <w:gridSpan w:val="6"/>
          </w:tcPr>
          <w:p>
            <w:pPr>
              <w:spacing w:after="0"/>
              <w:rPr>
                <w:sz w:val="16"/>
                <w:szCs w:val="16"/>
                <w:color w:val="auto"/>
              </w:rPr>
            </w:pPr>
          </w:p>
        </w:tc>
        <w:tc>
          <w:tcPr>
            <w:tcW w:w="380" w:type="dxa"/>
            <w:vAlign w:val="bottom"/>
          </w:tcPr>
          <w:p>
            <w:pPr>
              <w:jc w:val="right"/>
              <w:ind w:right="6"/>
              <w:spacing w:after="0"/>
              <w:rPr>
                <w:sz w:val="20"/>
                <w:szCs w:val="20"/>
                <w:color w:val="auto"/>
              </w:rPr>
            </w:pPr>
            <w:r>
              <w:rPr>
                <w:rFonts w:ascii="Arial" w:cs="Arial" w:eastAsia="Arial" w:hAnsi="Arial"/>
                <w:sz w:val="15"/>
                <w:szCs w:val="15"/>
                <w:b w:val="1"/>
                <w:bCs w:val="1"/>
                <w:color w:val="0A9E50"/>
              </w:rPr>
              <w:t>41</w:t>
            </w: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0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1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30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38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4700" w:type="dxa"/>
            <w:vAlign w:val="bottom"/>
            <w:gridSpan w:val="48"/>
          </w:tcPr>
          <w:p>
            <w:pPr>
              <w:spacing w:after="0" w:line="136" w:lineRule="exact"/>
              <w:rPr>
                <w:sz w:val="20"/>
                <w:szCs w:val="20"/>
                <w:color w:val="auto"/>
              </w:rPr>
            </w:pPr>
            <w:r>
              <w:rPr>
                <w:rFonts w:ascii="Arial" w:cs="Arial" w:eastAsia="Arial" w:hAnsi="Arial"/>
                <w:sz w:val="15"/>
                <w:szCs w:val="15"/>
                <w:color w:val="0000EE"/>
              </w:rPr>
              <w:t>Director Compensation Design</w:t>
            </w:r>
          </w:p>
        </w:tc>
        <w:tc>
          <w:tcPr>
            <w:tcW w:w="380" w:type="dxa"/>
            <w:vAlign w:val="bottom"/>
          </w:tcPr>
          <w:p>
            <w:pPr>
              <w:jc w:val="right"/>
              <w:ind w:right="6"/>
              <w:spacing w:after="0" w:line="136" w:lineRule="exact"/>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300" w:type="dxa"/>
            <w:vAlign w:val="bottom"/>
            <w:gridSpan w:val="7"/>
            <w:shd w:val="clear" w:color="auto" w:fill="0000EE"/>
          </w:tcPr>
          <w:p>
            <w:pPr>
              <w:spacing w:after="0" w:line="20" w:lineRule="exact"/>
              <w:rPr>
                <w:sz w:val="1"/>
                <w:szCs w:val="1"/>
                <w:color w:val="auto"/>
              </w:rPr>
            </w:pPr>
          </w:p>
        </w:tc>
        <w:tc>
          <w:tcPr>
            <w:tcW w:w="560" w:type="dxa"/>
            <w:vAlign w:val="bottom"/>
            <w:tcBorders>
              <w:right w:val="single" w:sz="8" w:color="0000EE"/>
            </w:tcBorders>
            <w:gridSpan w:val="9"/>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00" w:type="dxa"/>
            <w:vAlign w:val="bottom"/>
            <w:tcBorders>
              <w:bottom w:val="single" w:sz="8" w:color="0000EE"/>
            </w:tcBorders>
            <w:gridSpan w:val="26"/>
          </w:tcPr>
          <w:p>
            <w:pPr>
              <w:spacing w:after="0" w:line="162" w:lineRule="exact"/>
              <w:rPr>
                <w:sz w:val="20"/>
                <w:szCs w:val="20"/>
                <w:color w:val="auto"/>
              </w:rPr>
            </w:pPr>
            <w:r>
              <w:rPr>
                <w:rFonts w:ascii="Arial" w:cs="Arial" w:eastAsia="Arial" w:hAnsi="Arial"/>
                <w:sz w:val="15"/>
                <w:szCs w:val="15"/>
                <w:color w:val="0000EE"/>
                <w:w w:val="98"/>
              </w:rPr>
              <w:t>Stock Ownership Requirements</w:t>
            </w:r>
          </w:p>
        </w:tc>
        <w:tc>
          <w:tcPr>
            <w:tcW w:w="2600" w:type="dxa"/>
            <w:vAlign w:val="bottom"/>
            <w:gridSpan w:val="22"/>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Non-Employee Directors Deferred Compensation Plan</w:t>
            </w: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62"/>
        </w:trPr>
        <w:tc>
          <w:tcPr>
            <w:tcW w:w="1880" w:type="dxa"/>
            <w:vAlign w:val="bottom"/>
            <w:tcBorders>
              <w:top w:val="single" w:sz="8" w:color="0000EE"/>
              <w:bottom w:val="single" w:sz="8" w:color="0000EE"/>
            </w:tcBorders>
            <w:gridSpan w:val="22"/>
          </w:tcPr>
          <w:p>
            <w:pPr>
              <w:spacing w:after="0" w:line="162" w:lineRule="exact"/>
              <w:rPr>
                <w:sz w:val="20"/>
                <w:szCs w:val="20"/>
                <w:color w:val="auto"/>
              </w:rPr>
            </w:pPr>
            <w:r>
              <w:rPr>
                <w:rFonts w:ascii="Arial" w:cs="Arial" w:eastAsia="Arial" w:hAnsi="Arial"/>
                <w:sz w:val="15"/>
                <w:szCs w:val="15"/>
                <w:color w:val="0000EE"/>
                <w:w w:val="96"/>
              </w:rPr>
              <w:t>2023 Director Compensation</w:t>
            </w:r>
          </w:p>
        </w:tc>
        <w:tc>
          <w:tcPr>
            <w:tcW w:w="1660" w:type="dxa"/>
            <w:vAlign w:val="bottom"/>
            <w:tcBorders>
              <w:top w:val="single" w:sz="8" w:color="0000EE"/>
            </w:tcBorders>
            <w:gridSpan w:val="19"/>
          </w:tcPr>
          <w:p>
            <w:pPr>
              <w:spacing w:after="0"/>
              <w:rPr>
                <w:sz w:val="14"/>
                <w:szCs w:val="14"/>
                <w:color w:val="auto"/>
              </w:rPr>
            </w:pPr>
          </w:p>
        </w:tc>
        <w:tc>
          <w:tcPr>
            <w:tcW w:w="1160" w:type="dxa"/>
            <w:vAlign w:val="bottom"/>
            <w:gridSpan w:val="7"/>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88"/>
        </w:trPr>
        <w:tc>
          <w:tcPr>
            <w:tcW w:w="4700" w:type="dxa"/>
            <w:vAlign w:val="bottom"/>
            <w:gridSpan w:val="48"/>
          </w:tcPr>
          <w:p>
            <w:pPr>
              <w:spacing w:after="0"/>
              <w:rPr>
                <w:sz w:val="20"/>
                <w:szCs w:val="20"/>
                <w:color w:val="auto"/>
              </w:rPr>
            </w:pPr>
            <w:r>
              <w:rPr>
                <w:rFonts w:ascii="Arial" w:cs="Arial" w:eastAsia="Arial" w:hAnsi="Arial"/>
                <w:sz w:val="15"/>
                <w:szCs w:val="15"/>
                <w:b w:val="1"/>
                <w:bCs w:val="1"/>
                <w:color w:val="0000EE"/>
              </w:rPr>
              <w:t>Beneficial Ownership of Shares</w:t>
            </w:r>
          </w:p>
        </w:tc>
        <w:tc>
          <w:tcPr>
            <w:tcW w:w="380" w:type="dxa"/>
            <w:vAlign w:val="bottom"/>
          </w:tcPr>
          <w:p>
            <w:pPr>
              <w:jc w:val="right"/>
              <w:ind w:right="6"/>
              <w:spacing w:after="0"/>
              <w:rPr>
                <w:sz w:val="20"/>
                <w:szCs w:val="20"/>
                <w:color w:val="auto"/>
              </w:rPr>
            </w:pPr>
            <w:r>
              <w:rPr>
                <w:rFonts w:ascii="Arial" w:cs="Arial" w:eastAsia="Arial" w:hAnsi="Arial"/>
                <w:sz w:val="15"/>
                <w:szCs w:val="15"/>
                <w:b w:val="1"/>
                <w:bCs w:val="1"/>
                <w:color w:val="0A9E50"/>
              </w:rPr>
              <w:t>43</w:t>
            </w: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0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1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14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30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38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180" w:type="dxa"/>
            <w:vAlign w:val="bottom"/>
            <w:tcBorders>
              <w:bottom w:val="single" w:sz="8" w:color="0000EE"/>
            </w:tcBorders>
            <w:gridSpan w:val="28"/>
          </w:tcPr>
          <w:p>
            <w:pPr>
              <w:spacing w:after="0" w:line="136" w:lineRule="exact"/>
              <w:rPr>
                <w:sz w:val="20"/>
                <w:szCs w:val="20"/>
                <w:color w:val="auto"/>
              </w:rPr>
            </w:pPr>
            <w:r>
              <w:rPr>
                <w:rFonts w:ascii="Arial" w:cs="Arial" w:eastAsia="Arial" w:hAnsi="Arial"/>
                <w:sz w:val="15"/>
                <w:szCs w:val="15"/>
                <w:color w:val="0000EE"/>
                <w:w w:val="97"/>
              </w:rPr>
              <w:t>Delinquent Section 16(a) Reports</w:t>
            </w:r>
          </w:p>
        </w:tc>
        <w:tc>
          <w:tcPr>
            <w:tcW w:w="2520" w:type="dxa"/>
            <w:vAlign w:val="bottom"/>
            <w:gridSpan w:val="20"/>
          </w:tcPr>
          <w:p>
            <w:pPr>
              <w:spacing w:after="0"/>
              <w:rPr>
                <w:sz w:val="11"/>
                <w:szCs w:val="11"/>
                <w:color w:val="auto"/>
              </w:rPr>
            </w:pPr>
          </w:p>
        </w:tc>
        <w:tc>
          <w:tcPr>
            <w:tcW w:w="380" w:type="dxa"/>
            <w:vAlign w:val="bottom"/>
          </w:tcPr>
          <w:p>
            <w:pPr>
              <w:jc w:val="right"/>
              <w:ind w:right="6"/>
              <w:spacing w:after="0" w:line="136" w:lineRule="exact"/>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88"/>
        </w:trPr>
        <w:tc>
          <w:tcPr>
            <w:tcW w:w="4700" w:type="dxa"/>
            <w:vAlign w:val="bottom"/>
            <w:gridSpan w:val="48"/>
          </w:tcPr>
          <w:p>
            <w:pPr>
              <w:spacing w:after="0"/>
              <w:rPr>
                <w:sz w:val="20"/>
                <w:szCs w:val="20"/>
                <w:color w:val="auto"/>
              </w:rPr>
            </w:pPr>
            <w:r>
              <w:rPr>
                <w:rFonts w:ascii="Arial" w:cs="Arial" w:eastAsia="Arial" w:hAnsi="Arial"/>
                <w:sz w:val="15"/>
                <w:szCs w:val="15"/>
                <w:b w:val="1"/>
                <w:bCs w:val="1"/>
                <w:color w:val="0000EE"/>
              </w:rPr>
              <w:t>Proposal 2: Advisory Vote to Approve the Company’s Executive</w:t>
            </w:r>
          </w:p>
        </w:tc>
        <w:tc>
          <w:tcPr>
            <w:tcW w:w="38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0A9E50"/>
              </w:rPr>
              <w:t>45</w:t>
            </w:r>
          </w:p>
        </w:tc>
        <w:tc>
          <w:tcPr>
            <w:tcW w:w="0" w:type="dxa"/>
            <w:vAlign w:val="bottom"/>
          </w:tcPr>
          <w:p>
            <w:pPr>
              <w:spacing w:after="0"/>
              <w:rPr>
                <w:sz w:val="1"/>
                <w:szCs w:val="1"/>
                <w:color w:val="auto"/>
              </w:rPr>
            </w:pPr>
          </w:p>
        </w:tc>
      </w:tr>
      <w:tr>
        <w:trPr>
          <w:trHeight w:val="136"/>
        </w:trPr>
        <w:tc>
          <w:tcPr>
            <w:tcW w:w="4460" w:type="dxa"/>
            <w:vAlign w:val="bottom"/>
            <w:tcBorders>
              <w:top w:val="single" w:sz="8" w:color="0000EE"/>
            </w:tcBorders>
            <w:gridSpan w:val="45"/>
          </w:tcPr>
          <w:p>
            <w:pPr>
              <w:spacing w:after="0" w:line="136" w:lineRule="exact"/>
              <w:rPr>
                <w:sz w:val="20"/>
                <w:szCs w:val="20"/>
                <w:color w:val="auto"/>
              </w:rPr>
            </w:pPr>
            <w:r>
              <w:rPr>
                <w:rFonts w:ascii="Arial" w:cs="Arial" w:eastAsia="Arial" w:hAnsi="Arial"/>
                <w:sz w:val="15"/>
                <w:szCs w:val="15"/>
                <w:b w:val="1"/>
                <w:bCs w:val="1"/>
                <w:color w:val="0000EE"/>
              </w:rPr>
              <w:t>Compensation</w:t>
            </w:r>
          </w:p>
        </w:tc>
        <w:tc>
          <w:tcPr>
            <w:tcW w:w="2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0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30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38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700" w:type="dxa"/>
            <w:vAlign w:val="bottom"/>
            <w:gridSpan w:val="48"/>
          </w:tcPr>
          <w:p>
            <w:pPr>
              <w:spacing w:after="0" w:line="149" w:lineRule="exact"/>
              <w:rPr>
                <w:sz w:val="20"/>
                <w:szCs w:val="20"/>
                <w:color w:val="auto"/>
              </w:rPr>
            </w:pPr>
            <w:r>
              <w:rPr>
                <w:rFonts w:ascii="Arial" w:cs="Arial" w:eastAsia="Arial" w:hAnsi="Arial"/>
                <w:sz w:val="15"/>
                <w:szCs w:val="15"/>
                <w:b w:val="1"/>
                <w:bCs w:val="1"/>
                <w:color w:val="0000EE"/>
              </w:rPr>
              <w:t>Compensation Discussion and Analysis</w:t>
            </w:r>
          </w:p>
        </w:tc>
        <w:tc>
          <w:tcPr>
            <w:tcW w:w="380" w:type="dxa"/>
            <w:vAlign w:val="bottom"/>
          </w:tcPr>
          <w:p>
            <w:pPr>
              <w:jc w:val="right"/>
              <w:ind w:right="6"/>
              <w:spacing w:after="0" w:line="149" w:lineRule="exact"/>
              <w:rPr>
                <w:sz w:val="20"/>
                <w:szCs w:val="20"/>
                <w:color w:val="auto"/>
              </w:rPr>
            </w:pPr>
            <w:r>
              <w:rPr>
                <w:rFonts w:ascii="Arial" w:cs="Arial" w:eastAsia="Arial" w:hAnsi="Arial"/>
                <w:sz w:val="15"/>
                <w:szCs w:val="15"/>
                <w:b w:val="1"/>
                <w:bCs w:val="1"/>
                <w:color w:val="0A9E50"/>
              </w:rPr>
              <w:t>46</w:t>
            </w: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0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1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14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160" w:type="dxa"/>
            <w:vAlign w:val="bottom"/>
            <w:tcBorders>
              <w:top w:val="single" w:sz="8" w:color="0000EE"/>
              <w:bottom w:val="single" w:sz="8" w:color="0A9E50"/>
            </w:tcBorders>
          </w:tcPr>
          <w:p>
            <w:pPr>
              <w:spacing w:after="0"/>
              <w:rPr>
                <w:sz w:val="5"/>
                <w:szCs w:val="5"/>
                <w:color w:val="auto"/>
              </w:rPr>
            </w:pPr>
          </w:p>
        </w:tc>
        <w:tc>
          <w:tcPr>
            <w:tcW w:w="12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30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38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080" w:type="dxa"/>
            <w:vAlign w:val="bottom"/>
            <w:tcBorders>
              <w:bottom w:val="single" w:sz="8" w:color="0000EE"/>
            </w:tcBorders>
            <w:gridSpan w:val="25"/>
          </w:tcPr>
          <w:p>
            <w:pPr>
              <w:spacing w:after="0" w:line="136" w:lineRule="exact"/>
              <w:rPr>
                <w:sz w:val="20"/>
                <w:szCs w:val="20"/>
                <w:color w:val="auto"/>
              </w:rPr>
            </w:pPr>
            <w:r>
              <w:rPr>
                <w:rFonts w:ascii="Arial" w:cs="Arial" w:eastAsia="Arial" w:hAnsi="Arial"/>
                <w:sz w:val="15"/>
                <w:szCs w:val="15"/>
                <w:color w:val="0000EE"/>
                <w:w w:val="97"/>
              </w:rPr>
              <w:t>2023 Named Executive Officers</w:t>
            </w:r>
          </w:p>
        </w:tc>
        <w:tc>
          <w:tcPr>
            <w:tcW w:w="2620" w:type="dxa"/>
            <w:vAlign w:val="bottom"/>
            <w:gridSpan w:val="23"/>
          </w:tcPr>
          <w:p>
            <w:pPr>
              <w:spacing w:after="0"/>
              <w:rPr>
                <w:sz w:val="11"/>
                <w:szCs w:val="11"/>
                <w:color w:val="auto"/>
              </w:rPr>
            </w:pPr>
          </w:p>
        </w:tc>
        <w:tc>
          <w:tcPr>
            <w:tcW w:w="380" w:type="dxa"/>
            <w:vAlign w:val="bottom"/>
          </w:tcPr>
          <w:p>
            <w:pPr>
              <w:jc w:val="right"/>
              <w:ind w:right="6"/>
              <w:spacing w:after="0" w:line="136"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62"/>
        </w:trPr>
        <w:tc>
          <w:tcPr>
            <w:tcW w:w="1320" w:type="dxa"/>
            <w:vAlign w:val="bottom"/>
            <w:tcBorders>
              <w:bottom w:val="single" w:sz="8" w:color="0000EE"/>
            </w:tcBorders>
            <w:gridSpan w:val="13"/>
          </w:tcPr>
          <w:p>
            <w:pPr>
              <w:spacing w:after="0" w:line="162" w:lineRule="exact"/>
              <w:rPr>
                <w:sz w:val="20"/>
                <w:szCs w:val="20"/>
                <w:color w:val="auto"/>
              </w:rPr>
            </w:pPr>
            <w:r>
              <w:rPr>
                <w:rFonts w:ascii="Arial" w:cs="Arial" w:eastAsia="Arial" w:hAnsi="Arial"/>
                <w:sz w:val="15"/>
                <w:szCs w:val="15"/>
                <w:color w:val="0000EE"/>
                <w:w w:val="97"/>
              </w:rPr>
              <w:t>Executive Summary</w:t>
            </w:r>
          </w:p>
        </w:tc>
        <w:tc>
          <w:tcPr>
            <w:tcW w:w="3380" w:type="dxa"/>
            <w:vAlign w:val="bottom"/>
            <w:gridSpan w:val="35"/>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460" w:type="dxa"/>
            <w:vAlign w:val="bottom"/>
            <w:gridSpan w:val="47"/>
          </w:tcPr>
          <w:p>
            <w:pPr>
              <w:spacing w:after="0" w:line="162" w:lineRule="exact"/>
              <w:rPr>
                <w:sz w:val="20"/>
                <w:szCs w:val="20"/>
                <w:color w:val="auto"/>
              </w:rPr>
            </w:pPr>
            <w:r>
              <w:rPr>
                <w:rFonts w:ascii="Arial" w:cs="Arial" w:eastAsia="Arial" w:hAnsi="Arial"/>
                <w:sz w:val="15"/>
                <w:szCs w:val="15"/>
                <w:color w:val="0000EE"/>
              </w:rPr>
              <w:t>Fiscal 2023 Performance</w:t>
            </w: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40" w:type="dxa"/>
            <w:vAlign w:val="bottom"/>
            <w:tcBorders>
              <w:right w:val="single" w:sz="8" w:color="0000EE"/>
            </w:tcBorders>
            <w:gridSpan w:val="21"/>
            <w:shd w:val="clear" w:color="auto" w:fill="0000EE"/>
          </w:tcPr>
          <w:p>
            <w:pPr>
              <w:spacing w:after="0" w:line="20" w:lineRule="exact"/>
              <w:rPr>
                <w:sz w:val="1"/>
                <w:szCs w:val="1"/>
                <w:color w:val="auto"/>
              </w:rPr>
            </w:pPr>
          </w:p>
        </w:tc>
        <w:tc>
          <w:tcPr>
            <w:tcW w:w="2100" w:type="dxa"/>
            <w:vAlign w:val="bottom"/>
            <w:gridSpan w:val="21"/>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 w:type="dxa"/>
            <w:vAlign w:val="bottom"/>
          </w:tcPr>
          <w:p>
            <w:pPr>
              <w:spacing w:after="0"/>
              <w:rPr>
                <w:sz w:val="14"/>
                <w:szCs w:val="14"/>
                <w:color w:val="auto"/>
              </w:rPr>
            </w:pPr>
          </w:p>
        </w:tc>
        <w:tc>
          <w:tcPr>
            <w:tcW w:w="4240" w:type="dxa"/>
            <w:vAlign w:val="bottom"/>
            <w:tcBorders>
              <w:bottom w:val="single" w:sz="8" w:color="0000EE"/>
            </w:tcBorders>
            <w:gridSpan w:val="45"/>
          </w:tcPr>
          <w:p>
            <w:pPr>
              <w:spacing w:after="0" w:line="162" w:lineRule="exact"/>
              <w:rPr>
                <w:sz w:val="20"/>
                <w:szCs w:val="20"/>
                <w:color w:val="auto"/>
              </w:rPr>
            </w:pPr>
            <w:r>
              <w:rPr>
                <w:rFonts w:ascii="Arial" w:cs="Arial" w:eastAsia="Arial" w:hAnsi="Arial"/>
                <w:sz w:val="15"/>
                <w:szCs w:val="15"/>
                <w:color w:val="0000EE"/>
                <w:w w:val="98"/>
              </w:rPr>
              <w:t>Key Executive Compensation Program Highlights for Fiscal 2023</w:t>
            </w:r>
          </w:p>
        </w:tc>
        <w:tc>
          <w:tcPr>
            <w:tcW w:w="220" w:type="dxa"/>
            <w:vAlign w:val="bottom"/>
            <w:gridSpan w:val="2"/>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640" w:type="dxa"/>
            <w:vAlign w:val="bottom"/>
            <w:tcBorders>
              <w:bottom w:val="single" w:sz="8" w:color="0000EE"/>
            </w:tcBorders>
            <w:gridSpan w:val="21"/>
          </w:tcPr>
          <w:p>
            <w:pPr>
              <w:spacing w:after="0" w:line="162" w:lineRule="exact"/>
              <w:rPr>
                <w:sz w:val="20"/>
                <w:szCs w:val="20"/>
                <w:color w:val="auto"/>
              </w:rPr>
            </w:pPr>
            <w:r>
              <w:rPr>
                <w:rFonts w:ascii="Arial" w:cs="Arial" w:eastAsia="Arial" w:hAnsi="Arial"/>
                <w:sz w:val="15"/>
                <w:szCs w:val="15"/>
                <w:color w:val="0000EE"/>
                <w:w w:val="98"/>
              </w:rPr>
              <w:t>Annual Say on Pay Vote</w:t>
            </w:r>
          </w:p>
        </w:tc>
        <w:tc>
          <w:tcPr>
            <w:tcW w:w="2820" w:type="dxa"/>
            <w:vAlign w:val="bottom"/>
            <w:gridSpan w:val="26"/>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62"/>
        </w:trPr>
        <w:tc>
          <w:tcPr>
            <w:tcW w:w="3980" w:type="dxa"/>
            <w:vAlign w:val="bottom"/>
            <w:tcBorders>
              <w:bottom w:val="single" w:sz="8" w:color="0000EE"/>
            </w:tcBorders>
            <w:gridSpan w:val="43"/>
          </w:tcPr>
          <w:p>
            <w:pPr>
              <w:spacing w:after="0" w:line="162" w:lineRule="exact"/>
              <w:rPr>
                <w:sz w:val="20"/>
                <w:szCs w:val="20"/>
                <w:color w:val="auto"/>
              </w:rPr>
            </w:pPr>
            <w:r>
              <w:rPr>
                <w:rFonts w:ascii="Arial" w:cs="Arial" w:eastAsia="Arial" w:hAnsi="Arial"/>
                <w:sz w:val="15"/>
                <w:szCs w:val="15"/>
                <w:color w:val="0000EE"/>
                <w:w w:val="97"/>
              </w:rPr>
              <w:t>Executive Compensation Philosophy, Objectives, and Design</w:t>
            </w:r>
          </w:p>
        </w:tc>
        <w:tc>
          <w:tcPr>
            <w:tcW w:w="720" w:type="dxa"/>
            <w:vAlign w:val="bottom"/>
            <w:gridSpan w:val="5"/>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38"/>
          <w:szCs w:val="38"/>
          <w:color w:val="auto"/>
          <w:vertAlign w:val="superscript"/>
        </w:rPr>
        <w:t>4 </w:t>
      </w:r>
      <w:r>
        <w:rPr>
          <w:sz w:val="20"/>
          <w:szCs w:val="20"/>
          <w:color w:val="auto"/>
        </w:rPr>
        <w:tab/>
      </w:r>
      <w:r>
        <w:rPr>
          <w:rFonts w:ascii="Arial" w:cs="Arial" w:eastAsia="Arial" w:hAnsi="Arial"/>
          <w:sz w:val="20"/>
          <w:szCs w:val="20"/>
          <w:color w:val="auto"/>
        </w:rPr>
        <w:t xml:space="preserve">    </w:t>
      </w:r>
      <w:r>
        <w:rPr>
          <w:sz w:val="1"/>
          <w:szCs w:val="1"/>
          <w:color w:val="auto"/>
        </w:rPr>
        <w:drawing>
          <wp:inline distT="0" distB="0" distL="0" distR="0">
            <wp:extent cx="396240" cy="18986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-214630</wp:posOffset>
            </wp:positionV>
            <wp:extent cx="8255"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4600" w:type="dxa"/>
            <w:vAlign w:val="bottom"/>
            <w:gridSpan w:val="38"/>
          </w:tcPr>
          <w:p>
            <w:pPr>
              <w:spacing w:after="0"/>
              <w:rPr>
                <w:sz w:val="20"/>
                <w:szCs w:val="20"/>
                <w:color w:val="auto"/>
              </w:rPr>
            </w:pPr>
            <w:r>
              <w:rPr>
                <w:rFonts w:ascii="Arial" w:cs="Arial" w:eastAsia="Arial" w:hAnsi="Arial"/>
                <w:sz w:val="15"/>
                <w:szCs w:val="15"/>
                <w:color w:val="0000EE"/>
              </w:rPr>
              <w:t>CEO and Other Named Executive Officers Pay Mix</w:t>
            </w:r>
          </w:p>
        </w:tc>
        <w:tc>
          <w:tcPr>
            <w:tcW w:w="360" w:type="dxa"/>
            <w:vAlign w:val="bottom"/>
          </w:tcPr>
          <w:p>
            <w:pPr>
              <w:jc w:val="right"/>
              <w:ind w:right="26"/>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Elements of Compensation for Named Executive Officers</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720" w:type="dxa"/>
            <w:vAlign w:val="bottom"/>
            <w:tcBorders>
              <w:top w:val="single" w:sz="8" w:color="0000EE"/>
            </w:tcBorders>
            <w:gridSpan w:val="30"/>
          </w:tcPr>
          <w:p>
            <w:pPr>
              <w:spacing w:after="0" w:line="162" w:lineRule="exact"/>
              <w:rPr>
                <w:sz w:val="20"/>
                <w:szCs w:val="20"/>
                <w:color w:val="auto"/>
              </w:rPr>
            </w:pPr>
            <w:r>
              <w:rPr>
                <w:rFonts w:ascii="Arial" w:cs="Arial" w:eastAsia="Arial" w:hAnsi="Arial"/>
                <w:sz w:val="15"/>
                <w:szCs w:val="15"/>
                <w:color w:val="0000EE"/>
              </w:rPr>
              <w:t>2024 Executive Incentive Plans</w:t>
            </w:r>
          </w:p>
        </w:tc>
        <w:tc>
          <w:tcPr>
            <w:tcW w:w="880" w:type="dxa"/>
            <w:vAlign w:val="bottom"/>
            <w:gridSpan w:val="8"/>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840" w:type="dxa"/>
            <w:vAlign w:val="bottom"/>
            <w:gridSpan w:val="39"/>
          </w:tcPr>
          <w:p>
            <w:pPr>
              <w:spacing w:after="0" w:line="162" w:lineRule="exact"/>
              <w:rPr>
                <w:sz w:val="20"/>
                <w:szCs w:val="20"/>
                <w:color w:val="auto"/>
              </w:rPr>
            </w:pPr>
            <w:r>
              <w:rPr>
                <w:rFonts w:ascii="Arial" w:cs="Arial" w:eastAsia="Arial" w:hAnsi="Arial"/>
                <w:sz w:val="15"/>
                <w:szCs w:val="15"/>
                <w:color w:val="0000EE"/>
              </w:rPr>
              <w:t>Process for Determining Executive Compensation</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Role of the Compensation and Talent Management</w:t>
            </w:r>
          </w:p>
        </w:tc>
        <w:tc>
          <w:tcPr>
            <w:tcW w:w="360" w:type="dxa"/>
            <w:vAlign w:val="bottom"/>
            <w:vMerge w:val="restart"/>
          </w:tcPr>
          <w:p>
            <w:pPr>
              <w:jc w:val="right"/>
              <w:ind w:right="26"/>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720" w:type="dxa"/>
            <w:vAlign w:val="bottom"/>
            <w:tcBorders>
              <w:top w:val="single" w:sz="8" w:color="0000EE"/>
              <w:bottom w:val="single" w:sz="8" w:color="0000EE"/>
            </w:tcBorders>
            <w:gridSpan w:val="2"/>
          </w:tcPr>
          <w:p>
            <w:pPr>
              <w:spacing w:after="0" w:line="136" w:lineRule="exact"/>
              <w:rPr>
                <w:sz w:val="20"/>
                <w:szCs w:val="20"/>
                <w:color w:val="auto"/>
              </w:rPr>
            </w:pPr>
            <w:r>
              <w:rPr>
                <w:rFonts w:ascii="Arial" w:cs="Arial" w:eastAsia="Arial" w:hAnsi="Arial"/>
                <w:sz w:val="15"/>
                <w:szCs w:val="15"/>
                <w:color w:val="0000EE"/>
                <w:w w:val="96"/>
              </w:rPr>
              <w:t>Committee</w:t>
            </w:r>
          </w:p>
        </w:tc>
        <w:tc>
          <w:tcPr>
            <w:tcW w:w="2640" w:type="dxa"/>
            <w:vAlign w:val="bottom"/>
            <w:tcBorders>
              <w:top w:val="single" w:sz="8" w:color="0000EE"/>
            </w:tcBorders>
            <w:gridSpan w:val="24"/>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Role of the Independent Compensation Consultant</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320" w:type="dxa"/>
            <w:vAlign w:val="bottom"/>
            <w:tcBorders>
              <w:top w:val="single" w:sz="8" w:color="0000EE"/>
            </w:tcBorders>
            <w:gridSpan w:val="25"/>
          </w:tcPr>
          <w:p>
            <w:pPr>
              <w:spacing w:after="0" w:line="162" w:lineRule="exact"/>
              <w:rPr>
                <w:sz w:val="20"/>
                <w:szCs w:val="20"/>
                <w:color w:val="auto"/>
              </w:rPr>
            </w:pPr>
            <w:r>
              <w:rPr>
                <w:rFonts w:ascii="Arial" w:cs="Arial" w:eastAsia="Arial" w:hAnsi="Arial"/>
                <w:sz w:val="15"/>
                <w:szCs w:val="15"/>
                <w:color w:val="0000EE"/>
              </w:rPr>
              <w:t>Role of Management</w:t>
            </w:r>
          </w:p>
        </w:tc>
        <w:tc>
          <w:tcPr>
            <w:tcW w:w="1280" w:type="dxa"/>
            <w:vAlign w:val="bottom"/>
            <w:gridSpan w:val="13"/>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360" w:type="dxa"/>
            <w:vAlign w:val="bottom"/>
            <w:tcBorders>
              <w:top w:val="single" w:sz="8" w:color="0000EE"/>
            </w:tcBorders>
            <w:gridSpan w:val="8"/>
          </w:tcPr>
          <w:p>
            <w:pPr>
              <w:spacing w:after="0" w:line="162" w:lineRule="exact"/>
              <w:rPr>
                <w:sz w:val="20"/>
                <w:szCs w:val="20"/>
                <w:color w:val="auto"/>
              </w:rPr>
            </w:pPr>
            <w:r>
              <w:rPr>
                <w:rFonts w:ascii="Arial" w:cs="Arial" w:eastAsia="Arial" w:hAnsi="Arial"/>
                <w:sz w:val="15"/>
                <w:szCs w:val="15"/>
                <w:color w:val="0000EE"/>
              </w:rPr>
              <w:t>Comparator Data</w:t>
            </w:r>
          </w:p>
        </w:tc>
        <w:tc>
          <w:tcPr>
            <w:tcW w:w="3240" w:type="dxa"/>
            <w:vAlign w:val="bottom"/>
            <w:gridSpan w:val="30"/>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 w:type="dxa"/>
            <w:vAlign w:val="bottom"/>
          </w:tcPr>
          <w:p>
            <w:pPr>
              <w:spacing w:after="0"/>
              <w:rPr>
                <w:sz w:val="14"/>
                <w:szCs w:val="14"/>
                <w:color w:val="auto"/>
              </w:rPr>
            </w:pPr>
          </w:p>
        </w:tc>
        <w:tc>
          <w:tcPr>
            <w:tcW w:w="4080" w:type="dxa"/>
            <w:vAlign w:val="bottom"/>
            <w:tcBorders>
              <w:bottom w:val="single" w:sz="8" w:color="0000EE"/>
            </w:tcBorders>
            <w:gridSpan w:val="34"/>
          </w:tcPr>
          <w:p>
            <w:pPr>
              <w:spacing w:after="0" w:line="162" w:lineRule="exact"/>
              <w:rPr>
                <w:sz w:val="20"/>
                <w:szCs w:val="20"/>
                <w:color w:val="auto"/>
              </w:rPr>
            </w:pPr>
            <w:r>
              <w:rPr>
                <w:rFonts w:ascii="Arial" w:cs="Arial" w:eastAsia="Arial" w:hAnsi="Arial"/>
                <w:sz w:val="15"/>
                <w:szCs w:val="15"/>
                <w:color w:val="0000EE"/>
                <w:w w:val="97"/>
              </w:rPr>
              <w:t>Senior Officer Performance Reviews and Succession Planning</w:t>
            </w:r>
          </w:p>
        </w:tc>
        <w:tc>
          <w:tcPr>
            <w:tcW w:w="520" w:type="dxa"/>
            <w:vAlign w:val="bottom"/>
            <w:gridSpan w:val="4"/>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62"/>
        </w:trPr>
        <w:tc>
          <w:tcPr>
            <w:tcW w:w="4840" w:type="dxa"/>
            <w:vAlign w:val="bottom"/>
            <w:gridSpan w:val="39"/>
          </w:tcPr>
          <w:p>
            <w:pPr>
              <w:spacing w:after="0" w:line="162" w:lineRule="exact"/>
              <w:rPr>
                <w:sz w:val="20"/>
                <w:szCs w:val="20"/>
                <w:color w:val="auto"/>
              </w:rPr>
            </w:pPr>
            <w:r>
              <w:rPr>
                <w:rFonts w:ascii="Arial" w:cs="Arial" w:eastAsia="Arial" w:hAnsi="Arial"/>
                <w:sz w:val="15"/>
                <w:szCs w:val="15"/>
                <w:color w:val="0000EE"/>
              </w:rPr>
              <w:t>Compensation Programs: Decisions and Actions in 2023</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62"/>
        </w:trPr>
        <w:tc>
          <w:tcPr>
            <w:tcW w:w="240" w:type="dxa"/>
            <w:vAlign w:val="bottom"/>
            <w:tcBorders>
              <w:top w:val="single" w:sz="8" w:color="0000EE"/>
            </w:tcBorders>
          </w:tcPr>
          <w:p>
            <w:pPr>
              <w:spacing w:after="0"/>
              <w:rPr>
                <w:sz w:val="14"/>
                <w:szCs w:val="14"/>
                <w:color w:val="auto"/>
              </w:rPr>
            </w:pPr>
          </w:p>
        </w:tc>
        <w:tc>
          <w:tcPr>
            <w:tcW w:w="800" w:type="dxa"/>
            <w:vAlign w:val="bottom"/>
            <w:tcBorders>
              <w:top w:val="single" w:sz="8" w:color="0000EE"/>
              <w:bottom w:val="single" w:sz="8" w:color="0000EE"/>
            </w:tcBorders>
            <w:gridSpan w:val="4"/>
          </w:tcPr>
          <w:p>
            <w:pPr>
              <w:spacing w:after="0" w:line="162" w:lineRule="exact"/>
              <w:rPr>
                <w:sz w:val="20"/>
                <w:szCs w:val="20"/>
                <w:color w:val="auto"/>
              </w:rPr>
            </w:pPr>
            <w:r>
              <w:rPr>
                <w:rFonts w:ascii="Arial" w:cs="Arial" w:eastAsia="Arial" w:hAnsi="Arial"/>
                <w:sz w:val="15"/>
                <w:szCs w:val="15"/>
                <w:color w:val="0000EE"/>
                <w:w w:val="96"/>
              </w:rPr>
              <w:t>Base Salary</w:t>
            </w:r>
          </w:p>
        </w:tc>
        <w:tc>
          <w:tcPr>
            <w:tcW w:w="2640" w:type="dxa"/>
            <w:vAlign w:val="bottom"/>
            <w:tcBorders>
              <w:top w:val="single" w:sz="8" w:color="0000EE"/>
            </w:tcBorders>
            <w:gridSpan w:val="23"/>
          </w:tcPr>
          <w:p>
            <w:pPr>
              <w:spacing w:after="0"/>
              <w:rPr>
                <w:sz w:val="14"/>
                <w:szCs w:val="14"/>
                <w:color w:val="auto"/>
              </w:rPr>
            </w:pPr>
          </w:p>
        </w:tc>
        <w:tc>
          <w:tcPr>
            <w:tcW w:w="1160" w:type="dxa"/>
            <w:vAlign w:val="bottom"/>
            <w:gridSpan w:val="11"/>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480" w:type="dxa"/>
            <w:vAlign w:val="bottom"/>
            <w:tcBorders>
              <w:bottom w:val="single" w:sz="8" w:color="0000EE"/>
            </w:tcBorders>
            <w:gridSpan w:val="11"/>
          </w:tcPr>
          <w:p>
            <w:pPr>
              <w:spacing w:after="0" w:line="162" w:lineRule="exact"/>
              <w:rPr>
                <w:sz w:val="20"/>
                <w:szCs w:val="20"/>
                <w:color w:val="auto"/>
              </w:rPr>
            </w:pPr>
            <w:r>
              <w:rPr>
                <w:rFonts w:ascii="Arial" w:cs="Arial" w:eastAsia="Arial" w:hAnsi="Arial"/>
                <w:sz w:val="15"/>
                <w:szCs w:val="15"/>
                <w:color w:val="0000EE"/>
                <w:w w:val="97"/>
              </w:rPr>
              <w:t>Annual Cash Incentive</w:t>
            </w:r>
          </w:p>
        </w:tc>
        <w:tc>
          <w:tcPr>
            <w:tcW w:w="3120" w:type="dxa"/>
            <w:vAlign w:val="bottom"/>
            <w:gridSpan w:val="27"/>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Long-Term Incentives</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300" w:type="dxa"/>
            <w:vAlign w:val="bottom"/>
            <w:tcBorders>
              <w:top w:val="single" w:sz="8" w:color="0000EE"/>
              <w:bottom w:val="single" w:sz="8" w:color="0000EE"/>
            </w:tcBorders>
            <w:gridSpan w:val="7"/>
          </w:tcPr>
          <w:p>
            <w:pPr>
              <w:spacing w:after="0" w:line="162" w:lineRule="exact"/>
              <w:rPr>
                <w:sz w:val="20"/>
                <w:szCs w:val="20"/>
                <w:color w:val="auto"/>
              </w:rPr>
            </w:pPr>
            <w:r>
              <w:rPr>
                <w:rFonts w:ascii="Arial" w:cs="Arial" w:eastAsia="Arial" w:hAnsi="Arial"/>
                <w:sz w:val="15"/>
                <w:szCs w:val="15"/>
                <w:color w:val="0000EE"/>
                <w:w w:val="97"/>
              </w:rPr>
              <w:t>Retirement Benefits</w:t>
            </w:r>
          </w:p>
        </w:tc>
        <w:tc>
          <w:tcPr>
            <w:tcW w:w="100" w:type="dxa"/>
            <w:vAlign w:val="bottom"/>
            <w:tcBorders>
              <w:top w:val="single" w:sz="8" w:color="0000EE"/>
            </w:tcBorders>
            <w:gridSpan w:val="2"/>
          </w:tcPr>
          <w:p>
            <w:pPr>
              <w:spacing w:after="0"/>
              <w:rPr>
                <w:sz w:val="14"/>
                <w:szCs w:val="14"/>
                <w:color w:val="auto"/>
              </w:rPr>
            </w:pPr>
          </w:p>
        </w:tc>
        <w:tc>
          <w:tcPr>
            <w:tcW w:w="3200" w:type="dxa"/>
            <w:vAlign w:val="bottom"/>
            <w:gridSpan w:val="29"/>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840" w:type="dxa"/>
            <w:vAlign w:val="bottom"/>
            <w:tcBorders>
              <w:bottom w:val="single" w:sz="8" w:color="0000EE"/>
            </w:tcBorders>
            <w:gridSpan w:val="13"/>
          </w:tcPr>
          <w:p>
            <w:pPr>
              <w:spacing w:after="0" w:line="162" w:lineRule="exact"/>
              <w:rPr>
                <w:sz w:val="20"/>
                <w:szCs w:val="20"/>
                <w:color w:val="auto"/>
              </w:rPr>
            </w:pPr>
            <w:r>
              <w:rPr>
                <w:rFonts w:ascii="Arial" w:cs="Arial" w:eastAsia="Arial" w:hAnsi="Arial"/>
                <w:sz w:val="15"/>
                <w:szCs w:val="15"/>
                <w:color w:val="0000EE"/>
                <w:w w:val="97"/>
              </w:rPr>
              <w:t>Health and Welfare Benefits</w:t>
            </w:r>
          </w:p>
        </w:tc>
        <w:tc>
          <w:tcPr>
            <w:tcW w:w="2760" w:type="dxa"/>
            <w:vAlign w:val="bottom"/>
            <w:gridSpan w:val="25"/>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Perquisites</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Senior Executive Severance Plan</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320" w:type="dxa"/>
            <w:vAlign w:val="bottom"/>
            <w:tcBorders>
              <w:bottom w:val="single" w:sz="8" w:color="0000EE"/>
            </w:tcBorders>
            <w:gridSpan w:val="24"/>
          </w:tcPr>
          <w:p>
            <w:pPr>
              <w:spacing w:after="0" w:line="162" w:lineRule="exact"/>
              <w:rPr>
                <w:sz w:val="20"/>
                <w:szCs w:val="20"/>
                <w:color w:val="auto"/>
              </w:rPr>
            </w:pPr>
            <w:r>
              <w:rPr>
                <w:rFonts w:ascii="Arial" w:cs="Arial" w:eastAsia="Arial" w:hAnsi="Arial"/>
                <w:sz w:val="15"/>
                <w:szCs w:val="15"/>
                <w:color w:val="0000EE"/>
                <w:w w:val="97"/>
              </w:rPr>
              <w:t>Governance of Executive Compensation Programs</w:t>
            </w:r>
          </w:p>
        </w:tc>
        <w:tc>
          <w:tcPr>
            <w:tcW w:w="1520" w:type="dxa"/>
            <w:vAlign w:val="bottom"/>
            <w:gridSpan w:val="15"/>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Executive Stock Ownership and Retention Requirements</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560" w:type="dxa"/>
            <w:vAlign w:val="bottom"/>
            <w:tcBorders>
              <w:top w:val="single" w:sz="8" w:color="0000EE"/>
              <w:bottom w:val="single" w:sz="8" w:color="0000EE"/>
            </w:tcBorders>
            <w:gridSpan w:val="28"/>
          </w:tcPr>
          <w:p>
            <w:pPr>
              <w:spacing w:after="0" w:line="162" w:lineRule="exact"/>
              <w:rPr>
                <w:sz w:val="20"/>
                <w:szCs w:val="20"/>
                <w:color w:val="auto"/>
              </w:rPr>
            </w:pPr>
            <w:r>
              <w:rPr>
                <w:rFonts w:ascii="Arial" w:cs="Arial" w:eastAsia="Arial" w:hAnsi="Arial"/>
                <w:sz w:val="15"/>
                <w:szCs w:val="15"/>
                <w:color w:val="0000EE"/>
                <w:w w:val="97"/>
              </w:rPr>
              <w:t>Incentive Compensation Recovery (“Clawback”) Policy</w:t>
            </w:r>
          </w:p>
        </w:tc>
        <w:tc>
          <w:tcPr>
            <w:tcW w:w="140" w:type="dxa"/>
            <w:vAlign w:val="bottom"/>
            <w:tcBorders>
              <w:top w:val="single" w:sz="8" w:color="0000EE"/>
            </w:tcBorders>
          </w:tcPr>
          <w:p>
            <w:pPr>
              <w:spacing w:after="0"/>
              <w:rPr>
                <w:sz w:val="14"/>
                <w:szCs w:val="14"/>
                <w:color w:val="auto"/>
              </w:rPr>
            </w:pPr>
          </w:p>
        </w:tc>
        <w:tc>
          <w:tcPr>
            <w:tcW w:w="900" w:type="dxa"/>
            <w:vAlign w:val="bottom"/>
            <w:gridSpan w:val="9"/>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Hedging and Pledging of Shares</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Tax Considerations: Deductibility of Executive Compensation</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840" w:type="dxa"/>
            <w:vAlign w:val="bottom"/>
            <w:gridSpan w:val="39"/>
          </w:tcPr>
          <w:p>
            <w:pPr>
              <w:spacing w:after="0" w:line="162" w:lineRule="exact"/>
              <w:rPr>
                <w:sz w:val="20"/>
                <w:szCs w:val="20"/>
                <w:color w:val="auto"/>
              </w:rPr>
            </w:pPr>
            <w:r>
              <w:rPr>
                <w:rFonts w:ascii="Arial" w:cs="Arial" w:eastAsia="Arial" w:hAnsi="Arial"/>
                <w:sz w:val="15"/>
                <w:szCs w:val="15"/>
                <w:color w:val="0000EE"/>
              </w:rPr>
              <w:t>Compensation and Talent Management Committee Report</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88"/>
        </w:trPr>
        <w:tc>
          <w:tcPr>
            <w:tcW w:w="3800" w:type="dxa"/>
            <w:vAlign w:val="bottom"/>
            <w:tcBorders>
              <w:top w:val="single" w:sz="8" w:color="0000EE"/>
            </w:tcBorders>
            <w:gridSpan w:val="29"/>
          </w:tcPr>
          <w:p>
            <w:pPr>
              <w:spacing w:after="0"/>
              <w:rPr>
                <w:sz w:val="20"/>
                <w:szCs w:val="20"/>
                <w:color w:val="auto"/>
              </w:rPr>
            </w:pPr>
            <w:r>
              <w:rPr>
                <w:rFonts w:ascii="Arial" w:cs="Arial" w:eastAsia="Arial" w:hAnsi="Arial"/>
                <w:sz w:val="15"/>
                <w:szCs w:val="15"/>
                <w:b w:val="1"/>
                <w:bCs w:val="1"/>
                <w:color w:val="0000EE"/>
              </w:rPr>
              <w:t>2023 Executive Compensation Tables</w:t>
            </w:r>
          </w:p>
        </w:tc>
        <w:tc>
          <w:tcPr>
            <w:tcW w:w="1040" w:type="dxa"/>
            <w:vAlign w:val="bottom"/>
            <w:gridSpan w:val="10"/>
          </w:tcPr>
          <w:p>
            <w:pPr>
              <w:spacing w:after="0"/>
              <w:rPr>
                <w:sz w:val="16"/>
                <w:szCs w:val="16"/>
                <w:color w:val="auto"/>
              </w:rPr>
            </w:pPr>
          </w:p>
        </w:tc>
        <w:tc>
          <w:tcPr>
            <w:tcW w:w="360" w:type="dxa"/>
            <w:vAlign w:val="bottom"/>
          </w:tcPr>
          <w:p>
            <w:pPr>
              <w:jc w:val="right"/>
              <w:ind w:right="26"/>
              <w:spacing w:after="0"/>
              <w:rPr>
                <w:sz w:val="20"/>
                <w:szCs w:val="20"/>
                <w:color w:val="auto"/>
              </w:rPr>
            </w:pPr>
            <w:r>
              <w:rPr>
                <w:rFonts w:ascii="Arial" w:cs="Arial" w:eastAsia="Arial" w:hAnsi="Arial"/>
                <w:sz w:val="15"/>
                <w:szCs w:val="15"/>
                <w:b w:val="1"/>
                <w:bCs w:val="1"/>
                <w:color w:val="0A9E50"/>
              </w:rPr>
              <w:t>65</w:t>
            </w: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40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26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26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420" w:type="dxa"/>
            <w:vAlign w:val="bottom"/>
            <w:tcBorders>
              <w:bottom w:val="single" w:sz="8" w:color="0000EE"/>
            </w:tcBorders>
            <w:gridSpan w:val="18"/>
          </w:tcPr>
          <w:p>
            <w:pPr>
              <w:spacing w:after="0" w:line="136" w:lineRule="exact"/>
              <w:rPr>
                <w:sz w:val="20"/>
                <w:szCs w:val="20"/>
                <w:color w:val="auto"/>
              </w:rPr>
            </w:pPr>
            <w:r>
              <w:rPr>
                <w:rFonts w:ascii="Arial" w:cs="Arial" w:eastAsia="Arial" w:hAnsi="Arial"/>
                <w:sz w:val="15"/>
                <w:szCs w:val="15"/>
                <w:color w:val="0000EE"/>
                <w:w w:val="97"/>
              </w:rPr>
              <w:t>Summary Compensation Table 2023</w:t>
            </w:r>
          </w:p>
        </w:tc>
        <w:tc>
          <w:tcPr>
            <w:tcW w:w="2420" w:type="dxa"/>
            <w:vAlign w:val="bottom"/>
            <w:gridSpan w:val="21"/>
          </w:tcPr>
          <w:p>
            <w:pPr>
              <w:spacing w:after="0"/>
              <w:rPr>
                <w:sz w:val="11"/>
                <w:szCs w:val="11"/>
                <w:color w:val="auto"/>
              </w:rPr>
            </w:pPr>
          </w:p>
        </w:tc>
        <w:tc>
          <w:tcPr>
            <w:tcW w:w="360" w:type="dxa"/>
            <w:vAlign w:val="bottom"/>
          </w:tcPr>
          <w:p>
            <w:pPr>
              <w:jc w:val="right"/>
              <w:ind w:right="26"/>
              <w:spacing w:after="0" w:line="136" w:lineRule="exact"/>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62"/>
        </w:trPr>
        <w:tc>
          <w:tcPr>
            <w:tcW w:w="4840" w:type="dxa"/>
            <w:vAlign w:val="bottom"/>
            <w:gridSpan w:val="39"/>
          </w:tcPr>
          <w:p>
            <w:pPr>
              <w:spacing w:after="0" w:line="162" w:lineRule="exact"/>
              <w:rPr>
                <w:sz w:val="20"/>
                <w:szCs w:val="20"/>
                <w:color w:val="auto"/>
              </w:rPr>
            </w:pPr>
            <w:r>
              <w:rPr>
                <w:rFonts w:ascii="Arial" w:cs="Arial" w:eastAsia="Arial" w:hAnsi="Arial"/>
                <w:sz w:val="15"/>
                <w:szCs w:val="15"/>
                <w:color w:val="0000EE"/>
              </w:rPr>
              <w:t>Grants of Plan-Based Awards 2023</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380" w:type="dxa"/>
            <w:vAlign w:val="bottom"/>
            <w:tcBorders>
              <w:bottom w:val="single" w:sz="8" w:color="0000EE"/>
            </w:tcBorders>
            <w:gridSpan w:val="25"/>
          </w:tcPr>
          <w:p>
            <w:pPr>
              <w:spacing w:after="0" w:line="162" w:lineRule="exact"/>
              <w:rPr>
                <w:sz w:val="20"/>
                <w:szCs w:val="20"/>
                <w:color w:val="auto"/>
              </w:rPr>
            </w:pPr>
            <w:r>
              <w:rPr>
                <w:rFonts w:ascii="Arial" w:cs="Arial" w:eastAsia="Arial" w:hAnsi="Arial"/>
                <w:sz w:val="15"/>
                <w:szCs w:val="15"/>
                <w:color w:val="0000EE"/>
                <w:w w:val="97"/>
              </w:rPr>
              <w:t>Outstanding Equity Awards at Fiscal Year End 2023</w:t>
            </w:r>
          </w:p>
        </w:tc>
        <w:tc>
          <w:tcPr>
            <w:tcW w:w="1460" w:type="dxa"/>
            <w:vAlign w:val="bottom"/>
            <w:gridSpan w:val="14"/>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62"/>
        </w:trPr>
        <w:tc>
          <w:tcPr>
            <w:tcW w:w="4840" w:type="dxa"/>
            <w:vAlign w:val="bottom"/>
            <w:gridSpan w:val="39"/>
          </w:tcPr>
          <w:p>
            <w:pPr>
              <w:spacing w:after="0" w:line="162" w:lineRule="exact"/>
              <w:rPr>
                <w:sz w:val="20"/>
                <w:szCs w:val="20"/>
                <w:color w:val="auto"/>
              </w:rPr>
            </w:pPr>
            <w:r>
              <w:rPr>
                <w:rFonts w:ascii="Arial" w:cs="Arial" w:eastAsia="Arial" w:hAnsi="Arial"/>
                <w:sz w:val="15"/>
                <w:szCs w:val="15"/>
                <w:color w:val="0000EE"/>
              </w:rPr>
              <w:t>Option Exercises and Stock Vested 2023</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840" w:type="dxa"/>
            <w:vAlign w:val="bottom"/>
            <w:gridSpan w:val="39"/>
          </w:tcPr>
          <w:p>
            <w:pPr>
              <w:spacing w:after="0" w:line="162" w:lineRule="exact"/>
              <w:rPr>
                <w:sz w:val="20"/>
                <w:szCs w:val="20"/>
                <w:color w:val="auto"/>
              </w:rPr>
            </w:pPr>
            <w:r>
              <w:rPr>
                <w:rFonts w:ascii="Arial" w:cs="Arial" w:eastAsia="Arial" w:hAnsi="Arial"/>
                <w:sz w:val="15"/>
                <w:szCs w:val="15"/>
                <w:color w:val="0000EE"/>
              </w:rPr>
              <w:t>Nonqualified Deferred Compensation 2023</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240" w:type="dxa"/>
            <w:vAlign w:val="bottom"/>
            <w:tcBorders>
              <w:bottom w:val="single" w:sz="8" w:color="0000EE"/>
            </w:tcBorders>
            <w:gridSpan w:val="33"/>
          </w:tcPr>
          <w:p>
            <w:pPr>
              <w:spacing w:after="0" w:line="162" w:lineRule="exact"/>
              <w:rPr>
                <w:sz w:val="20"/>
                <w:szCs w:val="20"/>
                <w:color w:val="auto"/>
              </w:rPr>
            </w:pPr>
            <w:r>
              <w:rPr>
                <w:rFonts w:ascii="Arial" w:cs="Arial" w:eastAsia="Arial" w:hAnsi="Arial"/>
                <w:sz w:val="15"/>
                <w:szCs w:val="15"/>
                <w:color w:val="0000EE"/>
                <w:w w:val="97"/>
              </w:rPr>
              <w:t>Potential Payments Upon Termination or Change In Control 2023</w:t>
            </w:r>
          </w:p>
        </w:tc>
        <w:tc>
          <w:tcPr>
            <w:tcW w:w="600" w:type="dxa"/>
            <w:vAlign w:val="bottom"/>
            <w:gridSpan w:val="6"/>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Summary of Potential Payments</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Senior Executive Severance Plan</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5"/>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 w:type="dxa"/>
            <w:vAlign w:val="bottom"/>
          </w:tcPr>
          <w:p>
            <w:pPr>
              <w:spacing w:after="0"/>
              <w:rPr>
                <w:sz w:val="14"/>
                <w:szCs w:val="14"/>
                <w:color w:val="auto"/>
              </w:rPr>
            </w:pPr>
          </w:p>
        </w:tc>
        <w:tc>
          <w:tcPr>
            <w:tcW w:w="2740" w:type="dxa"/>
            <w:vAlign w:val="bottom"/>
            <w:tcBorders>
              <w:bottom w:val="single" w:sz="8" w:color="0000EE"/>
            </w:tcBorders>
            <w:gridSpan w:val="21"/>
          </w:tcPr>
          <w:p>
            <w:pPr>
              <w:spacing w:after="0" w:line="162" w:lineRule="exact"/>
              <w:rPr>
                <w:sz w:val="20"/>
                <w:szCs w:val="20"/>
                <w:color w:val="auto"/>
              </w:rPr>
            </w:pPr>
            <w:r>
              <w:rPr>
                <w:rFonts w:ascii="Arial" w:cs="Arial" w:eastAsia="Arial" w:hAnsi="Arial"/>
                <w:sz w:val="15"/>
                <w:szCs w:val="15"/>
                <w:color w:val="0000EE"/>
                <w:w w:val="96"/>
              </w:rPr>
              <w:t>Treatment of Long-Term Incentive Awards</w:t>
            </w:r>
          </w:p>
        </w:tc>
        <w:tc>
          <w:tcPr>
            <w:tcW w:w="1860" w:type="dxa"/>
            <w:vAlign w:val="bottom"/>
            <w:gridSpan w:val="17"/>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188"/>
        </w:trPr>
        <w:tc>
          <w:tcPr>
            <w:tcW w:w="4840" w:type="dxa"/>
            <w:vAlign w:val="bottom"/>
            <w:gridSpan w:val="39"/>
          </w:tcPr>
          <w:p>
            <w:pPr>
              <w:spacing w:after="0"/>
              <w:rPr>
                <w:sz w:val="20"/>
                <w:szCs w:val="20"/>
                <w:color w:val="auto"/>
              </w:rPr>
            </w:pPr>
            <w:r>
              <w:rPr>
                <w:rFonts w:ascii="Arial" w:cs="Arial" w:eastAsia="Arial" w:hAnsi="Arial"/>
                <w:sz w:val="15"/>
                <w:szCs w:val="15"/>
                <w:b w:val="1"/>
                <w:bCs w:val="1"/>
                <w:color w:val="0000EE"/>
              </w:rPr>
              <w:t>CEO Pay Ratio</w:t>
            </w:r>
          </w:p>
        </w:tc>
        <w:tc>
          <w:tcPr>
            <w:tcW w:w="360" w:type="dxa"/>
            <w:vAlign w:val="bottom"/>
          </w:tcPr>
          <w:p>
            <w:pPr>
              <w:jc w:val="right"/>
              <w:ind w:right="26"/>
              <w:spacing w:after="0"/>
              <w:rPr>
                <w:sz w:val="20"/>
                <w:szCs w:val="20"/>
                <w:color w:val="auto"/>
              </w:rPr>
            </w:pPr>
            <w:r>
              <w:rPr>
                <w:rFonts w:ascii="Arial" w:cs="Arial" w:eastAsia="Arial" w:hAnsi="Arial"/>
                <w:sz w:val="15"/>
                <w:szCs w:val="15"/>
                <w:b w:val="1"/>
                <w:bCs w:val="1"/>
                <w:color w:val="0A9E50"/>
              </w:rPr>
              <w:t>73</w:t>
            </w: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40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3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6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26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840" w:type="dxa"/>
            <w:vAlign w:val="bottom"/>
            <w:gridSpan w:val="39"/>
          </w:tcPr>
          <w:p>
            <w:pPr>
              <w:spacing w:after="0" w:line="149" w:lineRule="exact"/>
              <w:rPr>
                <w:sz w:val="20"/>
                <w:szCs w:val="20"/>
                <w:color w:val="auto"/>
              </w:rPr>
            </w:pPr>
            <w:r>
              <w:rPr>
                <w:rFonts w:ascii="Arial" w:cs="Arial" w:eastAsia="Arial" w:hAnsi="Arial"/>
                <w:sz w:val="15"/>
                <w:szCs w:val="15"/>
                <w:b w:val="1"/>
                <w:bCs w:val="1"/>
                <w:color w:val="0000EE"/>
              </w:rPr>
              <w:t>Pay vs. Performance</w:t>
            </w:r>
          </w:p>
        </w:tc>
        <w:tc>
          <w:tcPr>
            <w:tcW w:w="360" w:type="dxa"/>
            <w:vAlign w:val="bottom"/>
          </w:tcPr>
          <w:p>
            <w:pPr>
              <w:jc w:val="right"/>
              <w:ind w:right="26"/>
              <w:spacing w:after="0" w:line="149" w:lineRule="exact"/>
              <w:rPr>
                <w:sz w:val="20"/>
                <w:szCs w:val="20"/>
                <w:color w:val="auto"/>
              </w:rPr>
            </w:pPr>
            <w:r>
              <w:rPr>
                <w:rFonts w:ascii="Arial" w:cs="Arial" w:eastAsia="Arial" w:hAnsi="Arial"/>
                <w:sz w:val="15"/>
                <w:szCs w:val="15"/>
                <w:b w:val="1"/>
                <w:bCs w:val="1"/>
                <w:color w:val="0A9E50"/>
              </w:rPr>
              <w:t>74</w:t>
            </w: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40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6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26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840" w:type="dxa"/>
            <w:vAlign w:val="bottom"/>
            <w:gridSpan w:val="39"/>
          </w:tcPr>
          <w:p>
            <w:pPr>
              <w:spacing w:after="0" w:line="149" w:lineRule="exact"/>
              <w:rPr>
                <w:sz w:val="20"/>
                <w:szCs w:val="20"/>
                <w:color w:val="auto"/>
              </w:rPr>
            </w:pPr>
            <w:r>
              <w:rPr>
                <w:rFonts w:ascii="Arial" w:cs="Arial" w:eastAsia="Arial" w:hAnsi="Arial"/>
                <w:sz w:val="15"/>
                <w:szCs w:val="15"/>
                <w:b w:val="1"/>
                <w:bCs w:val="1"/>
                <w:color w:val="0000EE"/>
              </w:rPr>
              <w:t>Proposal 3: Amendment of the Company’s Restated Certificate of</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560" w:type="dxa"/>
            <w:vAlign w:val="bottom"/>
            <w:tcBorders>
              <w:top w:val="single" w:sz="8" w:color="0000EE"/>
              <w:bottom w:val="single" w:sz="8" w:color="0000EE"/>
            </w:tcBorders>
            <w:gridSpan w:val="36"/>
          </w:tcPr>
          <w:p>
            <w:pPr>
              <w:spacing w:after="0" w:line="136" w:lineRule="exact"/>
              <w:rPr>
                <w:sz w:val="20"/>
                <w:szCs w:val="20"/>
                <w:color w:val="auto"/>
              </w:rPr>
            </w:pPr>
            <w:r>
              <w:rPr>
                <w:rFonts w:ascii="Arial" w:cs="Arial" w:eastAsia="Arial" w:hAnsi="Arial"/>
                <w:sz w:val="15"/>
                <w:szCs w:val="15"/>
                <w:b w:val="1"/>
                <w:bCs w:val="1"/>
                <w:color w:val="0000EE"/>
                <w:w w:val="94"/>
              </w:rPr>
              <w:t>Incorporation to reflect updated Delaware law provisions permitting</w:t>
            </w:r>
          </w:p>
        </w:tc>
        <w:tc>
          <w:tcPr>
            <w:tcW w:w="16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0A9E50"/>
              </w:rPr>
              <w:t>77</w:t>
            </w:r>
          </w:p>
        </w:tc>
        <w:tc>
          <w:tcPr>
            <w:tcW w:w="0" w:type="dxa"/>
            <w:vAlign w:val="bottom"/>
          </w:tcPr>
          <w:p>
            <w:pPr>
              <w:spacing w:after="0"/>
              <w:rPr>
                <w:sz w:val="1"/>
                <w:szCs w:val="1"/>
                <w:color w:val="auto"/>
              </w:rPr>
            </w:pPr>
          </w:p>
        </w:tc>
      </w:tr>
      <w:tr>
        <w:trPr>
          <w:trHeight w:val="136"/>
        </w:trPr>
        <w:tc>
          <w:tcPr>
            <w:tcW w:w="4740" w:type="dxa"/>
            <w:vAlign w:val="bottom"/>
            <w:gridSpan w:val="38"/>
          </w:tcPr>
          <w:p>
            <w:pPr>
              <w:spacing w:after="0" w:line="136" w:lineRule="exact"/>
              <w:rPr>
                <w:sz w:val="20"/>
                <w:szCs w:val="20"/>
                <w:color w:val="auto"/>
              </w:rPr>
            </w:pPr>
            <w:r>
              <w:rPr>
                <w:rFonts w:ascii="Arial" w:cs="Arial" w:eastAsia="Arial" w:hAnsi="Arial"/>
                <w:sz w:val="15"/>
                <w:szCs w:val="15"/>
                <w:b w:val="1"/>
                <w:bCs w:val="1"/>
                <w:color w:val="0000EE"/>
              </w:rPr>
              <w:t>officer exculpation</w:t>
            </w:r>
          </w:p>
        </w:tc>
        <w:tc>
          <w:tcPr>
            <w:tcW w:w="10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40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6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26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840" w:type="dxa"/>
            <w:vAlign w:val="bottom"/>
            <w:gridSpan w:val="39"/>
          </w:tcPr>
          <w:p>
            <w:pPr>
              <w:spacing w:after="0" w:line="149" w:lineRule="exact"/>
              <w:rPr>
                <w:sz w:val="20"/>
                <w:szCs w:val="20"/>
                <w:color w:val="auto"/>
              </w:rPr>
            </w:pPr>
            <w:r>
              <w:rPr>
                <w:rFonts w:ascii="Arial" w:cs="Arial" w:eastAsia="Arial" w:hAnsi="Arial"/>
                <w:sz w:val="15"/>
                <w:szCs w:val="15"/>
                <w:b w:val="1"/>
                <w:bCs w:val="1"/>
                <w:color w:val="0000EE"/>
              </w:rPr>
              <w:t>Proposal 4: Ratification of the Appointment of</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240" w:type="dxa"/>
            <w:vAlign w:val="bottom"/>
            <w:tcBorders>
              <w:top w:val="single" w:sz="8" w:color="0000EE"/>
            </w:tcBorders>
            <w:gridSpan w:val="23"/>
          </w:tcPr>
          <w:p>
            <w:pPr>
              <w:spacing w:after="0" w:line="136" w:lineRule="exact"/>
              <w:rPr>
                <w:sz w:val="20"/>
                <w:szCs w:val="20"/>
                <w:color w:val="auto"/>
              </w:rPr>
            </w:pPr>
            <w:r>
              <w:rPr>
                <w:rFonts w:ascii="Arial" w:cs="Arial" w:eastAsia="Arial" w:hAnsi="Arial"/>
                <w:sz w:val="15"/>
                <w:szCs w:val="15"/>
                <w:b w:val="1"/>
                <w:bCs w:val="1"/>
                <w:color w:val="0000EE"/>
                <w:w w:val="92"/>
              </w:rPr>
              <w:t>PricewaterhouseCoopers LLP as the Company’s</w:t>
            </w:r>
          </w:p>
        </w:tc>
        <w:tc>
          <w:tcPr>
            <w:tcW w:w="1600" w:type="dxa"/>
            <w:vAlign w:val="bottom"/>
            <w:gridSpan w:val="16"/>
          </w:tcPr>
          <w:p>
            <w:pPr>
              <w:ind w:left="180"/>
              <w:spacing w:after="0" w:line="136" w:lineRule="exact"/>
              <w:rPr>
                <w:sz w:val="20"/>
                <w:szCs w:val="20"/>
                <w:color w:val="auto"/>
              </w:rPr>
            </w:pPr>
            <w:r>
              <w:rPr>
                <w:rFonts w:ascii="Arial" w:cs="Arial" w:eastAsia="Arial" w:hAnsi="Arial"/>
                <w:sz w:val="15"/>
                <w:szCs w:val="15"/>
                <w:b w:val="1"/>
                <w:bCs w:val="1"/>
                <w:color w:val="0000EE"/>
              </w:rPr>
              <w:t>Independent</w:t>
            </w:r>
          </w:p>
        </w:tc>
        <w:tc>
          <w:tcPr>
            <w:tcW w:w="36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0A9E50"/>
              </w:rPr>
              <w:t>79</w:t>
            </w:r>
          </w:p>
        </w:tc>
        <w:tc>
          <w:tcPr>
            <w:tcW w:w="0" w:type="dxa"/>
            <w:vAlign w:val="bottom"/>
          </w:tcPr>
          <w:p>
            <w:pPr>
              <w:spacing w:after="0"/>
              <w:rPr>
                <w:sz w:val="1"/>
                <w:szCs w:val="1"/>
                <w:color w:val="auto"/>
              </w:rPr>
            </w:pPr>
          </w:p>
        </w:tc>
      </w:tr>
      <w:tr>
        <w:trPr>
          <w:trHeight w:val="136"/>
        </w:trPr>
        <w:tc>
          <w:tcPr>
            <w:tcW w:w="4300" w:type="dxa"/>
            <w:vAlign w:val="bottom"/>
            <w:tcBorders>
              <w:top w:val="single" w:sz="8" w:color="0000EE"/>
            </w:tcBorders>
            <w:gridSpan w:val="34"/>
          </w:tcPr>
          <w:p>
            <w:pPr>
              <w:spacing w:after="0" w:line="136" w:lineRule="exact"/>
              <w:rPr>
                <w:sz w:val="20"/>
                <w:szCs w:val="20"/>
                <w:color w:val="auto"/>
              </w:rPr>
            </w:pPr>
            <w:r>
              <w:rPr>
                <w:rFonts w:ascii="Arial" w:cs="Arial" w:eastAsia="Arial" w:hAnsi="Arial"/>
                <w:sz w:val="15"/>
                <w:szCs w:val="15"/>
                <w:b w:val="1"/>
                <w:bCs w:val="1"/>
                <w:color w:val="0000EE"/>
              </w:rPr>
              <w:t>Registered Public Accounting Firm for the 2024 Fiscal Year</w:t>
            </w:r>
          </w:p>
        </w:tc>
        <w:tc>
          <w:tcPr>
            <w:tcW w:w="420" w:type="dxa"/>
            <w:vAlign w:val="bottom"/>
            <w:gridSpan w:val="3"/>
          </w:tcPr>
          <w:p>
            <w:pPr>
              <w:spacing w:after="0"/>
              <w:rPr>
                <w:sz w:val="11"/>
                <w:szCs w:val="11"/>
                <w:color w:val="auto"/>
              </w:rPr>
            </w:pPr>
          </w:p>
        </w:tc>
        <w:tc>
          <w:tcPr>
            <w:tcW w:w="120" w:type="dxa"/>
            <w:vAlign w:val="bottom"/>
            <w:gridSpan w:val="2"/>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40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26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12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6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18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120" w:type="dxa"/>
            <w:vAlign w:val="bottom"/>
            <w:tcBorders>
              <w:top w:val="single" w:sz="8" w:color="0000EE"/>
              <w:bottom w:val="single" w:sz="8" w:color="0A9E50"/>
            </w:tcBorders>
          </w:tcPr>
          <w:p>
            <w:pPr>
              <w:spacing w:after="0"/>
              <w:rPr>
                <w:sz w:val="5"/>
                <w:szCs w:val="5"/>
                <w:color w:val="auto"/>
              </w:rPr>
            </w:pPr>
          </w:p>
        </w:tc>
        <w:tc>
          <w:tcPr>
            <w:tcW w:w="1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40" w:type="dxa"/>
            <w:vAlign w:val="bottom"/>
            <w:tcBorders>
              <w:top w:val="single" w:sz="8" w:color="0000EE"/>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4840" w:type="dxa"/>
            <w:vAlign w:val="bottom"/>
            <w:gridSpan w:val="39"/>
          </w:tcPr>
          <w:p>
            <w:pPr>
              <w:spacing w:after="0" w:line="136" w:lineRule="exact"/>
              <w:rPr>
                <w:sz w:val="20"/>
                <w:szCs w:val="20"/>
                <w:color w:val="auto"/>
              </w:rPr>
            </w:pPr>
            <w:r>
              <w:rPr>
                <w:rFonts w:ascii="Arial" w:cs="Arial" w:eastAsia="Arial" w:hAnsi="Arial"/>
                <w:sz w:val="15"/>
                <w:szCs w:val="15"/>
                <w:color w:val="0000EE"/>
              </w:rPr>
              <w:t>Audit and Non-Audit Fees</w:t>
            </w:r>
          </w:p>
        </w:tc>
        <w:tc>
          <w:tcPr>
            <w:tcW w:w="360" w:type="dxa"/>
            <w:vAlign w:val="bottom"/>
          </w:tcPr>
          <w:p>
            <w:pPr>
              <w:jc w:val="right"/>
              <w:ind w:right="26"/>
              <w:spacing w:after="0" w:line="136" w:lineRule="exact"/>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740" w:type="dxa"/>
            <w:vAlign w:val="bottom"/>
            <w:gridSpan w:val="2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980" w:type="dxa"/>
            <w:vAlign w:val="bottom"/>
            <w:tcBorders>
              <w:bottom w:val="single" w:sz="8" w:color="0000EE"/>
            </w:tcBorders>
            <w:gridSpan w:val="13"/>
          </w:tcPr>
          <w:p>
            <w:pPr>
              <w:spacing w:after="0" w:line="162" w:lineRule="exact"/>
              <w:rPr>
                <w:sz w:val="20"/>
                <w:szCs w:val="20"/>
                <w:color w:val="auto"/>
              </w:rPr>
            </w:pPr>
            <w:r>
              <w:rPr>
                <w:rFonts w:ascii="Arial" w:cs="Arial" w:eastAsia="Arial" w:hAnsi="Arial"/>
                <w:sz w:val="15"/>
                <w:szCs w:val="15"/>
                <w:color w:val="0000EE"/>
                <w:w w:val="97"/>
              </w:rPr>
              <w:t>Report of the Audit Committee</w:t>
            </w:r>
          </w:p>
        </w:tc>
        <w:tc>
          <w:tcPr>
            <w:tcW w:w="2860" w:type="dxa"/>
            <w:vAlign w:val="bottom"/>
            <w:gridSpan w:val="26"/>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88"/>
        </w:trPr>
        <w:tc>
          <w:tcPr>
            <w:tcW w:w="4840" w:type="dxa"/>
            <w:vAlign w:val="bottom"/>
            <w:gridSpan w:val="39"/>
          </w:tcPr>
          <w:p>
            <w:pPr>
              <w:spacing w:after="0"/>
              <w:rPr>
                <w:sz w:val="20"/>
                <w:szCs w:val="20"/>
                <w:color w:val="auto"/>
              </w:rPr>
            </w:pPr>
            <w:r>
              <w:rPr>
                <w:rFonts w:ascii="Arial" w:cs="Arial" w:eastAsia="Arial" w:hAnsi="Arial"/>
                <w:sz w:val="15"/>
                <w:szCs w:val="15"/>
                <w:b w:val="1"/>
                <w:bCs w:val="1"/>
                <w:color w:val="0000EE"/>
              </w:rPr>
              <w:t>Questions and Answers About the Proxy Statement and the Annual</w:t>
            </w:r>
          </w:p>
        </w:tc>
        <w:tc>
          <w:tcPr>
            <w:tcW w:w="36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0A9E50"/>
              </w:rPr>
              <w:t>81</w:t>
            </w:r>
          </w:p>
        </w:tc>
        <w:tc>
          <w:tcPr>
            <w:tcW w:w="0" w:type="dxa"/>
            <w:vAlign w:val="bottom"/>
          </w:tcPr>
          <w:p>
            <w:pPr>
              <w:spacing w:after="0"/>
              <w:rPr>
                <w:sz w:val="1"/>
                <w:szCs w:val="1"/>
                <w:color w:val="auto"/>
              </w:rPr>
            </w:pPr>
          </w:p>
        </w:tc>
      </w:tr>
      <w:tr>
        <w:trPr>
          <w:trHeight w:val="136"/>
        </w:trPr>
        <w:tc>
          <w:tcPr>
            <w:tcW w:w="4720" w:type="dxa"/>
            <w:vAlign w:val="bottom"/>
            <w:tcBorders>
              <w:top w:val="single" w:sz="8" w:color="0000EE"/>
            </w:tcBorders>
            <w:gridSpan w:val="37"/>
          </w:tcPr>
          <w:p>
            <w:pPr>
              <w:spacing w:after="0" w:line="136" w:lineRule="exact"/>
              <w:rPr>
                <w:sz w:val="20"/>
                <w:szCs w:val="20"/>
                <w:color w:val="auto"/>
              </w:rPr>
            </w:pPr>
            <w:r>
              <w:rPr>
                <w:rFonts w:ascii="Arial" w:cs="Arial" w:eastAsia="Arial" w:hAnsi="Arial"/>
                <w:sz w:val="15"/>
                <w:szCs w:val="15"/>
                <w:b w:val="1"/>
                <w:bCs w:val="1"/>
                <w:color w:val="0000EE"/>
              </w:rPr>
              <w:t>Meeting</w:t>
            </w:r>
          </w:p>
        </w:tc>
        <w:tc>
          <w:tcPr>
            <w:tcW w:w="120" w:type="dxa"/>
            <w:vAlign w:val="bottom"/>
            <w:gridSpan w:val="2"/>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40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3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6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26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-6517005</wp:posOffset>
            </wp:positionV>
            <wp:extent cx="7179310" cy="53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p>
    <w:p>
      <w:pPr>
        <w:sectPr>
          <w:pgSz w:w="11900" w:h="16838" w:orient="portrait"/>
          <w:cols w:equalWidth="0" w:num="2">
            <w:col w:w="5400" w:space="340"/>
            <w:col w:w="5200"/>
          </w:cols>
          <w:pgMar w:left="320" w:top="471"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Proxy Summary</w:t>
      </w:r>
    </w:p>
    <w:p>
      <w:pPr>
        <w:spacing w:after="0" w:line="336" w:lineRule="exact"/>
        <w:rPr>
          <w:sz w:val="20"/>
          <w:szCs w:val="20"/>
          <w:color w:val="auto"/>
        </w:rPr>
      </w:pPr>
    </w:p>
    <w:p>
      <w:pPr>
        <w:ind w:left="320" w:right="40"/>
        <w:spacing w:after="0" w:line="265" w:lineRule="auto"/>
        <w:rPr>
          <w:sz w:val="20"/>
          <w:szCs w:val="20"/>
          <w:color w:val="auto"/>
        </w:rPr>
      </w:pPr>
      <w:r>
        <w:rPr>
          <w:rFonts w:ascii="Arial" w:cs="Arial" w:eastAsia="Arial" w:hAnsi="Arial"/>
          <w:sz w:val="16"/>
          <w:szCs w:val="16"/>
          <w:color w:val="auto"/>
        </w:rPr>
        <w:t>This summary highlights information contained elsewhere in this Proxy Statement. Please refer to the complete Proxy Statement and Kelly’s 2023 Annual Report before you vote.</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2024 Annual Meeting of Shareholders Details</w:t>
      </w: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136"/>
        </w:trPr>
        <w:tc>
          <w:tcPr>
            <w:tcW w:w="1780" w:type="dxa"/>
            <w:vAlign w:val="bottom"/>
            <w:vMerge w:val="restart"/>
          </w:tcPr>
          <w:p>
            <w:pPr>
              <w:spacing w:after="0"/>
              <w:rPr>
                <w:sz w:val="20"/>
                <w:szCs w:val="20"/>
                <w:color w:val="auto"/>
              </w:rPr>
            </w:pPr>
            <w:r>
              <w:rPr>
                <w:rFonts w:ascii="Arial" w:cs="Arial" w:eastAsia="Arial" w:hAnsi="Arial"/>
                <w:sz w:val="16"/>
                <w:szCs w:val="16"/>
                <w:color w:val="auto"/>
              </w:rPr>
              <w:t> </w:t>
            </w:r>
          </w:p>
        </w:tc>
        <w:tc>
          <w:tcPr>
            <w:tcW w:w="1860" w:type="dxa"/>
            <w:vAlign w:val="bottom"/>
          </w:tcPr>
          <w:p>
            <w:pPr>
              <w:ind w:left="1740"/>
              <w:spacing w:after="0"/>
              <w:rPr>
                <w:sz w:val="20"/>
                <w:szCs w:val="20"/>
                <w:color w:val="auto"/>
              </w:rPr>
            </w:pPr>
            <w:r>
              <w:rPr>
                <w:rFonts w:ascii="Arial" w:cs="Arial" w:eastAsia="Arial" w:hAnsi="Arial"/>
                <w:sz w:val="10"/>
                <w:szCs w:val="10"/>
                <w:color w:val="auto"/>
                <w:w w:val="99"/>
              </w:rPr>
              <w:t> </w:t>
            </w:r>
          </w:p>
        </w:tc>
        <w:tc>
          <w:tcPr>
            <w:tcW w:w="3380" w:type="dxa"/>
            <w:vAlign w:val="bottom"/>
            <w:shd w:val="clear" w:color="auto" w:fill="EDEDED"/>
          </w:tcPr>
          <w:p>
            <w:pPr>
              <w:spacing w:after="0"/>
              <w:rPr>
                <w:sz w:val="11"/>
                <w:szCs w:val="11"/>
                <w:color w:val="auto"/>
              </w:rPr>
            </w:pP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0" w:type="dxa"/>
            <w:vAlign w:val="bottom"/>
          </w:tcPr>
          <w:p>
            <w:pPr>
              <w:spacing w:after="0"/>
              <w:rPr>
                <w:sz w:val="1"/>
                <w:szCs w:val="1"/>
                <w:color w:val="auto"/>
              </w:rPr>
            </w:pPr>
          </w:p>
        </w:tc>
      </w:tr>
      <w:tr>
        <w:trPr>
          <w:trHeight w:val="59"/>
        </w:trPr>
        <w:tc>
          <w:tcPr>
            <w:tcW w:w="1780" w:type="dxa"/>
            <w:vAlign w:val="bottom"/>
            <w:vMerge w:val="continue"/>
          </w:tcPr>
          <w:p>
            <w:pPr>
              <w:spacing w:after="0"/>
              <w:rPr>
                <w:sz w:val="5"/>
                <w:szCs w:val="5"/>
                <w:color w:val="auto"/>
              </w:rPr>
            </w:pPr>
          </w:p>
        </w:tc>
        <w:tc>
          <w:tcPr>
            <w:tcW w:w="1860" w:type="dxa"/>
            <w:vAlign w:val="bottom"/>
          </w:tcPr>
          <w:p>
            <w:pPr>
              <w:spacing w:after="0"/>
              <w:rPr>
                <w:sz w:val="5"/>
                <w:szCs w:val="5"/>
                <w:color w:val="auto"/>
              </w:rPr>
            </w:pPr>
          </w:p>
        </w:tc>
        <w:tc>
          <w:tcPr>
            <w:tcW w:w="3380" w:type="dxa"/>
            <w:vAlign w:val="bottom"/>
            <w:shd w:val="clear" w:color="auto" w:fill="EDEDED"/>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-114935</wp:posOffset>
            </wp:positionV>
            <wp:extent cx="6740525" cy="11150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40525" cy="111506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2820" w:type="dxa"/>
            <w:vAlign w:val="bottom"/>
          </w:tcPr>
          <w:p>
            <w:pPr>
              <w:jc w:val="center"/>
              <w:ind w:right="951"/>
              <w:spacing w:after="0"/>
              <w:rPr>
                <w:sz w:val="20"/>
                <w:szCs w:val="20"/>
                <w:color w:val="auto"/>
              </w:rPr>
            </w:pPr>
            <w:r>
              <w:rPr>
                <w:rFonts w:ascii="Arial" w:cs="Arial" w:eastAsia="Arial" w:hAnsi="Arial"/>
                <w:sz w:val="19"/>
                <w:szCs w:val="19"/>
                <w:b w:val="1"/>
                <w:bCs w:val="1"/>
                <w:color w:val="0A9E50"/>
              </w:rPr>
              <w:t>Date and Time</w:t>
            </w:r>
          </w:p>
        </w:tc>
        <w:tc>
          <w:tcPr>
            <w:tcW w:w="3440" w:type="dxa"/>
            <w:vAlign w:val="bottom"/>
          </w:tcPr>
          <w:p>
            <w:pPr>
              <w:jc w:val="center"/>
              <w:spacing w:after="0"/>
              <w:rPr>
                <w:sz w:val="20"/>
                <w:szCs w:val="20"/>
                <w:color w:val="auto"/>
              </w:rPr>
            </w:pPr>
            <w:r>
              <w:rPr>
                <w:rFonts w:ascii="Arial" w:cs="Arial" w:eastAsia="Arial" w:hAnsi="Arial"/>
                <w:sz w:val="19"/>
                <w:szCs w:val="19"/>
                <w:b w:val="1"/>
                <w:bCs w:val="1"/>
                <w:color w:val="0A9E50"/>
              </w:rPr>
              <w:t>Place</w:t>
            </w:r>
          </w:p>
        </w:tc>
        <w:tc>
          <w:tcPr>
            <w:tcW w:w="2760" w:type="dxa"/>
            <w:vAlign w:val="bottom"/>
          </w:tcPr>
          <w:p>
            <w:pPr>
              <w:jc w:val="center"/>
              <w:ind w:left="951"/>
              <w:spacing w:after="0"/>
              <w:rPr>
                <w:sz w:val="20"/>
                <w:szCs w:val="20"/>
                <w:color w:val="auto"/>
              </w:rPr>
            </w:pPr>
            <w:r>
              <w:rPr>
                <w:rFonts w:ascii="Arial" w:cs="Arial" w:eastAsia="Arial" w:hAnsi="Arial"/>
                <w:sz w:val="19"/>
                <w:szCs w:val="19"/>
                <w:b w:val="1"/>
                <w:bCs w:val="1"/>
                <w:color w:val="0A9E50"/>
              </w:rPr>
              <w:t>Record Date</w:t>
            </w:r>
          </w:p>
        </w:tc>
      </w:tr>
      <w:tr>
        <w:trPr>
          <w:trHeight w:val="195"/>
        </w:trPr>
        <w:tc>
          <w:tcPr>
            <w:tcW w:w="2820" w:type="dxa"/>
            <w:vAlign w:val="bottom"/>
          </w:tcPr>
          <w:p>
            <w:pPr>
              <w:jc w:val="center"/>
              <w:ind w:right="971"/>
              <w:spacing w:after="0"/>
              <w:rPr>
                <w:sz w:val="20"/>
                <w:szCs w:val="20"/>
                <w:color w:val="auto"/>
              </w:rPr>
            </w:pPr>
            <w:r>
              <w:rPr>
                <w:rFonts w:ascii="Arial" w:cs="Arial" w:eastAsia="Arial" w:hAnsi="Arial"/>
                <w:sz w:val="17"/>
                <w:szCs w:val="17"/>
                <w:color w:val="auto"/>
              </w:rPr>
              <w:t>Thursday, May 9, 2024</w:t>
            </w:r>
          </w:p>
        </w:tc>
        <w:tc>
          <w:tcPr>
            <w:tcW w:w="3440" w:type="dxa"/>
            <w:vAlign w:val="bottom"/>
          </w:tcPr>
          <w:p>
            <w:pPr>
              <w:jc w:val="center"/>
              <w:spacing w:after="0"/>
              <w:rPr>
                <w:sz w:val="20"/>
                <w:szCs w:val="20"/>
                <w:color w:val="auto"/>
              </w:rPr>
            </w:pPr>
            <w:r>
              <w:rPr>
                <w:rFonts w:ascii="Arial" w:cs="Arial" w:eastAsia="Arial" w:hAnsi="Arial"/>
                <w:sz w:val="17"/>
                <w:szCs w:val="17"/>
                <w:color w:val="auto"/>
              </w:rPr>
              <w:t>Virtual Meeting:</w:t>
            </w:r>
          </w:p>
        </w:tc>
        <w:tc>
          <w:tcPr>
            <w:tcW w:w="2760" w:type="dxa"/>
            <w:vAlign w:val="bottom"/>
          </w:tcPr>
          <w:p>
            <w:pPr>
              <w:jc w:val="center"/>
              <w:ind w:left="951"/>
              <w:spacing w:after="0"/>
              <w:rPr>
                <w:sz w:val="20"/>
                <w:szCs w:val="20"/>
                <w:color w:val="auto"/>
              </w:rPr>
            </w:pPr>
            <w:r>
              <w:rPr>
                <w:rFonts w:ascii="Arial" w:cs="Arial" w:eastAsia="Arial" w:hAnsi="Arial"/>
                <w:sz w:val="17"/>
                <w:szCs w:val="17"/>
                <w:color w:val="auto"/>
              </w:rPr>
              <w:t>Close of Business,</w:t>
            </w:r>
          </w:p>
        </w:tc>
      </w:tr>
      <w:tr>
        <w:trPr>
          <w:trHeight w:val="195"/>
        </w:trPr>
        <w:tc>
          <w:tcPr>
            <w:tcW w:w="2820" w:type="dxa"/>
            <w:vAlign w:val="bottom"/>
          </w:tcPr>
          <w:p>
            <w:pPr>
              <w:jc w:val="center"/>
              <w:ind w:right="971"/>
              <w:spacing w:after="0"/>
              <w:rPr>
                <w:sz w:val="20"/>
                <w:szCs w:val="20"/>
                <w:color w:val="auto"/>
              </w:rPr>
            </w:pPr>
            <w:r>
              <w:rPr>
                <w:rFonts w:ascii="Arial" w:cs="Arial" w:eastAsia="Arial" w:hAnsi="Arial"/>
                <w:sz w:val="17"/>
                <w:szCs w:val="17"/>
                <w:color w:val="auto"/>
              </w:rPr>
              <w:t>at 12:00 p.m., Eastern</w:t>
            </w:r>
          </w:p>
        </w:tc>
        <w:tc>
          <w:tcPr>
            <w:tcW w:w="3440" w:type="dxa"/>
            <w:vAlign w:val="bottom"/>
          </w:tcPr>
          <w:p>
            <w:pPr>
              <w:jc w:val="center"/>
              <w:spacing w:after="0"/>
              <w:rPr>
                <w:sz w:val="20"/>
                <w:szCs w:val="20"/>
                <w:color w:val="auto"/>
              </w:rPr>
            </w:pPr>
            <w:r>
              <w:rPr>
                <w:rFonts w:ascii="Arial" w:cs="Arial" w:eastAsia="Arial" w:hAnsi="Arial"/>
                <w:sz w:val="17"/>
                <w:szCs w:val="17"/>
                <w:color w:val="auto"/>
              </w:rPr>
              <w:t>kellyservices.com</w:t>
            </w:r>
          </w:p>
        </w:tc>
        <w:tc>
          <w:tcPr>
            <w:tcW w:w="2760" w:type="dxa"/>
            <w:vAlign w:val="bottom"/>
          </w:tcPr>
          <w:p>
            <w:pPr>
              <w:jc w:val="center"/>
              <w:ind w:left="931"/>
              <w:spacing w:after="0"/>
              <w:rPr>
                <w:sz w:val="20"/>
                <w:szCs w:val="20"/>
                <w:color w:val="auto"/>
              </w:rPr>
            </w:pPr>
            <w:r>
              <w:rPr>
                <w:rFonts w:ascii="Arial" w:cs="Arial" w:eastAsia="Arial" w:hAnsi="Arial"/>
                <w:sz w:val="17"/>
                <w:szCs w:val="17"/>
                <w:color w:val="auto"/>
              </w:rPr>
              <w:t>Eastern Daylight Time,</w:t>
            </w:r>
          </w:p>
        </w:tc>
      </w:tr>
      <w:tr>
        <w:trPr>
          <w:trHeight w:val="227"/>
        </w:trPr>
        <w:tc>
          <w:tcPr>
            <w:tcW w:w="2820" w:type="dxa"/>
            <w:vAlign w:val="bottom"/>
          </w:tcPr>
          <w:p>
            <w:pPr>
              <w:jc w:val="center"/>
              <w:ind w:right="971"/>
              <w:spacing w:after="0"/>
              <w:rPr>
                <w:sz w:val="20"/>
                <w:szCs w:val="20"/>
                <w:color w:val="auto"/>
              </w:rPr>
            </w:pPr>
            <w:r>
              <w:rPr>
                <w:rFonts w:ascii="Arial" w:cs="Arial" w:eastAsia="Arial" w:hAnsi="Arial"/>
                <w:sz w:val="17"/>
                <w:szCs w:val="17"/>
                <w:color w:val="auto"/>
              </w:rPr>
              <w:t>Daylight Time</w:t>
            </w:r>
          </w:p>
        </w:tc>
        <w:tc>
          <w:tcPr>
            <w:tcW w:w="3440" w:type="dxa"/>
            <w:vAlign w:val="bottom"/>
          </w:tcPr>
          <w:p>
            <w:pPr>
              <w:spacing w:after="0"/>
              <w:rPr>
                <w:sz w:val="19"/>
                <w:szCs w:val="19"/>
                <w:color w:val="auto"/>
              </w:rPr>
            </w:pPr>
          </w:p>
        </w:tc>
        <w:tc>
          <w:tcPr>
            <w:tcW w:w="2760" w:type="dxa"/>
            <w:vAlign w:val="bottom"/>
          </w:tcPr>
          <w:p>
            <w:pPr>
              <w:jc w:val="center"/>
              <w:ind w:left="951"/>
              <w:spacing w:after="0"/>
              <w:rPr>
                <w:sz w:val="20"/>
                <w:szCs w:val="20"/>
                <w:color w:val="auto"/>
              </w:rPr>
            </w:pPr>
            <w:r>
              <w:rPr>
                <w:rFonts w:ascii="Arial" w:cs="Arial" w:eastAsia="Arial" w:hAnsi="Arial"/>
                <w:sz w:val="17"/>
                <w:szCs w:val="17"/>
                <w:color w:val="auto"/>
              </w:rPr>
              <w:t>March 21, 2024</w:t>
            </w:r>
          </w:p>
        </w:tc>
      </w:tr>
    </w:tbl>
    <w:p>
      <w:pPr>
        <w:ind w:left="320"/>
        <w:spacing w:after="0"/>
        <w:rPr>
          <w:sz w:val="20"/>
          <w:szCs w:val="20"/>
          <w:color w:val="auto"/>
        </w:rPr>
      </w:pPr>
      <w:r>
        <w:rPr>
          <w:rFonts w:ascii="Arial" w:cs="Arial" w:eastAsia="Arial" w:hAnsi="Arial"/>
          <w:sz w:val="16"/>
          <w:szCs w:val="16"/>
          <w:color w:val="auto"/>
        </w:rPr>
        <w:t> </w:t>
      </w:r>
    </w:p>
    <w:p>
      <w:pPr>
        <w:sectPr>
          <w:pgSz w:w="11900" w:h="16838" w:orient="portrait"/>
          <w:cols w:equalWidth="0" w:num="1">
            <w:col w:w="10940"/>
          </w:cols>
          <w:pgMar w:left="320" w:top="471" w:right="639" w:bottom="1440" w:gutter="0" w:footer="0" w:header="0"/>
        </w:sectPr>
      </w:pPr>
    </w:p>
    <w:p>
      <w:pPr>
        <w:spacing w:after="0" w:line="385"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Voting</w:t>
      </w:r>
    </w:p>
    <w:p>
      <w:pPr>
        <w:spacing w:after="0" w:line="14" w:lineRule="exact"/>
        <w:rPr>
          <w:sz w:val="20"/>
          <w:szCs w:val="20"/>
          <w:color w:val="auto"/>
        </w:rPr>
      </w:pPr>
    </w:p>
    <w:p>
      <w:pPr>
        <w:jc w:val="center"/>
        <w:ind w:left="400"/>
        <w:spacing w:after="0" w:line="294" w:lineRule="auto"/>
        <w:rPr>
          <w:sz w:val="20"/>
          <w:szCs w:val="20"/>
          <w:color w:val="auto"/>
        </w:rPr>
      </w:pPr>
      <w:r>
        <w:rPr>
          <w:rFonts w:ascii="Arial" w:cs="Arial" w:eastAsia="Arial" w:hAnsi="Arial"/>
          <w:sz w:val="14"/>
          <w:szCs w:val="14"/>
          <w:color w:val="auto"/>
        </w:rPr>
        <w:t>Class B Shareholders as of the Record Date are entitled to vote. Each share of Class B Common Stock is entitled to one vote for each director nominee and one vote for each of the other proposals to be voted on.</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Admission</w:t>
      </w:r>
    </w:p>
    <w:p>
      <w:pPr>
        <w:spacing w:after="0" w:line="14"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All holders of the Company’s Class A and Class B Common Stock are</w:t>
      </w:r>
    </w:p>
    <w:p>
      <w:pPr>
        <w:spacing w:after="0" w:line="2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invited to attend the Annual Meeting of Shareholders.</w:t>
      </w:r>
    </w:p>
    <w:p>
      <w:pPr>
        <w:spacing w:after="0" w:line="425" w:lineRule="exact"/>
        <w:rPr>
          <w:sz w:val="20"/>
          <w:szCs w:val="20"/>
          <w:color w:val="auto"/>
        </w:rPr>
      </w:pPr>
    </w:p>
    <w:p>
      <w:pPr>
        <w:sectPr>
          <w:pgSz w:w="11900" w:h="16838" w:orient="portrait"/>
          <w:cols w:equalWidth="0" w:num="2">
            <w:col w:w="5340" w:space="580"/>
            <w:col w:w="5020"/>
          </w:cols>
          <w:pgMar w:left="320" w:top="471" w:right="63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Proxy Voting Roadmap</w:t>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39"/>
        </w:trPr>
        <w:tc>
          <w:tcPr>
            <w:tcW w:w="6660" w:type="dxa"/>
            <w:vAlign w:val="bottom"/>
          </w:tcPr>
          <w:p>
            <w:pPr>
              <w:ind w:left="60"/>
              <w:spacing w:after="0"/>
              <w:rPr>
                <w:sz w:val="20"/>
                <w:szCs w:val="20"/>
                <w:color w:val="auto"/>
              </w:rPr>
            </w:pPr>
            <w:r>
              <w:rPr>
                <w:rFonts w:ascii="Arial" w:cs="Arial" w:eastAsia="Arial" w:hAnsi="Arial"/>
                <w:sz w:val="17"/>
                <w:szCs w:val="17"/>
                <w:b w:val="1"/>
                <w:bCs w:val="1"/>
                <w:color w:val="0A9E50"/>
              </w:rPr>
              <w:t>Proposal</w:t>
            </w:r>
          </w:p>
        </w:tc>
        <w:tc>
          <w:tcPr>
            <w:tcW w:w="2560" w:type="dxa"/>
            <w:vAlign w:val="bottom"/>
          </w:tcPr>
          <w:p>
            <w:pPr>
              <w:jc w:val="center"/>
              <w:ind w:left="137"/>
              <w:spacing w:after="0"/>
              <w:rPr>
                <w:sz w:val="20"/>
                <w:szCs w:val="20"/>
                <w:color w:val="auto"/>
              </w:rPr>
            </w:pPr>
            <w:r>
              <w:rPr>
                <w:rFonts w:ascii="Arial" w:cs="Arial" w:eastAsia="Arial" w:hAnsi="Arial"/>
                <w:sz w:val="17"/>
                <w:szCs w:val="17"/>
                <w:b w:val="1"/>
                <w:bCs w:val="1"/>
                <w:color w:val="0A9E50"/>
              </w:rPr>
              <w:t>Board Recommendations</w:t>
            </w:r>
          </w:p>
        </w:tc>
        <w:tc>
          <w:tcPr>
            <w:tcW w:w="1400" w:type="dxa"/>
            <w:vAlign w:val="bottom"/>
            <w:gridSpan w:val="3"/>
          </w:tcPr>
          <w:p>
            <w:pPr>
              <w:jc w:val="center"/>
              <w:ind w:left="220"/>
              <w:spacing w:after="0"/>
              <w:rPr>
                <w:sz w:val="20"/>
                <w:szCs w:val="20"/>
                <w:color w:val="auto"/>
              </w:rPr>
            </w:pPr>
            <w:r>
              <w:rPr>
                <w:rFonts w:ascii="Arial" w:cs="Arial" w:eastAsia="Arial" w:hAnsi="Arial"/>
                <w:sz w:val="17"/>
                <w:szCs w:val="17"/>
                <w:b w:val="1"/>
                <w:bCs w:val="1"/>
                <w:color w:val="0A9E50"/>
              </w:rPr>
              <w:t>Page</w:t>
            </w:r>
          </w:p>
        </w:tc>
        <w:tc>
          <w:tcPr>
            <w:tcW w:w="0" w:type="dxa"/>
            <w:vAlign w:val="bottom"/>
          </w:tcPr>
          <w:p>
            <w:pPr>
              <w:spacing w:after="0"/>
              <w:rPr>
                <w:sz w:val="1"/>
                <w:szCs w:val="1"/>
                <w:color w:val="auto"/>
              </w:rPr>
            </w:pPr>
          </w:p>
        </w:tc>
      </w:tr>
      <w:tr>
        <w:trPr>
          <w:trHeight w:val="79"/>
        </w:trPr>
        <w:tc>
          <w:tcPr>
            <w:tcW w:w="66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71"/>
        </w:trPr>
        <w:tc>
          <w:tcPr>
            <w:tcW w:w="6660" w:type="dxa"/>
            <w:vAlign w:val="bottom"/>
            <w:vMerge w:val="restart"/>
          </w:tcPr>
          <w:p>
            <w:pPr>
              <w:ind w:left="820"/>
              <w:spacing w:after="0"/>
              <w:rPr>
                <w:sz w:val="20"/>
                <w:szCs w:val="20"/>
                <w:color w:val="auto"/>
              </w:rPr>
            </w:pPr>
            <w:r>
              <w:rPr>
                <w:rFonts w:ascii="Arial" w:cs="Arial" w:eastAsia="Arial" w:hAnsi="Arial"/>
                <w:sz w:val="16"/>
                <w:szCs w:val="16"/>
                <w:b w:val="1"/>
                <w:bCs w:val="1"/>
                <w:color w:val="auto"/>
              </w:rPr>
              <w:t xml:space="preserve">Proposal 1: </w:t>
            </w:r>
            <w:r>
              <w:rPr>
                <w:rFonts w:ascii="Arial" w:cs="Arial" w:eastAsia="Arial" w:hAnsi="Arial"/>
                <w:sz w:val="16"/>
                <w:szCs w:val="16"/>
                <w:color w:val="auto"/>
              </w:rPr>
              <w:t>Election of nine directors</w:t>
            </w:r>
          </w:p>
        </w:tc>
        <w:tc>
          <w:tcPr>
            <w:tcW w:w="2560" w:type="dxa"/>
            <w:vAlign w:val="bottom"/>
          </w:tcPr>
          <w:p>
            <w:pPr>
              <w:jc w:val="center"/>
              <w:ind w:left="157"/>
              <w:spacing w:after="0"/>
              <w:rPr>
                <w:sz w:val="20"/>
                <w:szCs w:val="20"/>
                <w:color w:val="auto"/>
              </w:rPr>
            </w:pPr>
            <w:r>
              <w:rPr>
                <w:rFonts w:ascii="Arial" w:cs="Arial" w:eastAsia="Arial" w:hAnsi="Arial"/>
                <w:sz w:val="16"/>
                <w:szCs w:val="16"/>
                <w:b w:val="1"/>
                <w:bCs w:val="1"/>
                <w:color w:val="0A9E50"/>
                <w:w w:val="94"/>
              </w:rPr>
              <w:t>FOR</w:t>
            </w:r>
          </w:p>
        </w:tc>
        <w:tc>
          <w:tcPr>
            <w:tcW w:w="720" w:type="dxa"/>
            <w:vAlign w:val="bottom"/>
            <w:shd w:val="clear" w:color="auto" w:fill="EDEDED"/>
          </w:tcPr>
          <w:p>
            <w:pPr>
              <w:spacing w:after="0"/>
              <w:rPr>
                <w:sz w:val="24"/>
                <w:szCs w:val="24"/>
                <w:color w:val="auto"/>
              </w:rPr>
            </w:pPr>
          </w:p>
        </w:tc>
        <w:tc>
          <w:tcPr>
            <w:tcW w:w="680" w:type="dxa"/>
            <w:vAlign w:val="bottom"/>
            <w:gridSpan w:val="2"/>
            <w:vMerge w:val="restart"/>
            <w:shd w:val="clear" w:color="auto" w:fill="EDEDED"/>
          </w:tcPr>
          <w:p>
            <w:pPr>
              <w:jc w:val="center"/>
              <w:ind w:right="316"/>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22"/>
        </w:trPr>
        <w:tc>
          <w:tcPr>
            <w:tcW w:w="6660" w:type="dxa"/>
            <w:vAlign w:val="bottom"/>
            <w:vMerge w:val="continue"/>
          </w:tcPr>
          <w:p>
            <w:pPr>
              <w:spacing w:after="0"/>
              <w:rPr>
                <w:sz w:val="10"/>
                <w:szCs w:val="10"/>
                <w:color w:val="auto"/>
              </w:rPr>
            </w:pPr>
          </w:p>
        </w:tc>
        <w:tc>
          <w:tcPr>
            <w:tcW w:w="2560" w:type="dxa"/>
            <w:vAlign w:val="bottom"/>
            <w:vMerge w:val="restart"/>
          </w:tcPr>
          <w:p>
            <w:pPr>
              <w:jc w:val="center"/>
              <w:ind w:left="137"/>
              <w:spacing w:after="0"/>
              <w:rPr>
                <w:sz w:val="20"/>
                <w:szCs w:val="20"/>
                <w:color w:val="auto"/>
              </w:rPr>
            </w:pPr>
            <w:r>
              <w:rPr>
                <w:rFonts w:ascii="Arial" w:cs="Arial" w:eastAsia="Arial" w:hAnsi="Arial"/>
                <w:sz w:val="16"/>
                <w:szCs w:val="16"/>
                <w:color w:val="auto"/>
                <w:w w:val="97"/>
              </w:rPr>
              <w:t>each nominee</w:t>
            </w:r>
          </w:p>
        </w:tc>
        <w:tc>
          <w:tcPr>
            <w:tcW w:w="720" w:type="dxa"/>
            <w:vAlign w:val="bottom"/>
            <w:shd w:val="clear" w:color="auto" w:fill="EDEDED"/>
          </w:tcPr>
          <w:p>
            <w:pPr>
              <w:spacing w:after="0"/>
              <w:rPr>
                <w:sz w:val="10"/>
                <w:szCs w:val="10"/>
                <w:color w:val="auto"/>
              </w:rPr>
            </w:pPr>
          </w:p>
        </w:tc>
        <w:tc>
          <w:tcPr>
            <w:tcW w:w="680" w:type="dxa"/>
            <w:vAlign w:val="bottom"/>
            <w:gridSpan w:val="2"/>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660" w:type="dxa"/>
            <w:vAlign w:val="bottom"/>
          </w:tcPr>
          <w:p>
            <w:pPr>
              <w:spacing w:after="0"/>
              <w:rPr>
                <w:sz w:val="7"/>
                <w:szCs w:val="7"/>
                <w:color w:val="auto"/>
              </w:rPr>
            </w:pPr>
          </w:p>
        </w:tc>
        <w:tc>
          <w:tcPr>
            <w:tcW w:w="2560" w:type="dxa"/>
            <w:vAlign w:val="bottom"/>
            <w:vMerge w:val="continue"/>
          </w:tcPr>
          <w:p>
            <w:pPr>
              <w:spacing w:after="0"/>
              <w:rPr>
                <w:sz w:val="7"/>
                <w:szCs w:val="7"/>
                <w:color w:val="auto"/>
              </w:rPr>
            </w:pPr>
          </w:p>
        </w:tc>
        <w:tc>
          <w:tcPr>
            <w:tcW w:w="720" w:type="dxa"/>
            <w:vAlign w:val="bottom"/>
            <w:shd w:val="clear" w:color="auto" w:fill="EDEDED"/>
          </w:tcPr>
          <w:p>
            <w:pPr>
              <w:spacing w:after="0"/>
              <w:rPr>
                <w:sz w:val="7"/>
                <w:szCs w:val="7"/>
                <w:color w:val="auto"/>
              </w:rPr>
            </w:pPr>
          </w:p>
        </w:tc>
        <w:tc>
          <w:tcPr>
            <w:tcW w:w="140" w:type="dxa"/>
            <w:vAlign w:val="bottom"/>
            <w:tcBorders>
              <w:right w:val="single" w:sz="8" w:color="EDEDED"/>
            </w:tcBorders>
            <w:shd w:val="clear" w:color="auto" w:fill="EDEDED"/>
          </w:tcPr>
          <w:p>
            <w:pPr>
              <w:spacing w:after="0"/>
              <w:rPr>
                <w:sz w:val="7"/>
                <w:szCs w:val="7"/>
                <w:color w:val="auto"/>
              </w:rPr>
            </w:pPr>
          </w:p>
        </w:tc>
        <w:tc>
          <w:tcPr>
            <w:tcW w:w="54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6660" w:type="dxa"/>
            <w:vAlign w:val="bottom"/>
            <w:tcBorders>
              <w:bottom w:val="single" w:sz="8" w:color="7F7F7F"/>
            </w:tcBorders>
          </w:tcPr>
          <w:p>
            <w:pPr>
              <w:spacing w:after="0"/>
              <w:rPr>
                <w:sz w:val="12"/>
                <w:szCs w:val="12"/>
                <w:color w:val="auto"/>
              </w:rPr>
            </w:pPr>
          </w:p>
        </w:tc>
        <w:tc>
          <w:tcPr>
            <w:tcW w:w="256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shd w:val="clear" w:color="auto" w:fill="EDEDED"/>
          </w:tcPr>
          <w:p>
            <w:pPr>
              <w:spacing w:after="0"/>
              <w:rPr>
                <w:sz w:val="12"/>
                <w:szCs w:val="12"/>
                <w:color w:val="auto"/>
              </w:rPr>
            </w:pPr>
          </w:p>
        </w:tc>
        <w:tc>
          <w:tcPr>
            <w:tcW w:w="140" w:type="dxa"/>
            <w:vAlign w:val="bottom"/>
            <w:tcBorders>
              <w:bottom w:val="single" w:sz="8" w:color="7F7F7F"/>
              <w:right w:val="single" w:sz="8" w:color="EDEDED"/>
            </w:tcBorders>
            <w:shd w:val="clear" w:color="auto" w:fill="EDEDED"/>
          </w:tcPr>
          <w:p>
            <w:pPr>
              <w:spacing w:after="0"/>
              <w:rPr>
                <w:sz w:val="12"/>
                <w:szCs w:val="12"/>
                <w:color w:val="auto"/>
              </w:rPr>
            </w:pPr>
          </w:p>
        </w:tc>
        <w:tc>
          <w:tcPr>
            <w:tcW w:w="540" w:type="dxa"/>
            <w:vAlign w:val="bottom"/>
            <w:tcBorders>
              <w:bottom w:val="single" w:sz="8" w:color="7F7F7F"/>
            </w:tcBorders>
            <w:shd w:val="clear" w:color="auto" w:fill="EDEDED"/>
          </w:tcPr>
          <w:p>
            <w:pPr>
              <w:spacing w:after="0"/>
              <w:rPr>
                <w:sz w:val="12"/>
                <w:szCs w:val="12"/>
                <w:color w:val="auto"/>
              </w:rPr>
            </w:pPr>
          </w:p>
        </w:tc>
        <w:tc>
          <w:tcPr>
            <w:tcW w:w="0" w:type="dxa"/>
            <w:vAlign w:val="bottom"/>
          </w:tcPr>
          <w:p>
            <w:pPr>
              <w:spacing w:after="0"/>
              <w:rPr>
                <w:sz w:val="1"/>
                <w:szCs w:val="1"/>
                <w:color w:val="auto"/>
              </w:rPr>
            </w:pPr>
          </w:p>
        </w:tc>
      </w:tr>
      <w:tr>
        <w:trPr>
          <w:trHeight w:val="519"/>
        </w:trPr>
        <w:tc>
          <w:tcPr>
            <w:tcW w:w="6660" w:type="dxa"/>
            <w:vAlign w:val="bottom"/>
          </w:tcPr>
          <w:p>
            <w:pPr>
              <w:ind w:left="820"/>
              <w:spacing w:after="0"/>
              <w:rPr>
                <w:sz w:val="20"/>
                <w:szCs w:val="20"/>
                <w:color w:val="auto"/>
              </w:rPr>
            </w:pPr>
            <w:r>
              <w:rPr>
                <w:rFonts w:ascii="Arial" w:cs="Arial" w:eastAsia="Arial" w:hAnsi="Arial"/>
                <w:sz w:val="16"/>
                <w:szCs w:val="16"/>
                <w:b w:val="1"/>
                <w:bCs w:val="1"/>
                <w:color w:val="auto"/>
              </w:rPr>
              <w:t xml:space="preserve">Proposal 2: </w:t>
            </w:r>
            <w:r>
              <w:rPr>
                <w:rFonts w:ascii="Arial" w:cs="Arial" w:eastAsia="Arial" w:hAnsi="Arial"/>
                <w:sz w:val="16"/>
                <w:szCs w:val="16"/>
                <w:color w:val="auto"/>
              </w:rPr>
              <w:t>Advisory vote to approve the Company’s executive compensation</w:t>
            </w:r>
          </w:p>
        </w:tc>
        <w:tc>
          <w:tcPr>
            <w:tcW w:w="2560" w:type="dxa"/>
            <w:vAlign w:val="bottom"/>
          </w:tcPr>
          <w:p>
            <w:pPr>
              <w:jc w:val="center"/>
              <w:ind w:left="157"/>
              <w:spacing w:after="0"/>
              <w:rPr>
                <w:sz w:val="20"/>
                <w:szCs w:val="20"/>
                <w:color w:val="auto"/>
              </w:rPr>
            </w:pPr>
            <w:r>
              <w:rPr>
                <w:rFonts w:ascii="Arial" w:cs="Arial" w:eastAsia="Arial" w:hAnsi="Arial"/>
                <w:sz w:val="16"/>
                <w:szCs w:val="16"/>
                <w:b w:val="1"/>
                <w:bCs w:val="1"/>
                <w:color w:val="0A9E50"/>
                <w:w w:val="94"/>
              </w:rPr>
              <w:t>FOR</w:t>
            </w:r>
          </w:p>
        </w:tc>
        <w:tc>
          <w:tcPr>
            <w:tcW w:w="720" w:type="dxa"/>
            <w:vAlign w:val="bottom"/>
            <w:shd w:val="clear" w:color="auto" w:fill="EDEDED"/>
          </w:tcPr>
          <w:p>
            <w:pPr>
              <w:spacing w:after="0"/>
              <w:rPr>
                <w:sz w:val="24"/>
                <w:szCs w:val="24"/>
                <w:color w:val="auto"/>
              </w:rPr>
            </w:pPr>
          </w:p>
        </w:tc>
        <w:tc>
          <w:tcPr>
            <w:tcW w:w="680" w:type="dxa"/>
            <w:vAlign w:val="bottom"/>
            <w:gridSpan w:val="2"/>
            <w:shd w:val="clear" w:color="auto" w:fill="EDEDED"/>
          </w:tcPr>
          <w:p>
            <w:pPr>
              <w:jc w:val="center"/>
              <w:ind w:right="316"/>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8"/>
        </w:trPr>
        <w:tc>
          <w:tcPr>
            <w:tcW w:w="6660" w:type="dxa"/>
            <w:vAlign w:val="bottom"/>
            <w:tcBorders>
              <w:bottom w:val="single" w:sz="8" w:color="7F7F7F"/>
            </w:tcBorders>
          </w:tcPr>
          <w:p>
            <w:pPr>
              <w:spacing w:after="0"/>
              <w:rPr>
                <w:sz w:val="19"/>
                <w:szCs w:val="19"/>
                <w:color w:val="auto"/>
              </w:rPr>
            </w:pPr>
          </w:p>
        </w:tc>
        <w:tc>
          <w:tcPr>
            <w:tcW w:w="2560" w:type="dxa"/>
            <w:vAlign w:val="bottom"/>
            <w:tcBorders>
              <w:bottom w:val="single" w:sz="8" w:color="7F7F7F"/>
            </w:tcBorders>
          </w:tcPr>
          <w:p>
            <w:pPr>
              <w:spacing w:after="0"/>
              <w:rPr>
                <w:sz w:val="19"/>
                <w:szCs w:val="19"/>
                <w:color w:val="auto"/>
              </w:rPr>
            </w:pPr>
          </w:p>
        </w:tc>
        <w:tc>
          <w:tcPr>
            <w:tcW w:w="720" w:type="dxa"/>
            <w:vAlign w:val="bottom"/>
            <w:tcBorders>
              <w:bottom w:val="single" w:sz="8" w:color="7F7F7F"/>
            </w:tcBorders>
            <w:shd w:val="clear" w:color="auto" w:fill="EDEDED"/>
          </w:tcPr>
          <w:p>
            <w:pPr>
              <w:spacing w:after="0"/>
              <w:rPr>
                <w:sz w:val="19"/>
                <w:szCs w:val="19"/>
                <w:color w:val="auto"/>
              </w:rPr>
            </w:pPr>
          </w:p>
        </w:tc>
        <w:tc>
          <w:tcPr>
            <w:tcW w:w="140" w:type="dxa"/>
            <w:vAlign w:val="bottom"/>
            <w:tcBorders>
              <w:bottom w:val="single" w:sz="8" w:color="7F7F7F"/>
              <w:right w:val="single" w:sz="8" w:color="EDEDED"/>
            </w:tcBorders>
            <w:shd w:val="clear" w:color="auto" w:fill="EDEDED"/>
          </w:tcPr>
          <w:p>
            <w:pPr>
              <w:spacing w:after="0"/>
              <w:rPr>
                <w:sz w:val="19"/>
                <w:szCs w:val="19"/>
                <w:color w:val="auto"/>
              </w:rPr>
            </w:pPr>
          </w:p>
        </w:tc>
        <w:tc>
          <w:tcPr>
            <w:tcW w:w="540" w:type="dxa"/>
            <w:vAlign w:val="bottom"/>
            <w:tcBorders>
              <w:bottom w:val="single" w:sz="8" w:color="7F7F7F"/>
            </w:tcBorders>
            <w:shd w:val="clear" w:color="auto" w:fill="EDEDED"/>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6660" w:type="dxa"/>
            <w:vAlign w:val="bottom"/>
          </w:tcPr>
          <w:p>
            <w:pPr>
              <w:ind w:left="820"/>
              <w:spacing w:after="0"/>
              <w:rPr>
                <w:sz w:val="20"/>
                <w:szCs w:val="20"/>
                <w:color w:val="auto"/>
              </w:rPr>
            </w:pPr>
            <w:r>
              <w:rPr>
                <w:rFonts w:ascii="Arial" w:cs="Arial" w:eastAsia="Arial" w:hAnsi="Arial"/>
                <w:sz w:val="16"/>
                <w:szCs w:val="16"/>
                <w:b w:val="1"/>
                <w:bCs w:val="1"/>
                <w:color w:val="auto"/>
              </w:rPr>
              <w:t xml:space="preserve">Proposal 3: </w:t>
            </w:r>
            <w:r>
              <w:rPr>
                <w:rFonts w:ascii="Arial" w:cs="Arial" w:eastAsia="Arial" w:hAnsi="Arial"/>
                <w:sz w:val="16"/>
                <w:szCs w:val="16"/>
                <w:color w:val="auto"/>
              </w:rPr>
              <w:t>Vote to approve Amendment and restatement of the Company’s</w:t>
            </w:r>
          </w:p>
        </w:tc>
        <w:tc>
          <w:tcPr>
            <w:tcW w:w="2560" w:type="dxa"/>
            <w:vAlign w:val="bottom"/>
            <w:vMerge w:val="restart"/>
          </w:tcPr>
          <w:p>
            <w:pPr>
              <w:jc w:val="center"/>
              <w:ind w:left="157"/>
              <w:spacing w:after="0"/>
              <w:rPr>
                <w:sz w:val="20"/>
                <w:szCs w:val="20"/>
                <w:color w:val="auto"/>
              </w:rPr>
            </w:pPr>
            <w:r>
              <w:rPr>
                <w:rFonts w:ascii="Arial" w:cs="Arial" w:eastAsia="Arial" w:hAnsi="Arial"/>
                <w:sz w:val="16"/>
                <w:szCs w:val="16"/>
                <w:b w:val="1"/>
                <w:bCs w:val="1"/>
                <w:color w:val="0A9E50"/>
                <w:w w:val="94"/>
              </w:rPr>
              <w:t>FOR</w:t>
            </w:r>
          </w:p>
        </w:tc>
        <w:tc>
          <w:tcPr>
            <w:tcW w:w="720" w:type="dxa"/>
            <w:vAlign w:val="bottom"/>
            <w:shd w:val="clear" w:color="auto" w:fill="EDEDED"/>
          </w:tcPr>
          <w:p>
            <w:pPr>
              <w:spacing w:after="0"/>
              <w:rPr>
                <w:sz w:val="24"/>
                <w:szCs w:val="24"/>
                <w:color w:val="auto"/>
              </w:rPr>
            </w:pPr>
          </w:p>
        </w:tc>
        <w:tc>
          <w:tcPr>
            <w:tcW w:w="140" w:type="dxa"/>
            <w:vAlign w:val="bottom"/>
            <w:tcBorders>
              <w:right w:val="single" w:sz="8" w:color="EDEDED"/>
            </w:tcBorders>
            <w:shd w:val="clear" w:color="auto" w:fill="EDEDED"/>
          </w:tcPr>
          <w:p>
            <w:pPr>
              <w:spacing w:after="0"/>
              <w:rPr>
                <w:sz w:val="24"/>
                <w:szCs w:val="24"/>
                <w:color w:val="auto"/>
              </w:rPr>
            </w:pPr>
          </w:p>
        </w:tc>
        <w:tc>
          <w:tcPr>
            <w:tcW w:w="54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660" w:type="dxa"/>
            <w:vAlign w:val="bottom"/>
          </w:tcPr>
          <w:p>
            <w:pPr>
              <w:ind w:left="820"/>
              <w:spacing w:after="0" w:line="182" w:lineRule="exact"/>
              <w:rPr>
                <w:sz w:val="20"/>
                <w:szCs w:val="20"/>
                <w:color w:val="auto"/>
              </w:rPr>
            </w:pPr>
            <w:r>
              <w:rPr>
                <w:rFonts w:ascii="Arial" w:cs="Arial" w:eastAsia="Arial" w:hAnsi="Arial"/>
                <w:sz w:val="16"/>
                <w:szCs w:val="16"/>
                <w:color w:val="auto"/>
              </w:rPr>
              <w:t>Restated Certificate of Incorporation to reflect updated Delaware law provisions</w:t>
            </w:r>
          </w:p>
        </w:tc>
        <w:tc>
          <w:tcPr>
            <w:tcW w:w="2560" w:type="dxa"/>
            <w:vAlign w:val="bottom"/>
            <w:vMerge w:val="continue"/>
          </w:tcPr>
          <w:p>
            <w:pPr>
              <w:spacing w:after="0"/>
              <w:rPr>
                <w:sz w:val="15"/>
                <w:szCs w:val="15"/>
                <w:color w:val="auto"/>
              </w:rPr>
            </w:pPr>
          </w:p>
        </w:tc>
        <w:tc>
          <w:tcPr>
            <w:tcW w:w="720" w:type="dxa"/>
            <w:vAlign w:val="bottom"/>
            <w:shd w:val="clear" w:color="auto" w:fill="EDEDED"/>
          </w:tcPr>
          <w:p>
            <w:pPr>
              <w:spacing w:after="0"/>
              <w:rPr>
                <w:sz w:val="15"/>
                <w:szCs w:val="15"/>
                <w:color w:val="auto"/>
              </w:rPr>
            </w:pPr>
          </w:p>
        </w:tc>
        <w:tc>
          <w:tcPr>
            <w:tcW w:w="680" w:type="dxa"/>
            <w:vAlign w:val="bottom"/>
            <w:gridSpan w:val="2"/>
            <w:shd w:val="clear" w:color="auto" w:fill="EDEDED"/>
          </w:tcPr>
          <w:p>
            <w:pPr>
              <w:jc w:val="center"/>
              <w:ind w:right="316"/>
              <w:spacing w:after="0" w:line="182"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5"/>
        </w:trPr>
        <w:tc>
          <w:tcPr>
            <w:tcW w:w="6660" w:type="dxa"/>
            <w:vAlign w:val="bottom"/>
          </w:tcPr>
          <w:p>
            <w:pPr>
              <w:ind w:left="820"/>
              <w:spacing w:after="0"/>
              <w:rPr>
                <w:sz w:val="20"/>
                <w:szCs w:val="20"/>
                <w:color w:val="auto"/>
              </w:rPr>
            </w:pPr>
            <w:r>
              <w:rPr>
                <w:rFonts w:ascii="Arial" w:cs="Arial" w:eastAsia="Arial" w:hAnsi="Arial"/>
                <w:sz w:val="16"/>
                <w:szCs w:val="16"/>
                <w:color w:val="auto"/>
              </w:rPr>
              <w:t>permitting officer exculpation</w:t>
            </w:r>
          </w:p>
        </w:tc>
        <w:tc>
          <w:tcPr>
            <w:tcW w:w="2560" w:type="dxa"/>
            <w:vAlign w:val="bottom"/>
          </w:tcPr>
          <w:p>
            <w:pPr>
              <w:spacing w:after="0"/>
              <w:rPr>
                <w:sz w:val="17"/>
                <w:szCs w:val="17"/>
                <w:color w:val="auto"/>
              </w:rPr>
            </w:pPr>
          </w:p>
        </w:tc>
        <w:tc>
          <w:tcPr>
            <w:tcW w:w="720" w:type="dxa"/>
            <w:vAlign w:val="bottom"/>
            <w:shd w:val="clear" w:color="auto" w:fill="EDEDED"/>
          </w:tcPr>
          <w:p>
            <w:pPr>
              <w:spacing w:after="0"/>
              <w:rPr>
                <w:sz w:val="17"/>
                <w:szCs w:val="17"/>
                <w:color w:val="auto"/>
              </w:rPr>
            </w:pPr>
          </w:p>
        </w:tc>
        <w:tc>
          <w:tcPr>
            <w:tcW w:w="140" w:type="dxa"/>
            <w:vAlign w:val="bottom"/>
            <w:tcBorders>
              <w:right w:val="single" w:sz="8" w:color="EDEDED"/>
            </w:tcBorders>
            <w:shd w:val="clear" w:color="auto" w:fill="EDEDED"/>
          </w:tcPr>
          <w:p>
            <w:pPr>
              <w:spacing w:after="0"/>
              <w:rPr>
                <w:sz w:val="17"/>
                <w:szCs w:val="17"/>
                <w:color w:val="auto"/>
              </w:rPr>
            </w:pPr>
          </w:p>
        </w:tc>
        <w:tc>
          <w:tcPr>
            <w:tcW w:w="54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660" w:type="dxa"/>
            <w:vAlign w:val="bottom"/>
            <w:tcBorders>
              <w:bottom w:val="single" w:sz="8" w:color="7F7F7F"/>
            </w:tcBorders>
          </w:tcPr>
          <w:p>
            <w:pPr>
              <w:spacing w:after="0"/>
              <w:rPr>
                <w:sz w:val="17"/>
                <w:szCs w:val="17"/>
                <w:color w:val="auto"/>
              </w:rPr>
            </w:pPr>
          </w:p>
        </w:tc>
        <w:tc>
          <w:tcPr>
            <w:tcW w:w="2560" w:type="dxa"/>
            <w:vAlign w:val="bottom"/>
            <w:tcBorders>
              <w:bottom w:val="single" w:sz="8" w:color="7F7F7F"/>
            </w:tcBorders>
          </w:tcPr>
          <w:p>
            <w:pPr>
              <w:spacing w:after="0"/>
              <w:rPr>
                <w:sz w:val="17"/>
                <w:szCs w:val="17"/>
                <w:color w:val="auto"/>
              </w:rPr>
            </w:pPr>
          </w:p>
        </w:tc>
        <w:tc>
          <w:tcPr>
            <w:tcW w:w="720" w:type="dxa"/>
            <w:vAlign w:val="bottom"/>
            <w:tcBorders>
              <w:bottom w:val="single" w:sz="8" w:color="7F7F7F"/>
            </w:tcBorders>
            <w:shd w:val="clear" w:color="auto" w:fill="EDEDED"/>
          </w:tcPr>
          <w:p>
            <w:pPr>
              <w:spacing w:after="0"/>
              <w:rPr>
                <w:sz w:val="17"/>
                <w:szCs w:val="17"/>
                <w:color w:val="auto"/>
              </w:rPr>
            </w:pPr>
          </w:p>
        </w:tc>
        <w:tc>
          <w:tcPr>
            <w:tcW w:w="140" w:type="dxa"/>
            <w:vAlign w:val="bottom"/>
            <w:tcBorders>
              <w:bottom w:val="single" w:sz="8" w:color="7F7F7F"/>
              <w:right w:val="single" w:sz="8" w:color="EDEDED"/>
            </w:tcBorders>
            <w:shd w:val="clear" w:color="auto" w:fill="EDEDED"/>
          </w:tcPr>
          <w:p>
            <w:pPr>
              <w:spacing w:after="0"/>
              <w:rPr>
                <w:sz w:val="17"/>
                <w:szCs w:val="17"/>
                <w:color w:val="auto"/>
              </w:rPr>
            </w:pPr>
          </w:p>
        </w:tc>
        <w:tc>
          <w:tcPr>
            <w:tcW w:w="540" w:type="dxa"/>
            <w:vAlign w:val="bottom"/>
            <w:tcBorders>
              <w:bottom w:val="single" w:sz="8" w:color="7F7F7F"/>
            </w:tcBorders>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660" w:type="dxa"/>
            <w:vAlign w:val="bottom"/>
          </w:tcPr>
          <w:p>
            <w:pPr>
              <w:ind w:left="820"/>
              <w:spacing w:after="0"/>
              <w:rPr>
                <w:sz w:val="20"/>
                <w:szCs w:val="20"/>
                <w:color w:val="auto"/>
              </w:rPr>
            </w:pPr>
            <w:r>
              <w:rPr>
                <w:rFonts w:ascii="Arial" w:cs="Arial" w:eastAsia="Arial" w:hAnsi="Arial"/>
                <w:sz w:val="16"/>
                <w:szCs w:val="16"/>
                <w:b w:val="1"/>
                <w:bCs w:val="1"/>
                <w:color w:val="auto"/>
              </w:rPr>
              <w:t xml:space="preserve">Proposal 4: </w:t>
            </w:r>
            <w:r>
              <w:rPr>
                <w:rFonts w:ascii="Arial" w:cs="Arial" w:eastAsia="Arial" w:hAnsi="Arial"/>
                <w:sz w:val="16"/>
                <w:szCs w:val="16"/>
                <w:color w:val="auto"/>
              </w:rPr>
              <w:t>Ratification of the appointment of PricewaterhouseCoopers LLP as</w:t>
            </w:r>
          </w:p>
        </w:tc>
        <w:tc>
          <w:tcPr>
            <w:tcW w:w="2560" w:type="dxa"/>
            <w:vAlign w:val="bottom"/>
            <w:vMerge w:val="restart"/>
          </w:tcPr>
          <w:p>
            <w:pPr>
              <w:jc w:val="center"/>
              <w:ind w:left="157"/>
              <w:spacing w:after="0"/>
              <w:rPr>
                <w:sz w:val="20"/>
                <w:szCs w:val="20"/>
                <w:color w:val="auto"/>
              </w:rPr>
            </w:pPr>
            <w:r>
              <w:rPr>
                <w:rFonts w:ascii="Arial" w:cs="Arial" w:eastAsia="Arial" w:hAnsi="Arial"/>
                <w:sz w:val="16"/>
                <w:szCs w:val="16"/>
                <w:b w:val="1"/>
                <w:bCs w:val="1"/>
                <w:color w:val="0A9E50"/>
                <w:w w:val="94"/>
              </w:rPr>
              <w:t>FOR</w:t>
            </w:r>
          </w:p>
        </w:tc>
        <w:tc>
          <w:tcPr>
            <w:tcW w:w="720" w:type="dxa"/>
            <w:vAlign w:val="bottom"/>
            <w:shd w:val="clear" w:color="auto" w:fill="EDEDED"/>
          </w:tcPr>
          <w:p>
            <w:pPr>
              <w:spacing w:after="0"/>
              <w:rPr>
                <w:sz w:val="24"/>
                <w:szCs w:val="24"/>
                <w:color w:val="auto"/>
              </w:rPr>
            </w:pPr>
          </w:p>
        </w:tc>
        <w:tc>
          <w:tcPr>
            <w:tcW w:w="140" w:type="dxa"/>
            <w:vAlign w:val="bottom"/>
            <w:tcBorders>
              <w:right w:val="single" w:sz="8" w:color="EDEDED"/>
            </w:tcBorders>
            <w:shd w:val="clear" w:color="auto" w:fill="EDEDED"/>
          </w:tcPr>
          <w:p>
            <w:pPr>
              <w:spacing w:after="0"/>
              <w:rPr>
                <w:sz w:val="24"/>
                <w:szCs w:val="24"/>
                <w:color w:val="auto"/>
              </w:rPr>
            </w:pPr>
          </w:p>
        </w:tc>
        <w:tc>
          <w:tcPr>
            <w:tcW w:w="54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660" w:type="dxa"/>
            <w:vAlign w:val="bottom"/>
          </w:tcPr>
          <w:p>
            <w:pPr>
              <w:ind w:left="820"/>
              <w:spacing w:after="0" w:line="182" w:lineRule="exact"/>
              <w:rPr>
                <w:sz w:val="20"/>
                <w:szCs w:val="20"/>
                <w:color w:val="auto"/>
              </w:rPr>
            </w:pPr>
            <w:r>
              <w:rPr>
                <w:rFonts w:ascii="Arial" w:cs="Arial" w:eastAsia="Arial" w:hAnsi="Arial"/>
                <w:sz w:val="16"/>
                <w:szCs w:val="16"/>
                <w:color w:val="auto"/>
              </w:rPr>
              <w:t>the Company’s independent registered public accounting firm for the 2024 fiscal</w:t>
            </w:r>
          </w:p>
        </w:tc>
        <w:tc>
          <w:tcPr>
            <w:tcW w:w="2560" w:type="dxa"/>
            <w:vAlign w:val="bottom"/>
            <w:vMerge w:val="continue"/>
          </w:tcPr>
          <w:p>
            <w:pPr>
              <w:spacing w:after="0"/>
              <w:rPr>
                <w:sz w:val="15"/>
                <w:szCs w:val="15"/>
                <w:color w:val="auto"/>
              </w:rPr>
            </w:pPr>
          </w:p>
        </w:tc>
        <w:tc>
          <w:tcPr>
            <w:tcW w:w="720" w:type="dxa"/>
            <w:vAlign w:val="bottom"/>
            <w:shd w:val="clear" w:color="auto" w:fill="EDEDED"/>
          </w:tcPr>
          <w:p>
            <w:pPr>
              <w:spacing w:after="0"/>
              <w:rPr>
                <w:sz w:val="15"/>
                <w:szCs w:val="15"/>
                <w:color w:val="auto"/>
              </w:rPr>
            </w:pPr>
          </w:p>
        </w:tc>
        <w:tc>
          <w:tcPr>
            <w:tcW w:w="680" w:type="dxa"/>
            <w:vAlign w:val="bottom"/>
            <w:gridSpan w:val="2"/>
            <w:shd w:val="clear" w:color="auto" w:fill="EDEDED"/>
          </w:tcPr>
          <w:p>
            <w:pPr>
              <w:jc w:val="center"/>
              <w:ind w:right="316"/>
              <w:spacing w:after="0" w:line="182"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5"/>
        </w:trPr>
        <w:tc>
          <w:tcPr>
            <w:tcW w:w="6660" w:type="dxa"/>
            <w:vAlign w:val="bottom"/>
          </w:tcPr>
          <w:p>
            <w:pPr>
              <w:ind w:left="820"/>
              <w:spacing w:after="0"/>
              <w:rPr>
                <w:sz w:val="20"/>
                <w:szCs w:val="20"/>
                <w:color w:val="auto"/>
              </w:rPr>
            </w:pPr>
            <w:r>
              <w:rPr>
                <w:rFonts w:ascii="Arial" w:cs="Arial" w:eastAsia="Arial" w:hAnsi="Arial"/>
                <w:sz w:val="16"/>
                <w:szCs w:val="16"/>
                <w:color w:val="auto"/>
              </w:rPr>
              <w:t>year</w:t>
            </w:r>
          </w:p>
        </w:tc>
        <w:tc>
          <w:tcPr>
            <w:tcW w:w="2560" w:type="dxa"/>
            <w:vAlign w:val="bottom"/>
          </w:tcPr>
          <w:p>
            <w:pPr>
              <w:spacing w:after="0"/>
              <w:rPr>
                <w:sz w:val="17"/>
                <w:szCs w:val="17"/>
                <w:color w:val="auto"/>
              </w:rPr>
            </w:pPr>
          </w:p>
        </w:tc>
        <w:tc>
          <w:tcPr>
            <w:tcW w:w="720" w:type="dxa"/>
            <w:vAlign w:val="bottom"/>
            <w:shd w:val="clear" w:color="auto" w:fill="EDEDED"/>
          </w:tcPr>
          <w:p>
            <w:pPr>
              <w:spacing w:after="0"/>
              <w:rPr>
                <w:sz w:val="17"/>
                <w:szCs w:val="17"/>
                <w:color w:val="auto"/>
              </w:rPr>
            </w:pPr>
          </w:p>
        </w:tc>
        <w:tc>
          <w:tcPr>
            <w:tcW w:w="140" w:type="dxa"/>
            <w:vAlign w:val="bottom"/>
            <w:tcBorders>
              <w:right w:val="single" w:sz="8" w:color="EDEDED"/>
            </w:tcBorders>
            <w:shd w:val="clear" w:color="auto" w:fill="EDEDED"/>
          </w:tcPr>
          <w:p>
            <w:pPr>
              <w:spacing w:after="0"/>
              <w:rPr>
                <w:sz w:val="17"/>
                <w:szCs w:val="17"/>
                <w:color w:val="auto"/>
              </w:rPr>
            </w:pPr>
          </w:p>
        </w:tc>
        <w:tc>
          <w:tcPr>
            <w:tcW w:w="54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6660" w:type="dxa"/>
            <w:vAlign w:val="bottom"/>
            <w:tcBorders>
              <w:bottom w:val="single" w:sz="8" w:color="7F7F7F"/>
            </w:tcBorders>
          </w:tcPr>
          <w:p>
            <w:pPr>
              <w:spacing w:after="0"/>
              <w:rPr>
                <w:sz w:val="12"/>
                <w:szCs w:val="12"/>
                <w:color w:val="auto"/>
              </w:rPr>
            </w:pPr>
          </w:p>
        </w:tc>
        <w:tc>
          <w:tcPr>
            <w:tcW w:w="256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shd w:val="clear" w:color="auto" w:fill="EDEDED"/>
          </w:tcPr>
          <w:p>
            <w:pPr>
              <w:spacing w:after="0"/>
              <w:rPr>
                <w:sz w:val="12"/>
                <w:szCs w:val="12"/>
                <w:color w:val="auto"/>
              </w:rPr>
            </w:pPr>
          </w:p>
        </w:tc>
        <w:tc>
          <w:tcPr>
            <w:tcW w:w="140" w:type="dxa"/>
            <w:vAlign w:val="bottom"/>
            <w:tcBorders>
              <w:bottom w:val="single" w:sz="8" w:color="7F7F7F"/>
              <w:right w:val="single" w:sz="8" w:color="EDEDED"/>
            </w:tcBorders>
            <w:shd w:val="clear" w:color="auto" w:fill="EDEDED"/>
          </w:tcPr>
          <w:p>
            <w:pPr>
              <w:spacing w:after="0"/>
              <w:rPr>
                <w:sz w:val="12"/>
                <w:szCs w:val="12"/>
                <w:color w:val="auto"/>
              </w:rPr>
            </w:pPr>
          </w:p>
        </w:tc>
        <w:tc>
          <w:tcPr>
            <w:tcW w:w="540" w:type="dxa"/>
            <w:vAlign w:val="bottom"/>
            <w:tcBorders>
              <w:bottom w:val="single" w:sz="8" w:color="7F7F7F"/>
            </w:tcBorders>
            <w:shd w:val="clear" w:color="auto" w:fill="EDEDED"/>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660" w:type="dxa"/>
            <w:vAlign w:val="bottom"/>
          </w:tcPr>
          <w:p>
            <w:pPr>
              <w:spacing w:after="0"/>
              <w:rPr>
                <w:sz w:val="11"/>
                <w:szCs w:val="11"/>
                <w:color w:val="auto"/>
              </w:rPr>
            </w:pPr>
          </w:p>
        </w:tc>
        <w:tc>
          <w:tcPr>
            <w:tcW w:w="2560" w:type="dxa"/>
            <w:vAlign w:val="bottom"/>
            <w:vMerge w:val="restart"/>
          </w:tcPr>
          <w:p>
            <w:pPr>
              <w:ind w:left="2240"/>
              <w:spacing w:after="0"/>
              <w:rPr>
                <w:sz w:val="20"/>
                <w:szCs w:val="20"/>
                <w:color w:val="auto"/>
              </w:rPr>
            </w:pPr>
            <w:r>
              <w:rPr>
                <w:rFonts w:ascii="Arial" w:cs="Arial" w:eastAsia="Arial" w:hAnsi="Arial"/>
                <w:sz w:val="21"/>
                <w:szCs w:val="21"/>
                <w:color w:val="auto"/>
              </w:rPr>
              <w:t> </w:t>
            </w:r>
          </w:p>
        </w:tc>
        <w:tc>
          <w:tcPr>
            <w:tcW w:w="720" w:type="dxa"/>
            <w:vAlign w:val="bottom"/>
            <w:vMerge w:val="restart"/>
          </w:tcPr>
          <w:p>
            <w:pPr>
              <w:ind w:left="560"/>
              <w:spacing w:after="0"/>
              <w:rPr>
                <w:sz w:val="20"/>
                <w:szCs w:val="20"/>
                <w:color w:val="auto"/>
              </w:rPr>
            </w:pPr>
            <w:r>
              <w:rPr>
                <w:rFonts w:ascii="Arial" w:cs="Arial" w:eastAsia="Arial" w:hAnsi="Arial"/>
                <w:sz w:val="15"/>
                <w:szCs w:val="15"/>
                <w:color w:val="auto"/>
                <w:w w:val="72"/>
              </w:rPr>
              <w:t xml:space="preserve">  </w:t>
            </w: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21"/>
                <w:szCs w:val="21"/>
                <w:color w:val="auto"/>
                <w:w w:val="87"/>
              </w:rPr>
              <w:t>    5</w:t>
            </w:r>
          </w:p>
        </w:tc>
        <w:tc>
          <w:tcPr>
            <w:tcW w:w="0" w:type="dxa"/>
            <w:vAlign w:val="bottom"/>
          </w:tcPr>
          <w:p>
            <w:pPr>
              <w:spacing w:after="0"/>
              <w:rPr>
                <w:sz w:val="1"/>
                <w:szCs w:val="1"/>
                <w:color w:val="auto"/>
              </w:rPr>
            </w:pPr>
          </w:p>
        </w:tc>
      </w:tr>
      <w:tr>
        <w:trPr>
          <w:trHeight w:val="248"/>
        </w:trPr>
        <w:tc>
          <w:tcPr>
            <w:tcW w:w="6660" w:type="dxa"/>
            <w:vAlign w:val="bottom"/>
          </w:tcPr>
          <w:p>
            <w:pPr>
              <w:spacing w:after="0"/>
              <w:rPr>
                <w:sz w:val="21"/>
                <w:szCs w:val="21"/>
                <w:color w:val="auto"/>
              </w:rPr>
            </w:pPr>
          </w:p>
        </w:tc>
        <w:tc>
          <w:tcPr>
            <w:tcW w:w="256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6660" w:type="dxa"/>
            <w:vAlign w:val="bottom"/>
          </w:tcPr>
          <w:p>
            <w:pPr>
              <w:spacing w:after="0"/>
              <w:rPr>
                <w:sz w:val="8"/>
                <w:szCs w:val="8"/>
                <w:color w:val="auto"/>
              </w:rPr>
            </w:pPr>
          </w:p>
        </w:tc>
        <w:tc>
          <w:tcPr>
            <w:tcW w:w="25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-2337435</wp:posOffset>
            </wp:positionV>
            <wp:extent cx="239395" cy="231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9395" cy="23114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-1849755</wp:posOffset>
            </wp:positionV>
            <wp:extent cx="239395" cy="2311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9395" cy="23114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-1312545</wp:posOffset>
            </wp:positionV>
            <wp:extent cx="239395" cy="2311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9395" cy="23114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-709930</wp:posOffset>
            </wp:positionV>
            <wp:extent cx="239395" cy="2311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9395" cy="231140"/>
                    </a:xfrm>
                    <a:prstGeom prst="rect">
                      <a:avLst/>
                    </a:prstGeom>
                    <a:noFill/>
                  </pic:spPr>
                </pic:pic>
              </a:graphicData>
            </a:graphic>
          </wp:anchor>
        </w:drawing>
        <w:drawing>
          <wp:anchor simplePos="0" relativeHeight="251657728" behindDoc="1" locked="0" layoutInCell="0" allowOverlap="1">
            <wp:simplePos x="0" y="0"/>
            <wp:positionH relativeFrom="column">
              <wp:posOffset>6024880</wp:posOffset>
            </wp:positionH>
            <wp:positionV relativeFrom="paragraph">
              <wp:posOffset>-222250</wp:posOffset>
            </wp:positionV>
            <wp:extent cx="396240" cy="189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6240" cy="18986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Proxy Summary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Director Nominees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provides summary information about each director nominee. Each director is elected annually by a plurality vote.</w:t>
      </w:r>
    </w:p>
    <w:p>
      <w:pPr>
        <w:spacing w:after="0" w:line="342"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4060" w:type="dxa"/>
            <w:vAlign w:val="bottom"/>
            <w:vMerge w:val="restart"/>
          </w:tcPr>
          <w:p>
            <w:pPr>
              <w:ind w:left="60"/>
              <w:spacing w:after="0"/>
              <w:rPr>
                <w:sz w:val="20"/>
                <w:szCs w:val="20"/>
                <w:color w:val="auto"/>
              </w:rPr>
            </w:pPr>
            <w:r>
              <w:rPr>
                <w:rFonts w:ascii="Arial" w:cs="Arial" w:eastAsia="Arial" w:hAnsi="Arial"/>
                <w:sz w:val="17"/>
                <w:szCs w:val="17"/>
                <w:b w:val="1"/>
                <w:bCs w:val="1"/>
                <w:color w:val="0A9E50"/>
              </w:rPr>
              <w:t>Name</w:t>
            </w:r>
          </w:p>
        </w:tc>
        <w:tc>
          <w:tcPr>
            <w:tcW w:w="760" w:type="dxa"/>
            <w:vAlign w:val="bottom"/>
            <w:vMerge w:val="restart"/>
          </w:tcPr>
          <w:p>
            <w:pPr>
              <w:jc w:val="center"/>
              <w:ind w:left="81"/>
              <w:spacing w:after="0"/>
              <w:rPr>
                <w:sz w:val="20"/>
                <w:szCs w:val="20"/>
                <w:color w:val="auto"/>
              </w:rPr>
            </w:pPr>
            <w:r>
              <w:rPr>
                <w:rFonts w:ascii="Arial" w:cs="Arial" w:eastAsia="Arial" w:hAnsi="Arial"/>
                <w:sz w:val="17"/>
                <w:szCs w:val="17"/>
                <w:b w:val="1"/>
                <w:bCs w:val="1"/>
                <w:color w:val="0A9E50"/>
                <w:w w:val="99"/>
              </w:rPr>
              <w:t>Age</w:t>
            </w:r>
          </w:p>
        </w:tc>
        <w:tc>
          <w:tcPr>
            <w:tcW w:w="960" w:type="dxa"/>
            <w:vAlign w:val="bottom"/>
          </w:tcPr>
          <w:p>
            <w:pPr>
              <w:jc w:val="center"/>
              <w:spacing w:after="0"/>
              <w:rPr>
                <w:sz w:val="20"/>
                <w:szCs w:val="20"/>
                <w:color w:val="auto"/>
              </w:rPr>
            </w:pPr>
            <w:r>
              <w:rPr>
                <w:rFonts w:ascii="Arial" w:cs="Arial" w:eastAsia="Arial" w:hAnsi="Arial"/>
                <w:sz w:val="17"/>
                <w:szCs w:val="17"/>
                <w:b w:val="1"/>
                <w:bCs w:val="1"/>
                <w:color w:val="0A9E50"/>
              </w:rPr>
              <w:t>Director</w:t>
            </w:r>
          </w:p>
        </w:tc>
        <w:tc>
          <w:tcPr>
            <w:tcW w:w="1500" w:type="dxa"/>
            <w:vAlign w:val="bottom"/>
            <w:vMerge w:val="restart"/>
          </w:tcPr>
          <w:p>
            <w:pPr>
              <w:jc w:val="center"/>
              <w:ind w:right="101"/>
              <w:spacing w:after="0"/>
              <w:rPr>
                <w:sz w:val="20"/>
                <w:szCs w:val="20"/>
                <w:color w:val="auto"/>
              </w:rPr>
            </w:pPr>
            <w:r>
              <w:rPr>
                <w:rFonts w:ascii="Arial" w:cs="Arial" w:eastAsia="Arial" w:hAnsi="Arial"/>
                <w:sz w:val="17"/>
                <w:szCs w:val="17"/>
                <w:b w:val="1"/>
                <w:bCs w:val="1"/>
                <w:color w:val="0A9E50"/>
              </w:rPr>
              <w:t>Independent</w:t>
            </w:r>
          </w:p>
        </w:tc>
        <w:tc>
          <w:tcPr>
            <w:tcW w:w="3340" w:type="dxa"/>
            <w:vAlign w:val="bottom"/>
            <w:vMerge w:val="restart"/>
          </w:tcPr>
          <w:p>
            <w:pPr>
              <w:jc w:val="center"/>
              <w:spacing w:after="0"/>
              <w:rPr>
                <w:sz w:val="20"/>
                <w:szCs w:val="20"/>
                <w:color w:val="auto"/>
              </w:rPr>
            </w:pPr>
            <w:r>
              <w:rPr>
                <w:rFonts w:ascii="Arial" w:cs="Arial" w:eastAsia="Arial" w:hAnsi="Arial"/>
                <w:sz w:val="17"/>
                <w:szCs w:val="17"/>
                <w:b w:val="1"/>
                <w:bCs w:val="1"/>
                <w:color w:val="0A9E50"/>
              </w:rPr>
              <w:t>Committees</w:t>
            </w:r>
          </w:p>
        </w:tc>
        <w:tc>
          <w:tcPr>
            <w:tcW w:w="0" w:type="dxa"/>
            <w:vAlign w:val="bottom"/>
          </w:tcPr>
          <w:p>
            <w:pPr>
              <w:spacing w:after="0"/>
              <w:rPr>
                <w:sz w:val="1"/>
                <w:szCs w:val="1"/>
                <w:color w:val="auto"/>
              </w:rPr>
            </w:pPr>
          </w:p>
        </w:tc>
      </w:tr>
      <w:tr>
        <w:trPr>
          <w:trHeight w:val="135"/>
        </w:trPr>
        <w:tc>
          <w:tcPr>
            <w:tcW w:w="40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7"/>
                <w:szCs w:val="17"/>
                <w:b w:val="1"/>
                <w:bCs w:val="1"/>
                <w:color w:val="0A9E50"/>
              </w:rPr>
              <w:t>Since</w:t>
            </w:r>
          </w:p>
        </w:tc>
        <w:tc>
          <w:tcPr>
            <w:tcW w:w="1500" w:type="dxa"/>
            <w:vAlign w:val="bottom"/>
            <w:vMerge w:val="continue"/>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4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40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2"/>
        </w:trPr>
        <w:tc>
          <w:tcPr>
            <w:tcW w:w="4060" w:type="dxa"/>
            <w:vAlign w:val="bottom"/>
          </w:tcPr>
          <w:p>
            <w:pPr>
              <w:ind w:left="1140"/>
              <w:spacing w:after="0"/>
              <w:rPr>
                <w:sz w:val="20"/>
                <w:szCs w:val="20"/>
                <w:color w:val="auto"/>
              </w:rPr>
            </w:pPr>
            <w:r>
              <w:rPr>
                <w:rFonts w:ascii="Arial" w:cs="Arial" w:eastAsia="Arial" w:hAnsi="Arial"/>
                <w:sz w:val="16"/>
                <w:szCs w:val="16"/>
                <w:b w:val="1"/>
                <w:bCs w:val="1"/>
                <w:color w:val="auto"/>
              </w:rPr>
              <w:t>Terrence B. Larkin</w:t>
            </w:r>
          </w:p>
        </w:tc>
        <w:tc>
          <w:tcPr>
            <w:tcW w:w="760" w:type="dxa"/>
            <w:vAlign w:val="bottom"/>
            <w:vMerge w:val="restart"/>
          </w:tcPr>
          <w:p>
            <w:pPr>
              <w:jc w:val="center"/>
              <w:ind w:left="101"/>
              <w:spacing w:after="0"/>
              <w:rPr>
                <w:sz w:val="20"/>
                <w:szCs w:val="20"/>
                <w:color w:val="auto"/>
              </w:rPr>
            </w:pPr>
            <w:r>
              <w:rPr>
                <w:rFonts w:ascii="Arial" w:cs="Arial" w:eastAsia="Arial" w:hAnsi="Arial"/>
                <w:sz w:val="16"/>
                <w:szCs w:val="16"/>
                <w:color w:val="auto"/>
              </w:rPr>
              <w:t>69</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2010</w:t>
            </w:r>
          </w:p>
        </w:tc>
        <w:tc>
          <w:tcPr>
            <w:tcW w:w="15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color w:val="0A9E50"/>
                <w:w w:val="82"/>
              </w:rPr>
              <w:t>●</w:t>
            </w:r>
          </w:p>
        </w:tc>
        <w:tc>
          <w:tcPr>
            <w:tcW w:w="3340" w:type="dxa"/>
            <w:vAlign w:val="bottom"/>
            <w:vMerge w:val="restart"/>
          </w:tcPr>
          <w:p>
            <w:pPr>
              <w:jc w:val="center"/>
              <w:ind w:right="1"/>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27"/>
        </w:trPr>
        <w:tc>
          <w:tcPr>
            <w:tcW w:w="4060" w:type="dxa"/>
            <w:vAlign w:val="bottom"/>
            <w:vMerge w:val="restart"/>
          </w:tcPr>
          <w:p>
            <w:pPr>
              <w:ind w:left="1140"/>
              <w:spacing w:after="0"/>
              <w:rPr>
                <w:sz w:val="20"/>
                <w:szCs w:val="20"/>
                <w:color w:val="auto"/>
              </w:rPr>
            </w:pPr>
            <w:r>
              <w:rPr>
                <w:rFonts w:ascii="Arial" w:cs="Arial" w:eastAsia="Arial" w:hAnsi="Arial"/>
                <w:sz w:val="16"/>
                <w:szCs w:val="16"/>
                <w:color w:val="auto"/>
              </w:rPr>
              <w:t>Non-Executive Chairman of the Board</w:t>
            </w:r>
          </w:p>
        </w:tc>
        <w:tc>
          <w:tcPr>
            <w:tcW w:w="7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40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7"/>
        </w:trPr>
        <w:tc>
          <w:tcPr>
            <w:tcW w:w="4060" w:type="dxa"/>
            <w:vAlign w:val="bottom"/>
            <w:tcBorders>
              <w:bottom w:val="single" w:sz="8" w:color="7F7F7F"/>
            </w:tcBorders>
          </w:tcPr>
          <w:p>
            <w:pPr>
              <w:spacing w:after="0"/>
              <w:rPr>
                <w:sz w:val="24"/>
                <w:szCs w:val="24"/>
                <w:color w:val="auto"/>
              </w:rPr>
            </w:pPr>
          </w:p>
        </w:tc>
        <w:tc>
          <w:tcPr>
            <w:tcW w:w="760" w:type="dxa"/>
            <w:vAlign w:val="bottom"/>
            <w:tcBorders>
              <w:bottom w:val="single" w:sz="8" w:color="7F7F7F"/>
            </w:tcBorders>
          </w:tcPr>
          <w:p>
            <w:pPr>
              <w:spacing w:after="0"/>
              <w:rPr>
                <w:sz w:val="24"/>
                <w:szCs w:val="24"/>
                <w:color w:val="auto"/>
              </w:rPr>
            </w:pPr>
          </w:p>
        </w:tc>
        <w:tc>
          <w:tcPr>
            <w:tcW w:w="960" w:type="dxa"/>
            <w:vAlign w:val="bottom"/>
            <w:tcBorders>
              <w:bottom w:val="single" w:sz="8" w:color="7F7F7F"/>
            </w:tcBorders>
          </w:tcPr>
          <w:p>
            <w:pPr>
              <w:spacing w:after="0"/>
              <w:rPr>
                <w:sz w:val="24"/>
                <w:szCs w:val="24"/>
                <w:color w:val="auto"/>
              </w:rPr>
            </w:pPr>
          </w:p>
        </w:tc>
        <w:tc>
          <w:tcPr>
            <w:tcW w:w="1500" w:type="dxa"/>
            <w:vAlign w:val="bottom"/>
            <w:tcBorders>
              <w:bottom w:val="single" w:sz="8" w:color="7F7F7F"/>
            </w:tcBorders>
          </w:tcPr>
          <w:p>
            <w:pPr>
              <w:spacing w:after="0"/>
              <w:rPr>
                <w:sz w:val="24"/>
                <w:szCs w:val="24"/>
                <w:color w:val="auto"/>
              </w:rPr>
            </w:pPr>
          </w:p>
        </w:tc>
        <w:tc>
          <w:tcPr>
            <w:tcW w:w="334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060" w:type="dxa"/>
            <w:vAlign w:val="bottom"/>
          </w:tcPr>
          <w:p>
            <w:pPr>
              <w:ind w:left="1140"/>
              <w:spacing w:after="0"/>
              <w:rPr>
                <w:sz w:val="20"/>
                <w:szCs w:val="20"/>
                <w:color w:val="auto"/>
              </w:rPr>
            </w:pPr>
            <w:r>
              <w:rPr>
                <w:rFonts w:ascii="Arial" w:cs="Arial" w:eastAsia="Arial" w:hAnsi="Arial"/>
                <w:sz w:val="16"/>
                <w:szCs w:val="16"/>
                <w:b w:val="1"/>
                <w:bCs w:val="1"/>
                <w:color w:val="auto"/>
              </w:rPr>
              <w:t>Peter W. Quigley</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1140"/>
              <w:spacing w:after="0" w:line="182" w:lineRule="exact"/>
              <w:rPr>
                <w:sz w:val="20"/>
                <w:szCs w:val="20"/>
                <w:color w:val="auto"/>
              </w:rPr>
            </w:pPr>
            <w:r>
              <w:rPr>
                <w:rFonts w:ascii="Arial" w:cs="Arial" w:eastAsia="Arial" w:hAnsi="Arial"/>
                <w:sz w:val="16"/>
                <w:szCs w:val="16"/>
                <w:color w:val="auto"/>
              </w:rPr>
              <w:t>President and Chief Executive Officer</w:t>
            </w:r>
          </w:p>
        </w:tc>
        <w:tc>
          <w:tcPr>
            <w:tcW w:w="760" w:type="dxa"/>
            <w:vAlign w:val="bottom"/>
          </w:tcPr>
          <w:p>
            <w:pPr>
              <w:jc w:val="center"/>
              <w:ind w:left="101"/>
              <w:spacing w:after="0" w:line="182" w:lineRule="exact"/>
              <w:rPr>
                <w:sz w:val="20"/>
                <w:szCs w:val="20"/>
                <w:color w:val="auto"/>
              </w:rPr>
            </w:pPr>
            <w:r>
              <w:rPr>
                <w:rFonts w:ascii="Arial" w:cs="Arial" w:eastAsia="Arial" w:hAnsi="Arial"/>
                <w:sz w:val="16"/>
                <w:szCs w:val="16"/>
                <w:color w:val="auto"/>
              </w:rPr>
              <w:t>62</w:t>
            </w:r>
          </w:p>
        </w:tc>
        <w:tc>
          <w:tcPr>
            <w:tcW w:w="960" w:type="dxa"/>
            <w:vAlign w:val="bottom"/>
          </w:tcPr>
          <w:p>
            <w:pPr>
              <w:jc w:val="center"/>
              <w:spacing w:after="0" w:line="182" w:lineRule="exact"/>
              <w:rPr>
                <w:sz w:val="20"/>
                <w:szCs w:val="20"/>
                <w:color w:val="auto"/>
              </w:rPr>
            </w:pPr>
            <w:r>
              <w:rPr>
                <w:rFonts w:ascii="Arial" w:cs="Arial" w:eastAsia="Arial" w:hAnsi="Arial"/>
                <w:sz w:val="16"/>
                <w:szCs w:val="16"/>
                <w:color w:val="auto"/>
              </w:rPr>
              <w:t>2019</w:t>
            </w:r>
          </w:p>
        </w:tc>
        <w:tc>
          <w:tcPr>
            <w:tcW w:w="1500" w:type="dxa"/>
            <w:vAlign w:val="bottom"/>
          </w:tcPr>
          <w:p>
            <w:pPr>
              <w:spacing w:after="0"/>
              <w:rPr>
                <w:sz w:val="15"/>
                <w:szCs w:val="15"/>
                <w:color w:val="auto"/>
              </w:rPr>
            </w:pPr>
          </w:p>
        </w:tc>
        <w:tc>
          <w:tcPr>
            <w:tcW w:w="3340" w:type="dxa"/>
            <w:vAlign w:val="bottom"/>
          </w:tcPr>
          <w:p>
            <w:pPr>
              <w:jc w:val="center"/>
              <w:ind w:right="1"/>
              <w:spacing w:after="0" w:line="182" w:lineRule="exact"/>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5"/>
        </w:trPr>
        <w:tc>
          <w:tcPr>
            <w:tcW w:w="4060" w:type="dxa"/>
            <w:vAlign w:val="bottom"/>
          </w:tcPr>
          <w:p>
            <w:pPr>
              <w:ind w:left="1140"/>
              <w:spacing w:after="0"/>
              <w:rPr>
                <w:sz w:val="20"/>
                <w:szCs w:val="20"/>
                <w:color w:val="auto"/>
              </w:rPr>
            </w:pPr>
            <w:r>
              <w:rPr>
                <w:rFonts w:ascii="Arial" w:cs="Arial" w:eastAsia="Arial" w:hAnsi="Arial"/>
                <w:sz w:val="16"/>
                <w:szCs w:val="16"/>
                <w:color w:val="auto"/>
              </w:rPr>
              <w:t>(“CEO”)</w:t>
            </w: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60" w:type="dxa"/>
            <w:vAlign w:val="bottom"/>
            <w:tcBorders>
              <w:bottom w:val="single" w:sz="8" w:color="7F7F7F"/>
            </w:tcBorders>
          </w:tcPr>
          <w:p>
            <w:pPr>
              <w:spacing w:after="0"/>
              <w:rPr>
                <w:sz w:val="20"/>
                <w:szCs w:val="20"/>
                <w:color w:val="auto"/>
              </w:rPr>
            </w:pPr>
          </w:p>
        </w:tc>
        <w:tc>
          <w:tcPr>
            <w:tcW w:w="760" w:type="dxa"/>
            <w:vAlign w:val="bottom"/>
            <w:tcBorders>
              <w:bottom w:val="single" w:sz="8" w:color="7F7F7F"/>
            </w:tcBorders>
          </w:tcPr>
          <w:p>
            <w:pPr>
              <w:spacing w:after="0"/>
              <w:rPr>
                <w:sz w:val="20"/>
                <w:szCs w:val="20"/>
                <w:color w:val="auto"/>
              </w:rPr>
            </w:pPr>
          </w:p>
        </w:tc>
        <w:tc>
          <w:tcPr>
            <w:tcW w:w="960" w:type="dxa"/>
            <w:vAlign w:val="bottom"/>
            <w:tcBorders>
              <w:bottom w:val="single" w:sz="8" w:color="7F7F7F"/>
            </w:tcBorders>
          </w:tcPr>
          <w:p>
            <w:pPr>
              <w:spacing w:after="0"/>
              <w:rPr>
                <w:sz w:val="20"/>
                <w:szCs w:val="20"/>
                <w:color w:val="auto"/>
              </w:rPr>
            </w:pPr>
          </w:p>
        </w:tc>
        <w:tc>
          <w:tcPr>
            <w:tcW w:w="1500" w:type="dxa"/>
            <w:vAlign w:val="bottom"/>
            <w:tcBorders>
              <w:bottom w:val="single" w:sz="8" w:color="7F7F7F"/>
            </w:tcBorders>
          </w:tcPr>
          <w:p>
            <w:pPr>
              <w:spacing w:after="0"/>
              <w:rPr>
                <w:sz w:val="20"/>
                <w:szCs w:val="20"/>
                <w:color w:val="auto"/>
              </w:rPr>
            </w:pPr>
          </w:p>
        </w:tc>
        <w:tc>
          <w:tcPr>
            <w:tcW w:w="3340" w:type="dxa"/>
            <w:vAlign w:val="bottom"/>
            <w:tcBorders>
              <w:bottom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06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Gerald S. Adolph</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color w:val="0A9E50"/>
                <w:w w:val="82"/>
              </w:rPr>
              <w:t>●</w:t>
            </w:r>
          </w:p>
        </w:tc>
        <w:tc>
          <w:tcPr>
            <w:tcW w:w="3340" w:type="dxa"/>
            <w:vAlign w:val="bottom"/>
          </w:tcPr>
          <w:p>
            <w:pPr>
              <w:jc w:val="center"/>
              <w:ind w:right="1"/>
              <w:spacing w:after="0"/>
              <w:rPr>
                <w:sz w:val="20"/>
                <w:szCs w:val="20"/>
                <w:color w:val="auto"/>
              </w:rPr>
            </w:pPr>
            <w:r>
              <w:rPr>
                <w:rFonts w:ascii="Arial" w:cs="Arial" w:eastAsia="Arial" w:hAnsi="Arial"/>
                <w:sz w:val="16"/>
                <w:szCs w:val="16"/>
                <w:color w:val="auto"/>
                <w:w w:val="97"/>
              </w:rPr>
              <w:t>Audit, Compensation and Talent</w:t>
            </w:r>
          </w:p>
        </w:tc>
        <w:tc>
          <w:tcPr>
            <w:tcW w:w="0" w:type="dxa"/>
            <w:vAlign w:val="bottom"/>
          </w:tcPr>
          <w:p>
            <w:pPr>
              <w:spacing w:after="0"/>
              <w:rPr>
                <w:sz w:val="1"/>
                <w:szCs w:val="1"/>
                <w:color w:val="auto"/>
              </w:rPr>
            </w:pPr>
          </w:p>
        </w:tc>
      </w:tr>
      <w:tr>
        <w:trPr>
          <w:trHeight w:val="91"/>
        </w:trPr>
        <w:tc>
          <w:tcPr>
            <w:tcW w:w="4060" w:type="dxa"/>
            <w:vAlign w:val="bottom"/>
            <w:vMerge w:val="continue"/>
          </w:tcPr>
          <w:p>
            <w:pPr>
              <w:spacing w:after="0"/>
              <w:rPr>
                <w:sz w:val="7"/>
                <w:szCs w:val="7"/>
                <w:color w:val="auto"/>
              </w:rPr>
            </w:pPr>
          </w:p>
        </w:tc>
        <w:tc>
          <w:tcPr>
            <w:tcW w:w="760" w:type="dxa"/>
            <w:vAlign w:val="bottom"/>
            <w:vMerge w:val="restart"/>
          </w:tcPr>
          <w:p>
            <w:pPr>
              <w:jc w:val="center"/>
              <w:ind w:left="101"/>
              <w:spacing w:after="0" w:line="180" w:lineRule="exact"/>
              <w:rPr>
                <w:sz w:val="20"/>
                <w:szCs w:val="20"/>
                <w:color w:val="auto"/>
              </w:rPr>
            </w:pPr>
            <w:r>
              <w:rPr>
                <w:rFonts w:ascii="Arial" w:cs="Arial" w:eastAsia="Arial" w:hAnsi="Arial"/>
                <w:sz w:val="16"/>
                <w:szCs w:val="16"/>
                <w:color w:val="auto"/>
              </w:rPr>
              <w:t>70</w:t>
            </w:r>
          </w:p>
        </w:tc>
        <w:tc>
          <w:tcPr>
            <w:tcW w:w="960" w:type="dxa"/>
            <w:vAlign w:val="bottom"/>
            <w:vMerge w:val="restart"/>
          </w:tcPr>
          <w:p>
            <w:pPr>
              <w:jc w:val="center"/>
              <w:spacing w:after="0" w:line="180" w:lineRule="exact"/>
              <w:rPr>
                <w:sz w:val="20"/>
                <w:szCs w:val="20"/>
                <w:color w:val="auto"/>
              </w:rPr>
            </w:pPr>
            <w:r>
              <w:rPr>
                <w:rFonts w:ascii="Arial" w:cs="Arial" w:eastAsia="Arial" w:hAnsi="Arial"/>
                <w:sz w:val="16"/>
                <w:szCs w:val="16"/>
                <w:color w:val="auto"/>
              </w:rPr>
              <w:t>2018</w:t>
            </w:r>
          </w:p>
        </w:tc>
        <w:tc>
          <w:tcPr>
            <w:tcW w:w="1500" w:type="dxa"/>
            <w:vAlign w:val="bottom"/>
            <w:vMerge w:val="continue"/>
          </w:tcPr>
          <w:p>
            <w:pPr>
              <w:spacing w:after="0"/>
              <w:rPr>
                <w:sz w:val="7"/>
                <w:szCs w:val="7"/>
                <w:color w:val="auto"/>
              </w:rPr>
            </w:pPr>
          </w:p>
        </w:tc>
        <w:tc>
          <w:tcPr>
            <w:tcW w:w="3340" w:type="dxa"/>
            <w:vAlign w:val="bottom"/>
            <w:vMerge w:val="restart"/>
          </w:tcPr>
          <w:p>
            <w:pPr>
              <w:jc w:val="center"/>
              <w:ind w:right="1"/>
              <w:spacing w:after="0" w:line="180" w:lineRule="exact"/>
              <w:rPr>
                <w:sz w:val="20"/>
                <w:szCs w:val="20"/>
                <w:color w:val="auto"/>
              </w:rPr>
            </w:pPr>
            <w:r>
              <w:rPr>
                <w:rFonts w:ascii="Arial" w:cs="Arial" w:eastAsia="Arial" w:hAnsi="Arial"/>
                <w:sz w:val="16"/>
                <w:szCs w:val="16"/>
                <w:color w:val="auto"/>
                <w:w w:val="97"/>
              </w:rPr>
              <w:t>Management, Corporate Governance</w:t>
            </w:r>
          </w:p>
        </w:tc>
        <w:tc>
          <w:tcPr>
            <w:tcW w:w="0" w:type="dxa"/>
            <w:vAlign w:val="bottom"/>
          </w:tcPr>
          <w:p>
            <w:pPr>
              <w:spacing w:after="0"/>
              <w:rPr>
                <w:sz w:val="1"/>
                <w:szCs w:val="1"/>
                <w:color w:val="auto"/>
              </w:rPr>
            </w:pPr>
          </w:p>
        </w:tc>
      </w:tr>
      <w:tr>
        <w:trPr>
          <w:trHeight w:val="89"/>
        </w:trPr>
        <w:tc>
          <w:tcPr>
            <w:tcW w:w="4060" w:type="dxa"/>
            <w:vAlign w:val="bottom"/>
            <w:vMerge w:val="restart"/>
          </w:tcPr>
          <w:p>
            <w:pPr>
              <w:ind w:left="1140"/>
              <w:spacing w:after="0"/>
              <w:rPr>
                <w:sz w:val="20"/>
                <w:szCs w:val="20"/>
                <w:color w:val="auto"/>
              </w:rPr>
            </w:pPr>
            <w:r>
              <w:rPr>
                <w:rFonts w:ascii="Arial" w:cs="Arial" w:eastAsia="Arial" w:hAnsi="Arial"/>
                <w:sz w:val="16"/>
                <w:szCs w:val="16"/>
                <w:color w:val="auto"/>
              </w:rPr>
              <w:t>Director</w:t>
            </w: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406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340" w:type="dxa"/>
            <w:vAlign w:val="bottom"/>
            <w:vMerge w:val="restart"/>
          </w:tcPr>
          <w:p>
            <w:pPr>
              <w:jc w:val="center"/>
              <w:spacing w:after="0"/>
              <w:rPr>
                <w:sz w:val="20"/>
                <w:szCs w:val="20"/>
                <w:color w:val="auto"/>
              </w:rPr>
            </w:pPr>
            <w:r>
              <w:rPr>
                <w:rFonts w:ascii="Arial" w:cs="Arial" w:eastAsia="Arial" w:hAnsi="Arial"/>
                <w:sz w:val="16"/>
                <w:szCs w:val="16"/>
                <w:color w:val="auto"/>
                <w:w w:val="97"/>
              </w:rPr>
              <w:t xml:space="preserve">and Nominating </w:t>
            </w:r>
            <w:r>
              <w:rPr>
                <w:rFonts w:ascii="Arial" w:cs="Arial" w:eastAsia="Arial" w:hAnsi="Arial"/>
                <w:sz w:val="16"/>
                <w:szCs w:val="16"/>
                <w:b w:val="1"/>
                <w:bCs w:val="1"/>
                <w:color w:val="auto"/>
                <w:w w:val="97"/>
              </w:rPr>
              <w:t>(Chair)</w:t>
            </w:r>
          </w:p>
        </w:tc>
        <w:tc>
          <w:tcPr>
            <w:tcW w:w="0" w:type="dxa"/>
            <w:vAlign w:val="bottom"/>
          </w:tcPr>
          <w:p>
            <w:pPr>
              <w:spacing w:after="0"/>
              <w:rPr>
                <w:sz w:val="1"/>
                <w:szCs w:val="1"/>
                <w:color w:val="auto"/>
              </w:rPr>
            </w:pPr>
          </w:p>
        </w:tc>
      </w:tr>
      <w:tr>
        <w:trPr>
          <w:trHeight w:val="99"/>
        </w:trPr>
        <w:tc>
          <w:tcPr>
            <w:tcW w:w="4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4060" w:type="dxa"/>
            <w:vAlign w:val="bottom"/>
            <w:tcBorders>
              <w:bottom w:val="single" w:sz="8" w:color="7F7F7F"/>
            </w:tcBorders>
          </w:tcPr>
          <w:p>
            <w:pPr>
              <w:spacing w:after="0"/>
              <w:rPr>
                <w:sz w:val="19"/>
                <w:szCs w:val="19"/>
                <w:color w:val="auto"/>
              </w:rPr>
            </w:pPr>
          </w:p>
        </w:tc>
        <w:tc>
          <w:tcPr>
            <w:tcW w:w="760" w:type="dxa"/>
            <w:vAlign w:val="bottom"/>
            <w:tcBorders>
              <w:bottom w:val="single" w:sz="8" w:color="7F7F7F"/>
            </w:tcBorders>
          </w:tcPr>
          <w:p>
            <w:pPr>
              <w:spacing w:after="0"/>
              <w:rPr>
                <w:sz w:val="19"/>
                <w:szCs w:val="19"/>
                <w:color w:val="auto"/>
              </w:rPr>
            </w:pPr>
          </w:p>
        </w:tc>
        <w:tc>
          <w:tcPr>
            <w:tcW w:w="960" w:type="dxa"/>
            <w:vAlign w:val="bottom"/>
            <w:tcBorders>
              <w:bottom w:val="single" w:sz="8" w:color="7F7F7F"/>
            </w:tcBorders>
          </w:tcPr>
          <w:p>
            <w:pPr>
              <w:spacing w:after="0"/>
              <w:rPr>
                <w:sz w:val="19"/>
                <w:szCs w:val="19"/>
                <w:color w:val="auto"/>
              </w:rPr>
            </w:pPr>
          </w:p>
        </w:tc>
        <w:tc>
          <w:tcPr>
            <w:tcW w:w="1500" w:type="dxa"/>
            <w:vAlign w:val="bottom"/>
            <w:tcBorders>
              <w:bottom w:val="single" w:sz="8" w:color="7F7F7F"/>
            </w:tcBorders>
          </w:tcPr>
          <w:p>
            <w:pPr>
              <w:spacing w:after="0"/>
              <w:rPr>
                <w:sz w:val="19"/>
                <w:szCs w:val="19"/>
                <w:color w:val="auto"/>
              </w:rPr>
            </w:pPr>
          </w:p>
        </w:tc>
        <w:tc>
          <w:tcPr>
            <w:tcW w:w="3340" w:type="dxa"/>
            <w:vAlign w:val="bottom"/>
            <w:tcBorders>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462"/>
        </w:trPr>
        <w:tc>
          <w:tcPr>
            <w:tcW w:w="4060" w:type="dxa"/>
            <w:vAlign w:val="bottom"/>
          </w:tcPr>
          <w:p>
            <w:pPr>
              <w:ind w:left="1140"/>
              <w:spacing w:after="0"/>
              <w:rPr>
                <w:sz w:val="20"/>
                <w:szCs w:val="20"/>
                <w:color w:val="auto"/>
              </w:rPr>
            </w:pPr>
            <w:r>
              <w:rPr>
                <w:rFonts w:ascii="Arial" w:cs="Arial" w:eastAsia="Arial" w:hAnsi="Arial"/>
                <w:sz w:val="16"/>
                <w:szCs w:val="16"/>
                <w:b w:val="1"/>
                <w:bCs w:val="1"/>
                <w:color w:val="auto"/>
              </w:rPr>
              <w:t>George S. Corona</w:t>
            </w:r>
          </w:p>
        </w:tc>
        <w:tc>
          <w:tcPr>
            <w:tcW w:w="760" w:type="dxa"/>
            <w:vAlign w:val="bottom"/>
            <w:vMerge w:val="restart"/>
          </w:tcPr>
          <w:p>
            <w:pPr>
              <w:jc w:val="center"/>
              <w:ind w:left="101"/>
              <w:spacing w:after="0"/>
              <w:rPr>
                <w:sz w:val="20"/>
                <w:szCs w:val="20"/>
                <w:color w:val="auto"/>
              </w:rPr>
            </w:pPr>
            <w:r>
              <w:rPr>
                <w:rFonts w:ascii="Arial" w:cs="Arial" w:eastAsia="Arial" w:hAnsi="Arial"/>
                <w:sz w:val="16"/>
                <w:szCs w:val="16"/>
                <w:color w:val="auto"/>
              </w:rPr>
              <w:t>65</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2017</w:t>
            </w:r>
          </w:p>
        </w:tc>
        <w:tc>
          <w:tcPr>
            <w:tcW w:w="15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color w:val="0A9E50"/>
                <w:w w:val="82"/>
              </w:rPr>
              <w:t>●</w:t>
            </w:r>
          </w:p>
        </w:tc>
        <w:tc>
          <w:tcPr>
            <w:tcW w:w="3340" w:type="dxa"/>
            <w:vAlign w:val="bottom"/>
            <w:vMerge w:val="restart"/>
          </w:tcPr>
          <w:p>
            <w:pPr>
              <w:jc w:val="center"/>
              <w:ind w:right="1"/>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27"/>
        </w:trPr>
        <w:tc>
          <w:tcPr>
            <w:tcW w:w="4060" w:type="dxa"/>
            <w:vAlign w:val="bottom"/>
            <w:vMerge w:val="restart"/>
          </w:tcPr>
          <w:p>
            <w:pPr>
              <w:ind w:left="1140"/>
              <w:spacing w:after="0"/>
              <w:rPr>
                <w:sz w:val="20"/>
                <w:szCs w:val="20"/>
                <w:color w:val="auto"/>
              </w:rPr>
            </w:pPr>
            <w:r>
              <w:rPr>
                <w:rFonts w:ascii="Arial" w:cs="Arial" w:eastAsia="Arial" w:hAnsi="Arial"/>
                <w:sz w:val="16"/>
                <w:szCs w:val="16"/>
                <w:color w:val="auto"/>
              </w:rPr>
              <w:t>Director</w:t>
            </w:r>
          </w:p>
        </w:tc>
        <w:tc>
          <w:tcPr>
            <w:tcW w:w="7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40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7"/>
        </w:trPr>
        <w:tc>
          <w:tcPr>
            <w:tcW w:w="4060" w:type="dxa"/>
            <w:vAlign w:val="bottom"/>
            <w:tcBorders>
              <w:bottom w:val="single" w:sz="8" w:color="7F7F7F"/>
            </w:tcBorders>
          </w:tcPr>
          <w:p>
            <w:pPr>
              <w:spacing w:after="0"/>
              <w:rPr>
                <w:sz w:val="24"/>
                <w:szCs w:val="24"/>
                <w:color w:val="auto"/>
              </w:rPr>
            </w:pPr>
          </w:p>
        </w:tc>
        <w:tc>
          <w:tcPr>
            <w:tcW w:w="760" w:type="dxa"/>
            <w:vAlign w:val="bottom"/>
            <w:tcBorders>
              <w:bottom w:val="single" w:sz="8" w:color="7F7F7F"/>
            </w:tcBorders>
          </w:tcPr>
          <w:p>
            <w:pPr>
              <w:spacing w:after="0"/>
              <w:rPr>
                <w:sz w:val="24"/>
                <w:szCs w:val="24"/>
                <w:color w:val="auto"/>
              </w:rPr>
            </w:pPr>
          </w:p>
        </w:tc>
        <w:tc>
          <w:tcPr>
            <w:tcW w:w="960" w:type="dxa"/>
            <w:vAlign w:val="bottom"/>
            <w:tcBorders>
              <w:bottom w:val="single" w:sz="8" w:color="7F7F7F"/>
            </w:tcBorders>
          </w:tcPr>
          <w:p>
            <w:pPr>
              <w:spacing w:after="0"/>
              <w:rPr>
                <w:sz w:val="24"/>
                <w:szCs w:val="24"/>
                <w:color w:val="auto"/>
              </w:rPr>
            </w:pPr>
          </w:p>
        </w:tc>
        <w:tc>
          <w:tcPr>
            <w:tcW w:w="1500" w:type="dxa"/>
            <w:vAlign w:val="bottom"/>
            <w:tcBorders>
              <w:bottom w:val="single" w:sz="8" w:color="7F7F7F"/>
            </w:tcBorders>
          </w:tcPr>
          <w:p>
            <w:pPr>
              <w:spacing w:after="0"/>
              <w:rPr>
                <w:sz w:val="24"/>
                <w:szCs w:val="24"/>
                <w:color w:val="auto"/>
              </w:rPr>
            </w:pPr>
          </w:p>
        </w:tc>
        <w:tc>
          <w:tcPr>
            <w:tcW w:w="334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06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Robert S. Cubbin</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340" w:type="dxa"/>
            <w:vAlign w:val="bottom"/>
          </w:tcPr>
          <w:p>
            <w:pPr>
              <w:jc w:val="center"/>
              <w:ind w:right="1"/>
              <w:spacing w:after="0"/>
              <w:rPr>
                <w:sz w:val="20"/>
                <w:szCs w:val="20"/>
                <w:color w:val="auto"/>
              </w:rPr>
            </w:pPr>
            <w:r>
              <w:rPr>
                <w:rFonts w:ascii="Arial" w:cs="Arial" w:eastAsia="Arial" w:hAnsi="Arial"/>
                <w:sz w:val="16"/>
                <w:szCs w:val="16"/>
                <w:color w:val="auto"/>
                <w:w w:val="97"/>
              </w:rPr>
              <w:t>Audit, Compensation and Talent</w:t>
            </w:r>
          </w:p>
        </w:tc>
        <w:tc>
          <w:tcPr>
            <w:tcW w:w="0" w:type="dxa"/>
            <w:vAlign w:val="bottom"/>
          </w:tcPr>
          <w:p>
            <w:pPr>
              <w:spacing w:after="0"/>
              <w:rPr>
                <w:sz w:val="1"/>
                <w:szCs w:val="1"/>
                <w:color w:val="auto"/>
              </w:rPr>
            </w:pPr>
          </w:p>
        </w:tc>
      </w:tr>
      <w:tr>
        <w:trPr>
          <w:trHeight w:val="93"/>
        </w:trPr>
        <w:tc>
          <w:tcPr>
            <w:tcW w:w="4060" w:type="dxa"/>
            <w:vAlign w:val="bottom"/>
            <w:vMerge w:val="continue"/>
          </w:tcPr>
          <w:p>
            <w:pPr>
              <w:spacing w:after="0"/>
              <w:rPr>
                <w:sz w:val="8"/>
                <w:szCs w:val="8"/>
                <w:color w:val="auto"/>
              </w:rPr>
            </w:pPr>
          </w:p>
        </w:tc>
        <w:tc>
          <w:tcPr>
            <w:tcW w:w="760" w:type="dxa"/>
            <w:vAlign w:val="bottom"/>
            <w:vMerge w:val="restart"/>
          </w:tcPr>
          <w:p>
            <w:pPr>
              <w:jc w:val="center"/>
              <w:ind w:left="101"/>
              <w:spacing w:after="0"/>
              <w:rPr>
                <w:sz w:val="20"/>
                <w:szCs w:val="20"/>
                <w:color w:val="auto"/>
              </w:rPr>
            </w:pPr>
            <w:r>
              <w:rPr>
                <w:rFonts w:ascii="Arial" w:cs="Arial" w:eastAsia="Arial" w:hAnsi="Arial"/>
                <w:sz w:val="16"/>
                <w:szCs w:val="16"/>
                <w:color w:val="auto"/>
              </w:rPr>
              <w:t>66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2014</w:t>
            </w:r>
          </w:p>
        </w:tc>
        <w:tc>
          <w:tcPr>
            <w:tcW w:w="15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color w:val="0A9E50"/>
                <w:w w:val="82"/>
              </w:rPr>
              <w:t>●</w:t>
            </w:r>
          </w:p>
        </w:tc>
        <w:tc>
          <w:tcPr>
            <w:tcW w:w="3340" w:type="dxa"/>
            <w:vAlign w:val="bottom"/>
            <w:vMerge w:val="restart"/>
          </w:tcPr>
          <w:p>
            <w:pPr>
              <w:jc w:val="center"/>
              <w:spacing w:after="0"/>
              <w:rPr>
                <w:sz w:val="20"/>
                <w:szCs w:val="20"/>
                <w:color w:val="auto"/>
              </w:rPr>
            </w:pPr>
            <w:r>
              <w:rPr>
                <w:rFonts w:ascii="Arial" w:cs="Arial" w:eastAsia="Arial" w:hAnsi="Arial"/>
                <w:sz w:val="16"/>
                <w:szCs w:val="16"/>
                <w:color w:val="auto"/>
                <w:w w:val="97"/>
              </w:rPr>
              <w:t xml:space="preserve">Management </w:t>
            </w:r>
            <w:r>
              <w:rPr>
                <w:rFonts w:ascii="Arial" w:cs="Arial" w:eastAsia="Arial" w:hAnsi="Arial"/>
                <w:sz w:val="16"/>
                <w:szCs w:val="16"/>
                <w:b w:val="1"/>
                <w:bCs w:val="1"/>
                <w:color w:val="auto"/>
                <w:w w:val="97"/>
              </w:rPr>
              <w:t>(Chair)</w:t>
            </w:r>
            <w:r>
              <w:rPr>
                <w:rFonts w:ascii="Arial" w:cs="Arial" w:eastAsia="Arial" w:hAnsi="Arial"/>
                <w:sz w:val="16"/>
                <w:szCs w:val="16"/>
                <w:color w:val="auto"/>
                <w:w w:val="97"/>
              </w:rPr>
              <w:t>, Corporate</w:t>
            </w:r>
          </w:p>
        </w:tc>
        <w:tc>
          <w:tcPr>
            <w:tcW w:w="0" w:type="dxa"/>
            <w:vAlign w:val="bottom"/>
          </w:tcPr>
          <w:p>
            <w:pPr>
              <w:spacing w:after="0"/>
              <w:rPr>
                <w:sz w:val="1"/>
                <w:szCs w:val="1"/>
                <w:color w:val="auto"/>
              </w:rPr>
            </w:pPr>
          </w:p>
        </w:tc>
      </w:tr>
      <w:tr>
        <w:trPr>
          <w:trHeight w:val="91"/>
        </w:trPr>
        <w:tc>
          <w:tcPr>
            <w:tcW w:w="4060" w:type="dxa"/>
            <w:vAlign w:val="bottom"/>
            <w:vMerge w:val="restart"/>
          </w:tcPr>
          <w:p>
            <w:pPr>
              <w:ind w:left="1140"/>
              <w:spacing w:after="0"/>
              <w:rPr>
                <w:sz w:val="20"/>
                <w:szCs w:val="20"/>
                <w:color w:val="auto"/>
              </w:rPr>
            </w:pPr>
            <w:r>
              <w:rPr>
                <w:rFonts w:ascii="Arial" w:cs="Arial" w:eastAsia="Arial" w:hAnsi="Arial"/>
                <w:sz w:val="16"/>
                <w:szCs w:val="16"/>
                <w:color w:val="auto"/>
              </w:rPr>
              <w:t>Director</w:t>
            </w: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0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340" w:type="dxa"/>
            <w:vAlign w:val="bottom"/>
            <w:vMerge w:val="restart"/>
          </w:tcPr>
          <w:p>
            <w:pPr>
              <w:jc w:val="center"/>
              <w:ind w:right="1"/>
              <w:spacing w:after="0"/>
              <w:rPr>
                <w:sz w:val="20"/>
                <w:szCs w:val="20"/>
                <w:color w:val="auto"/>
              </w:rPr>
            </w:pPr>
            <w:r>
              <w:rPr>
                <w:rFonts w:ascii="Arial" w:cs="Arial" w:eastAsia="Arial" w:hAnsi="Arial"/>
                <w:sz w:val="16"/>
                <w:szCs w:val="16"/>
                <w:color w:val="auto"/>
                <w:w w:val="97"/>
              </w:rPr>
              <w:t>Governance and Nominating</w:t>
            </w:r>
          </w:p>
        </w:tc>
        <w:tc>
          <w:tcPr>
            <w:tcW w:w="0" w:type="dxa"/>
            <w:vAlign w:val="bottom"/>
          </w:tcPr>
          <w:p>
            <w:pPr>
              <w:spacing w:after="0"/>
              <w:rPr>
                <w:sz w:val="1"/>
                <w:szCs w:val="1"/>
                <w:color w:val="auto"/>
              </w:rPr>
            </w:pPr>
          </w:p>
        </w:tc>
      </w:tr>
      <w:tr>
        <w:trPr>
          <w:trHeight w:val="91"/>
        </w:trPr>
        <w:tc>
          <w:tcPr>
            <w:tcW w:w="4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060" w:type="dxa"/>
            <w:vAlign w:val="bottom"/>
            <w:tcBorders>
              <w:bottom w:val="single" w:sz="8" w:color="7F7F7F"/>
            </w:tcBorders>
          </w:tcPr>
          <w:p>
            <w:pPr>
              <w:spacing w:after="0"/>
              <w:rPr>
                <w:sz w:val="20"/>
                <w:szCs w:val="20"/>
                <w:color w:val="auto"/>
              </w:rPr>
            </w:pPr>
          </w:p>
        </w:tc>
        <w:tc>
          <w:tcPr>
            <w:tcW w:w="760" w:type="dxa"/>
            <w:vAlign w:val="bottom"/>
            <w:tcBorders>
              <w:bottom w:val="single" w:sz="8" w:color="7F7F7F"/>
            </w:tcBorders>
          </w:tcPr>
          <w:p>
            <w:pPr>
              <w:spacing w:after="0"/>
              <w:rPr>
                <w:sz w:val="20"/>
                <w:szCs w:val="20"/>
                <w:color w:val="auto"/>
              </w:rPr>
            </w:pPr>
          </w:p>
        </w:tc>
        <w:tc>
          <w:tcPr>
            <w:tcW w:w="960" w:type="dxa"/>
            <w:vAlign w:val="bottom"/>
            <w:tcBorders>
              <w:bottom w:val="single" w:sz="8" w:color="7F7F7F"/>
            </w:tcBorders>
          </w:tcPr>
          <w:p>
            <w:pPr>
              <w:spacing w:after="0"/>
              <w:rPr>
                <w:sz w:val="20"/>
                <w:szCs w:val="20"/>
                <w:color w:val="auto"/>
              </w:rPr>
            </w:pPr>
          </w:p>
        </w:tc>
        <w:tc>
          <w:tcPr>
            <w:tcW w:w="1500" w:type="dxa"/>
            <w:vAlign w:val="bottom"/>
            <w:tcBorders>
              <w:bottom w:val="single" w:sz="8" w:color="7F7F7F"/>
            </w:tcBorders>
          </w:tcPr>
          <w:p>
            <w:pPr>
              <w:spacing w:after="0"/>
              <w:rPr>
                <w:sz w:val="20"/>
                <w:szCs w:val="20"/>
                <w:color w:val="auto"/>
              </w:rPr>
            </w:pPr>
          </w:p>
        </w:tc>
        <w:tc>
          <w:tcPr>
            <w:tcW w:w="3340" w:type="dxa"/>
            <w:vAlign w:val="bottom"/>
            <w:tcBorders>
              <w:bottom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06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Amala Duggirala</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color w:val="0A9E50"/>
                <w:w w:val="82"/>
              </w:rPr>
              <w:t>●</w:t>
            </w:r>
          </w:p>
        </w:tc>
        <w:tc>
          <w:tcPr>
            <w:tcW w:w="3340" w:type="dxa"/>
            <w:vAlign w:val="bottom"/>
          </w:tcPr>
          <w:p>
            <w:pPr>
              <w:jc w:val="center"/>
              <w:spacing w:after="0"/>
              <w:rPr>
                <w:sz w:val="20"/>
                <w:szCs w:val="20"/>
                <w:color w:val="auto"/>
              </w:rPr>
            </w:pPr>
            <w:r>
              <w:rPr>
                <w:rFonts w:ascii="Arial" w:cs="Arial" w:eastAsia="Arial" w:hAnsi="Arial"/>
                <w:sz w:val="16"/>
                <w:szCs w:val="16"/>
                <w:color w:val="auto"/>
                <w:w w:val="97"/>
              </w:rPr>
              <w:t>Audit,</w:t>
            </w:r>
          </w:p>
        </w:tc>
        <w:tc>
          <w:tcPr>
            <w:tcW w:w="0" w:type="dxa"/>
            <w:vAlign w:val="bottom"/>
          </w:tcPr>
          <w:p>
            <w:pPr>
              <w:spacing w:after="0"/>
              <w:rPr>
                <w:sz w:val="1"/>
                <w:szCs w:val="1"/>
                <w:color w:val="auto"/>
              </w:rPr>
            </w:pPr>
          </w:p>
        </w:tc>
      </w:tr>
      <w:tr>
        <w:trPr>
          <w:trHeight w:val="91"/>
        </w:trPr>
        <w:tc>
          <w:tcPr>
            <w:tcW w:w="4060" w:type="dxa"/>
            <w:vAlign w:val="bottom"/>
            <w:vMerge w:val="continue"/>
          </w:tcPr>
          <w:p>
            <w:pPr>
              <w:spacing w:after="0"/>
              <w:rPr>
                <w:sz w:val="7"/>
                <w:szCs w:val="7"/>
                <w:color w:val="auto"/>
              </w:rPr>
            </w:pPr>
          </w:p>
        </w:tc>
        <w:tc>
          <w:tcPr>
            <w:tcW w:w="760" w:type="dxa"/>
            <w:vAlign w:val="bottom"/>
            <w:vMerge w:val="restart"/>
          </w:tcPr>
          <w:p>
            <w:pPr>
              <w:jc w:val="center"/>
              <w:ind w:left="101"/>
              <w:spacing w:after="0" w:line="182" w:lineRule="exact"/>
              <w:rPr>
                <w:sz w:val="20"/>
                <w:szCs w:val="20"/>
                <w:color w:val="auto"/>
              </w:rPr>
            </w:pPr>
            <w:r>
              <w:rPr>
                <w:rFonts w:ascii="Arial" w:cs="Arial" w:eastAsia="Arial" w:hAnsi="Arial"/>
                <w:sz w:val="16"/>
                <w:szCs w:val="16"/>
                <w:color w:val="auto"/>
              </w:rPr>
              <w:t>49</w:t>
            </w:r>
          </w:p>
        </w:tc>
        <w:tc>
          <w:tcPr>
            <w:tcW w:w="960" w:type="dxa"/>
            <w:vAlign w:val="bottom"/>
            <w:vMerge w:val="restart"/>
          </w:tcPr>
          <w:p>
            <w:pPr>
              <w:jc w:val="center"/>
              <w:spacing w:after="0" w:line="182" w:lineRule="exact"/>
              <w:rPr>
                <w:sz w:val="20"/>
                <w:szCs w:val="20"/>
                <w:color w:val="auto"/>
              </w:rPr>
            </w:pPr>
            <w:r>
              <w:rPr>
                <w:rFonts w:ascii="Arial" w:cs="Arial" w:eastAsia="Arial" w:hAnsi="Arial"/>
                <w:sz w:val="16"/>
                <w:szCs w:val="16"/>
                <w:color w:val="auto"/>
              </w:rPr>
              <w:t>2022</w:t>
            </w:r>
          </w:p>
        </w:tc>
        <w:tc>
          <w:tcPr>
            <w:tcW w:w="1500" w:type="dxa"/>
            <w:vAlign w:val="bottom"/>
            <w:vMerge w:val="continue"/>
          </w:tcPr>
          <w:p>
            <w:pPr>
              <w:spacing w:after="0"/>
              <w:rPr>
                <w:sz w:val="7"/>
                <w:szCs w:val="7"/>
                <w:color w:val="auto"/>
              </w:rPr>
            </w:pPr>
          </w:p>
        </w:tc>
        <w:tc>
          <w:tcPr>
            <w:tcW w:w="3340" w:type="dxa"/>
            <w:vAlign w:val="bottom"/>
            <w:vMerge w:val="restart"/>
          </w:tcPr>
          <w:p>
            <w:pPr>
              <w:jc w:val="center"/>
              <w:ind w:right="1"/>
              <w:spacing w:after="0" w:line="182" w:lineRule="exact"/>
              <w:rPr>
                <w:sz w:val="20"/>
                <w:szCs w:val="20"/>
                <w:color w:val="auto"/>
              </w:rPr>
            </w:pPr>
            <w:r>
              <w:rPr>
                <w:rFonts w:ascii="Arial" w:cs="Arial" w:eastAsia="Arial" w:hAnsi="Arial"/>
                <w:sz w:val="16"/>
                <w:szCs w:val="16"/>
                <w:color w:val="auto"/>
                <w:w w:val="97"/>
              </w:rPr>
              <w:t>Corporate Governance</w:t>
            </w:r>
          </w:p>
        </w:tc>
        <w:tc>
          <w:tcPr>
            <w:tcW w:w="0" w:type="dxa"/>
            <w:vAlign w:val="bottom"/>
          </w:tcPr>
          <w:p>
            <w:pPr>
              <w:spacing w:after="0"/>
              <w:rPr>
                <w:sz w:val="1"/>
                <w:szCs w:val="1"/>
                <w:color w:val="auto"/>
              </w:rPr>
            </w:pPr>
          </w:p>
        </w:tc>
      </w:tr>
      <w:tr>
        <w:trPr>
          <w:trHeight w:val="91"/>
        </w:trPr>
        <w:tc>
          <w:tcPr>
            <w:tcW w:w="4060" w:type="dxa"/>
            <w:vAlign w:val="bottom"/>
            <w:vMerge w:val="restart"/>
          </w:tcPr>
          <w:p>
            <w:pPr>
              <w:ind w:left="1140"/>
              <w:spacing w:after="0"/>
              <w:rPr>
                <w:sz w:val="20"/>
                <w:szCs w:val="20"/>
                <w:color w:val="auto"/>
              </w:rPr>
            </w:pPr>
            <w:r>
              <w:rPr>
                <w:rFonts w:ascii="Arial" w:cs="Arial" w:eastAsia="Arial" w:hAnsi="Arial"/>
                <w:sz w:val="16"/>
                <w:szCs w:val="16"/>
                <w:color w:val="auto"/>
              </w:rPr>
              <w:t>Director</w:t>
            </w: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0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340" w:type="dxa"/>
            <w:vAlign w:val="bottom"/>
            <w:vMerge w:val="restart"/>
          </w:tcPr>
          <w:p>
            <w:pPr>
              <w:jc w:val="center"/>
              <w:ind w:right="1"/>
              <w:spacing w:after="0"/>
              <w:rPr>
                <w:sz w:val="20"/>
                <w:szCs w:val="20"/>
                <w:color w:val="auto"/>
              </w:rPr>
            </w:pPr>
            <w:r>
              <w:rPr>
                <w:rFonts w:ascii="Arial" w:cs="Arial" w:eastAsia="Arial" w:hAnsi="Arial"/>
                <w:sz w:val="16"/>
                <w:szCs w:val="16"/>
                <w:color w:val="auto"/>
                <w:w w:val="98"/>
              </w:rPr>
              <w:t>and Nominating</w:t>
            </w:r>
          </w:p>
        </w:tc>
        <w:tc>
          <w:tcPr>
            <w:tcW w:w="0" w:type="dxa"/>
            <w:vAlign w:val="bottom"/>
          </w:tcPr>
          <w:p>
            <w:pPr>
              <w:spacing w:after="0"/>
              <w:rPr>
                <w:sz w:val="1"/>
                <w:szCs w:val="1"/>
                <w:color w:val="auto"/>
              </w:rPr>
            </w:pPr>
          </w:p>
        </w:tc>
      </w:tr>
      <w:tr>
        <w:trPr>
          <w:trHeight w:val="91"/>
        </w:trPr>
        <w:tc>
          <w:tcPr>
            <w:tcW w:w="4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060" w:type="dxa"/>
            <w:vAlign w:val="bottom"/>
            <w:tcBorders>
              <w:bottom w:val="single" w:sz="8" w:color="7F7F7F"/>
            </w:tcBorders>
          </w:tcPr>
          <w:p>
            <w:pPr>
              <w:spacing w:after="0"/>
              <w:rPr>
                <w:sz w:val="20"/>
                <w:szCs w:val="20"/>
                <w:color w:val="auto"/>
              </w:rPr>
            </w:pPr>
          </w:p>
        </w:tc>
        <w:tc>
          <w:tcPr>
            <w:tcW w:w="760" w:type="dxa"/>
            <w:vAlign w:val="bottom"/>
            <w:tcBorders>
              <w:bottom w:val="single" w:sz="8" w:color="7F7F7F"/>
            </w:tcBorders>
          </w:tcPr>
          <w:p>
            <w:pPr>
              <w:spacing w:after="0"/>
              <w:rPr>
                <w:sz w:val="20"/>
                <w:szCs w:val="20"/>
                <w:color w:val="auto"/>
              </w:rPr>
            </w:pPr>
          </w:p>
        </w:tc>
        <w:tc>
          <w:tcPr>
            <w:tcW w:w="960" w:type="dxa"/>
            <w:vAlign w:val="bottom"/>
            <w:tcBorders>
              <w:bottom w:val="single" w:sz="8" w:color="7F7F7F"/>
            </w:tcBorders>
          </w:tcPr>
          <w:p>
            <w:pPr>
              <w:spacing w:after="0"/>
              <w:rPr>
                <w:sz w:val="20"/>
                <w:szCs w:val="20"/>
                <w:color w:val="auto"/>
              </w:rPr>
            </w:pPr>
          </w:p>
        </w:tc>
        <w:tc>
          <w:tcPr>
            <w:tcW w:w="1500" w:type="dxa"/>
            <w:vAlign w:val="bottom"/>
            <w:tcBorders>
              <w:bottom w:val="single" w:sz="8" w:color="7F7F7F"/>
            </w:tcBorders>
          </w:tcPr>
          <w:p>
            <w:pPr>
              <w:spacing w:after="0"/>
              <w:rPr>
                <w:sz w:val="20"/>
                <w:szCs w:val="20"/>
                <w:color w:val="auto"/>
              </w:rPr>
            </w:pPr>
          </w:p>
        </w:tc>
        <w:tc>
          <w:tcPr>
            <w:tcW w:w="3340" w:type="dxa"/>
            <w:vAlign w:val="bottom"/>
            <w:tcBorders>
              <w:bottom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06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InaMarie F. Johnson</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color w:val="0A9E50"/>
                <w:w w:val="82"/>
              </w:rPr>
              <w:t>●</w:t>
            </w:r>
          </w:p>
        </w:tc>
        <w:tc>
          <w:tcPr>
            <w:tcW w:w="3340" w:type="dxa"/>
            <w:vAlign w:val="bottom"/>
          </w:tcPr>
          <w:p>
            <w:pPr>
              <w:jc w:val="center"/>
              <w:ind w:right="1"/>
              <w:spacing w:after="0"/>
              <w:rPr>
                <w:sz w:val="20"/>
                <w:szCs w:val="20"/>
                <w:color w:val="auto"/>
              </w:rPr>
            </w:pPr>
            <w:r>
              <w:rPr>
                <w:rFonts w:ascii="Arial" w:cs="Arial" w:eastAsia="Arial" w:hAnsi="Arial"/>
                <w:sz w:val="16"/>
                <w:szCs w:val="16"/>
                <w:color w:val="auto"/>
                <w:w w:val="97"/>
              </w:rPr>
              <w:t>Compensation and Talent</w:t>
            </w:r>
          </w:p>
        </w:tc>
        <w:tc>
          <w:tcPr>
            <w:tcW w:w="0" w:type="dxa"/>
            <w:vAlign w:val="bottom"/>
          </w:tcPr>
          <w:p>
            <w:pPr>
              <w:spacing w:after="0"/>
              <w:rPr>
                <w:sz w:val="1"/>
                <w:szCs w:val="1"/>
                <w:color w:val="auto"/>
              </w:rPr>
            </w:pPr>
          </w:p>
        </w:tc>
      </w:tr>
      <w:tr>
        <w:trPr>
          <w:trHeight w:val="91"/>
        </w:trPr>
        <w:tc>
          <w:tcPr>
            <w:tcW w:w="4060" w:type="dxa"/>
            <w:vAlign w:val="bottom"/>
            <w:vMerge w:val="continue"/>
          </w:tcPr>
          <w:p>
            <w:pPr>
              <w:spacing w:after="0"/>
              <w:rPr>
                <w:sz w:val="7"/>
                <w:szCs w:val="7"/>
                <w:color w:val="auto"/>
              </w:rPr>
            </w:pPr>
          </w:p>
        </w:tc>
        <w:tc>
          <w:tcPr>
            <w:tcW w:w="760" w:type="dxa"/>
            <w:vAlign w:val="bottom"/>
            <w:vMerge w:val="restart"/>
          </w:tcPr>
          <w:p>
            <w:pPr>
              <w:jc w:val="center"/>
              <w:ind w:left="101"/>
              <w:spacing w:after="0" w:line="182" w:lineRule="exact"/>
              <w:rPr>
                <w:sz w:val="20"/>
                <w:szCs w:val="20"/>
                <w:color w:val="auto"/>
              </w:rPr>
            </w:pPr>
            <w:r>
              <w:rPr>
                <w:rFonts w:ascii="Arial" w:cs="Arial" w:eastAsia="Arial" w:hAnsi="Arial"/>
                <w:sz w:val="16"/>
                <w:szCs w:val="16"/>
                <w:color w:val="auto"/>
              </w:rPr>
              <w:t>59</w:t>
            </w:r>
          </w:p>
        </w:tc>
        <w:tc>
          <w:tcPr>
            <w:tcW w:w="960" w:type="dxa"/>
            <w:vAlign w:val="bottom"/>
            <w:vMerge w:val="restart"/>
          </w:tcPr>
          <w:p>
            <w:pPr>
              <w:jc w:val="center"/>
              <w:spacing w:after="0" w:line="182" w:lineRule="exact"/>
              <w:rPr>
                <w:sz w:val="20"/>
                <w:szCs w:val="20"/>
                <w:color w:val="auto"/>
              </w:rPr>
            </w:pPr>
            <w:r>
              <w:rPr>
                <w:rFonts w:ascii="Arial" w:cs="Arial" w:eastAsia="Arial" w:hAnsi="Arial"/>
                <w:sz w:val="16"/>
                <w:szCs w:val="16"/>
                <w:color w:val="auto"/>
              </w:rPr>
              <w:t>2022</w:t>
            </w:r>
          </w:p>
        </w:tc>
        <w:tc>
          <w:tcPr>
            <w:tcW w:w="1500" w:type="dxa"/>
            <w:vAlign w:val="bottom"/>
            <w:vMerge w:val="continue"/>
          </w:tcPr>
          <w:p>
            <w:pPr>
              <w:spacing w:after="0"/>
              <w:rPr>
                <w:sz w:val="7"/>
                <w:szCs w:val="7"/>
                <w:color w:val="auto"/>
              </w:rPr>
            </w:pPr>
          </w:p>
        </w:tc>
        <w:tc>
          <w:tcPr>
            <w:tcW w:w="3340" w:type="dxa"/>
            <w:vAlign w:val="bottom"/>
            <w:vMerge w:val="restart"/>
          </w:tcPr>
          <w:p>
            <w:pPr>
              <w:jc w:val="center"/>
              <w:ind w:right="1"/>
              <w:spacing w:after="0" w:line="182" w:lineRule="exact"/>
              <w:rPr>
                <w:sz w:val="20"/>
                <w:szCs w:val="20"/>
                <w:color w:val="auto"/>
              </w:rPr>
            </w:pPr>
            <w:r>
              <w:rPr>
                <w:rFonts w:ascii="Arial" w:cs="Arial" w:eastAsia="Arial" w:hAnsi="Arial"/>
                <w:sz w:val="16"/>
                <w:szCs w:val="16"/>
                <w:color w:val="auto"/>
                <w:w w:val="97"/>
              </w:rPr>
              <w:t>Management, Corporate Governance</w:t>
            </w:r>
          </w:p>
        </w:tc>
        <w:tc>
          <w:tcPr>
            <w:tcW w:w="0" w:type="dxa"/>
            <w:vAlign w:val="bottom"/>
          </w:tcPr>
          <w:p>
            <w:pPr>
              <w:spacing w:after="0"/>
              <w:rPr>
                <w:sz w:val="1"/>
                <w:szCs w:val="1"/>
                <w:color w:val="auto"/>
              </w:rPr>
            </w:pPr>
          </w:p>
        </w:tc>
      </w:tr>
      <w:tr>
        <w:trPr>
          <w:trHeight w:val="91"/>
        </w:trPr>
        <w:tc>
          <w:tcPr>
            <w:tcW w:w="4060" w:type="dxa"/>
            <w:vAlign w:val="bottom"/>
            <w:vMerge w:val="restart"/>
          </w:tcPr>
          <w:p>
            <w:pPr>
              <w:ind w:left="1140"/>
              <w:spacing w:after="0"/>
              <w:rPr>
                <w:sz w:val="20"/>
                <w:szCs w:val="20"/>
                <w:color w:val="auto"/>
              </w:rPr>
            </w:pPr>
            <w:r>
              <w:rPr>
                <w:rFonts w:ascii="Arial" w:cs="Arial" w:eastAsia="Arial" w:hAnsi="Arial"/>
                <w:sz w:val="16"/>
                <w:szCs w:val="16"/>
                <w:color w:val="auto"/>
              </w:rPr>
              <w:t>Director</w:t>
            </w: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0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340" w:type="dxa"/>
            <w:vAlign w:val="bottom"/>
            <w:vMerge w:val="restart"/>
          </w:tcPr>
          <w:p>
            <w:pPr>
              <w:jc w:val="center"/>
              <w:ind w:right="1"/>
              <w:spacing w:after="0"/>
              <w:rPr>
                <w:sz w:val="20"/>
                <w:szCs w:val="20"/>
                <w:color w:val="auto"/>
              </w:rPr>
            </w:pPr>
            <w:r>
              <w:rPr>
                <w:rFonts w:ascii="Arial" w:cs="Arial" w:eastAsia="Arial" w:hAnsi="Arial"/>
                <w:sz w:val="16"/>
                <w:szCs w:val="16"/>
                <w:color w:val="auto"/>
                <w:w w:val="98"/>
              </w:rPr>
              <w:t>and Nominating</w:t>
            </w:r>
          </w:p>
        </w:tc>
        <w:tc>
          <w:tcPr>
            <w:tcW w:w="0" w:type="dxa"/>
            <w:vAlign w:val="bottom"/>
          </w:tcPr>
          <w:p>
            <w:pPr>
              <w:spacing w:after="0"/>
              <w:rPr>
                <w:sz w:val="1"/>
                <w:szCs w:val="1"/>
                <w:color w:val="auto"/>
              </w:rPr>
            </w:pPr>
          </w:p>
        </w:tc>
      </w:tr>
      <w:tr>
        <w:trPr>
          <w:trHeight w:val="91"/>
        </w:trPr>
        <w:tc>
          <w:tcPr>
            <w:tcW w:w="4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060" w:type="dxa"/>
            <w:vAlign w:val="bottom"/>
            <w:tcBorders>
              <w:bottom w:val="single" w:sz="8" w:color="7F7F7F"/>
            </w:tcBorders>
          </w:tcPr>
          <w:p>
            <w:pPr>
              <w:spacing w:after="0"/>
              <w:rPr>
                <w:sz w:val="20"/>
                <w:szCs w:val="20"/>
                <w:color w:val="auto"/>
              </w:rPr>
            </w:pPr>
          </w:p>
        </w:tc>
        <w:tc>
          <w:tcPr>
            <w:tcW w:w="760" w:type="dxa"/>
            <w:vAlign w:val="bottom"/>
            <w:tcBorders>
              <w:bottom w:val="single" w:sz="8" w:color="7F7F7F"/>
            </w:tcBorders>
          </w:tcPr>
          <w:p>
            <w:pPr>
              <w:spacing w:after="0"/>
              <w:rPr>
                <w:sz w:val="20"/>
                <w:szCs w:val="20"/>
                <w:color w:val="auto"/>
              </w:rPr>
            </w:pPr>
          </w:p>
        </w:tc>
        <w:tc>
          <w:tcPr>
            <w:tcW w:w="960" w:type="dxa"/>
            <w:vAlign w:val="bottom"/>
            <w:tcBorders>
              <w:bottom w:val="single" w:sz="8" w:color="7F7F7F"/>
            </w:tcBorders>
          </w:tcPr>
          <w:p>
            <w:pPr>
              <w:spacing w:after="0"/>
              <w:rPr>
                <w:sz w:val="20"/>
                <w:szCs w:val="20"/>
                <w:color w:val="auto"/>
              </w:rPr>
            </w:pPr>
          </w:p>
        </w:tc>
        <w:tc>
          <w:tcPr>
            <w:tcW w:w="1500" w:type="dxa"/>
            <w:vAlign w:val="bottom"/>
            <w:tcBorders>
              <w:bottom w:val="single" w:sz="8" w:color="7F7F7F"/>
            </w:tcBorders>
          </w:tcPr>
          <w:p>
            <w:pPr>
              <w:spacing w:after="0"/>
              <w:rPr>
                <w:sz w:val="20"/>
                <w:szCs w:val="20"/>
                <w:color w:val="auto"/>
              </w:rPr>
            </w:pPr>
          </w:p>
        </w:tc>
        <w:tc>
          <w:tcPr>
            <w:tcW w:w="3340" w:type="dxa"/>
            <w:vAlign w:val="bottom"/>
            <w:tcBorders>
              <w:bottom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462"/>
        </w:trPr>
        <w:tc>
          <w:tcPr>
            <w:tcW w:w="4060" w:type="dxa"/>
            <w:vAlign w:val="bottom"/>
          </w:tcPr>
          <w:p>
            <w:pPr>
              <w:ind w:left="1140"/>
              <w:spacing w:after="0"/>
              <w:rPr>
                <w:sz w:val="20"/>
                <w:szCs w:val="20"/>
                <w:color w:val="auto"/>
              </w:rPr>
            </w:pPr>
            <w:r>
              <w:rPr>
                <w:rFonts w:ascii="Arial" w:cs="Arial" w:eastAsia="Arial" w:hAnsi="Arial"/>
                <w:sz w:val="16"/>
                <w:szCs w:val="16"/>
                <w:b w:val="1"/>
                <w:bCs w:val="1"/>
                <w:color w:val="auto"/>
              </w:rPr>
              <w:t>Leslie A. Murphy</w:t>
            </w:r>
          </w:p>
        </w:tc>
        <w:tc>
          <w:tcPr>
            <w:tcW w:w="760" w:type="dxa"/>
            <w:vAlign w:val="bottom"/>
            <w:vMerge w:val="restart"/>
          </w:tcPr>
          <w:p>
            <w:pPr>
              <w:jc w:val="center"/>
              <w:ind w:left="101"/>
              <w:spacing w:after="0"/>
              <w:rPr>
                <w:sz w:val="20"/>
                <w:szCs w:val="20"/>
                <w:color w:val="auto"/>
              </w:rPr>
            </w:pPr>
            <w:r>
              <w:rPr>
                <w:rFonts w:ascii="Arial" w:cs="Arial" w:eastAsia="Arial" w:hAnsi="Arial"/>
                <w:sz w:val="16"/>
                <w:szCs w:val="16"/>
                <w:color w:val="auto"/>
              </w:rPr>
              <w:t>72</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2008</w:t>
            </w:r>
          </w:p>
        </w:tc>
        <w:tc>
          <w:tcPr>
            <w:tcW w:w="15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color w:val="0A9E50"/>
                <w:w w:val="82"/>
              </w:rPr>
              <w:t>●</w:t>
            </w:r>
          </w:p>
        </w:tc>
        <w:tc>
          <w:tcPr>
            <w:tcW w:w="3340" w:type="dxa"/>
            <w:vAlign w:val="bottom"/>
          </w:tcPr>
          <w:p>
            <w:pPr>
              <w:jc w:val="center"/>
              <w:ind w:right="1"/>
              <w:spacing w:after="0"/>
              <w:rPr>
                <w:sz w:val="20"/>
                <w:szCs w:val="20"/>
                <w:color w:val="auto"/>
              </w:rPr>
            </w:pPr>
            <w:r>
              <w:rPr>
                <w:rFonts w:ascii="Arial" w:cs="Arial" w:eastAsia="Arial" w:hAnsi="Arial"/>
                <w:sz w:val="16"/>
                <w:szCs w:val="16"/>
                <w:color w:val="auto"/>
                <w:w w:val="97"/>
              </w:rPr>
              <w:t xml:space="preserve">Audit </w:t>
            </w:r>
            <w:r>
              <w:rPr>
                <w:rFonts w:ascii="Arial" w:cs="Arial" w:eastAsia="Arial" w:hAnsi="Arial"/>
                <w:sz w:val="16"/>
                <w:szCs w:val="16"/>
                <w:b w:val="1"/>
                <w:bCs w:val="1"/>
                <w:color w:val="auto"/>
                <w:w w:val="97"/>
              </w:rPr>
              <w:t>(Chair)</w:t>
            </w:r>
            <w:r>
              <w:rPr>
                <w:rFonts w:ascii="Arial" w:cs="Arial" w:eastAsia="Arial" w:hAnsi="Arial"/>
                <w:sz w:val="16"/>
                <w:szCs w:val="16"/>
                <w:color w:val="auto"/>
                <w:w w:val="97"/>
              </w:rPr>
              <w:t>, Compensation and</w:t>
            </w:r>
          </w:p>
        </w:tc>
        <w:tc>
          <w:tcPr>
            <w:tcW w:w="0" w:type="dxa"/>
            <w:vAlign w:val="bottom"/>
          </w:tcPr>
          <w:p>
            <w:pPr>
              <w:spacing w:after="0"/>
              <w:rPr>
                <w:sz w:val="1"/>
                <w:szCs w:val="1"/>
                <w:color w:val="auto"/>
              </w:rPr>
            </w:pPr>
          </w:p>
        </w:tc>
      </w:tr>
      <w:tr>
        <w:trPr>
          <w:trHeight w:val="127"/>
        </w:trPr>
        <w:tc>
          <w:tcPr>
            <w:tcW w:w="4060" w:type="dxa"/>
            <w:vAlign w:val="bottom"/>
            <w:vMerge w:val="restart"/>
          </w:tcPr>
          <w:p>
            <w:pPr>
              <w:ind w:left="1140"/>
              <w:spacing w:after="0"/>
              <w:rPr>
                <w:sz w:val="20"/>
                <w:szCs w:val="20"/>
                <w:color w:val="auto"/>
              </w:rPr>
            </w:pPr>
            <w:r>
              <w:rPr>
                <w:rFonts w:ascii="Arial" w:cs="Arial" w:eastAsia="Arial" w:hAnsi="Arial"/>
                <w:sz w:val="16"/>
                <w:szCs w:val="16"/>
                <w:color w:val="auto"/>
              </w:rPr>
              <w:t>Director</w:t>
            </w:r>
          </w:p>
        </w:tc>
        <w:tc>
          <w:tcPr>
            <w:tcW w:w="7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3340" w:type="dxa"/>
            <w:vAlign w:val="bottom"/>
            <w:vMerge w:val="restart"/>
          </w:tcPr>
          <w:p>
            <w:pPr>
              <w:jc w:val="center"/>
              <w:ind w:right="1"/>
              <w:spacing w:after="0"/>
              <w:rPr>
                <w:sz w:val="20"/>
                <w:szCs w:val="20"/>
                <w:color w:val="auto"/>
              </w:rPr>
            </w:pPr>
            <w:r>
              <w:rPr>
                <w:rFonts w:ascii="Arial" w:cs="Arial" w:eastAsia="Arial" w:hAnsi="Arial"/>
                <w:sz w:val="16"/>
                <w:szCs w:val="16"/>
                <w:color w:val="auto"/>
                <w:w w:val="96"/>
              </w:rPr>
              <w:t>Talent Management</w:t>
            </w:r>
          </w:p>
        </w:tc>
        <w:tc>
          <w:tcPr>
            <w:tcW w:w="0" w:type="dxa"/>
            <w:vAlign w:val="bottom"/>
          </w:tcPr>
          <w:p>
            <w:pPr>
              <w:spacing w:after="0"/>
              <w:rPr>
                <w:sz w:val="1"/>
                <w:szCs w:val="1"/>
                <w:color w:val="auto"/>
              </w:rPr>
            </w:pPr>
          </w:p>
        </w:tc>
      </w:tr>
      <w:tr>
        <w:trPr>
          <w:trHeight w:val="78"/>
        </w:trPr>
        <w:tc>
          <w:tcPr>
            <w:tcW w:w="40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7"/>
        </w:trPr>
        <w:tc>
          <w:tcPr>
            <w:tcW w:w="4060" w:type="dxa"/>
            <w:vAlign w:val="bottom"/>
            <w:tcBorders>
              <w:bottom w:val="single" w:sz="8" w:color="7F7F7F"/>
            </w:tcBorders>
          </w:tcPr>
          <w:p>
            <w:pPr>
              <w:spacing w:after="0"/>
              <w:rPr>
                <w:sz w:val="24"/>
                <w:szCs w:val="24"/>
                <w:color w:val="auto"/>
              </w:rPr>
            </w:pPr>
          </w:p>
        </w:tc>
        <w:tc>
          <w:tcPr>
            <w:tcW w:w="760" w:type="dxa"/>
            <w:vAlign w:val="bottom"/>
            <w:tcBorders>
              <w:bottom w:val="single" w:sz="8" w:color="7F7F7F"/>
            </w:tcBorders>
          </w:tcPr>
          <w:p>
            <w:pPr>
              <w:spacing w:after="0"/>
              <w:rPr>
                <w:sz w:val="24"/>
                <w:szCs w:val="24"/>
                <w:color w:val="auto"/>
              </w:rPr>
            </w:pPr>
          </w:p>
        </w:tc>
        <w:tc>
          <w:tcPr>
            <w:tcW w:w="960" w:type="dxa"/>
            <w:vAlign w:val="bottom"/>
            <w:tcBorders>
              <w:bottom w:val="single" w:sz="8" w:color="7F7F7F"/>
            </w:tcBorders>
          </w:tcPr>
          <w:p>
            <w:pPr>
              <w:spacing w:after="0"/>
              <w:rPr>
                <w:sz w:val="24"/>
                <w:szCs w:val="24"/>
                <w:color w:val="auto"/>
              </w:rPr>
            </w:pPr>
          </w:p>
        </w:tc>
        <w:tc>
          <w:tcPr>
            <w:tcW w:w="1500" w:type="dxa"/>
            <w:vAlign w:val="bottom"/>
            <w:tcBorders>
              <w:bottom w:val="single" w:sz="8" w:color="7F7F7F"/>
            </w:tcBorders>
          </w:tcPr>
          <w:p>
            <w:pPr>
              <w:spacing w:after="0"/>
              <w:rPr>
                <w:sz w:val="24"/>
                <w:szCs w:val="24"/>
                <w:color w:val="auto"/>
              </w:rPr>
            </w:pPr>
          </w:p>
        </w:tc>
        <w:tc>
          <w:tcPr>
            <w:tcW w:w="334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60" w:type="dxa"/>
            <w:vAlign w:val="bottom"/>
          </w:tcPr>
          <w:p>
            <w:pPr>
              <w:ind w:left="1140"/>
              <w:spacing w:after="0"/>
              <w:rPr>
                <w:sz w:val="20"/>
                <w:szCs w:val="20"/>
                <w:color w:val="auto"/>
              </w:rPr>
            </w:pPr>
            <w:r>
              <w:rPr>
                <w:rFonts w:ascii="Arial" w:cs="Arial" w:eastAsia="Arial" w:hAnsi="Arial"/>
                <w:sz w:val="16"/>
                <w:szCs w:val="16"/>
                <w:b w:val="1"/>
                <w:bCs w:val="1"/>
                <w:color w:val="auto"/>
              </w:rPr>
              <w:t>Donald R. Parfet</w:t>
            </w:r>
          </w:p>
        </w:tc>
        <w:tc>
          <w:tcPr>
            <w:tcW w:w="760" w:type="dxa"/>
            <w:vAlign w:val="bottom"/>
            <w:vMerge w:val="restart"/>
          </w:tcPr>
          <w:p>
            <w:pPr>
              <w:jc w:val="center"/>
              <w:ind w:left="101"/>
              <w:spacing w:after="0"/>
              <w:rPr>
                <w:sz w:val="20"/>
                <w:szCs w:val="20"/>
                <w:color w:val="auto"/>
              </w:rPr>
            </w:pPr>
            <w:r>
              <w:rPr>
                <w:rFonts w:ascii="Arial" w:cs="Arial" w:eastAsia="Arial" w:hAnsi="Arial"/>
                <w:sz w:val="16"/>
                <w:szCs w:val="16"/>
                <w:color w:val="auto"/>
              </w:rPr>
              <w:t>71</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2004</w:t>
            </w:r>
          </w:p>
        </w:tc>
        <w:tc>
          <w:tcPr>
            <w:tcW w:w="15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color w:val="0A9E50"/>
                <w:w w:val="82"/>
              </w:rPr>
              <w:t>●</w:t>
            </w:r>
          </w:p>
        </w:tc>
        <w:tc>
          <w:tcPr>
            <w:tcW w:w="3340" w:type="dxa"/>
            <w:vAlign w:val="bottom"/>
            <w:vMerge w:val="restart"/>
          </w:tcPr>
          <w:p>
            <w:pPr>
              <w:jc w:val="center"/>
              <w:ind w:right="1"/>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27"/>
        </w:trPr>
        <w:tc>
          <w:tcPr>
            <w:tcW w:w="4060" w:type="dxa"/>
            <w:vAlign w:val="bottom"/>
            <w:vMerge w:val="restart"/>
          </w:tcPr>
          <w:p>
            <w:pPr>
              <w:ind w:left="1140"/>
              <w:spacing w:after="0"/>
              <w:rPr>
                <w:sz w:val="20"/>
                <w:szCs w:val="20"/>
                <w:color w:val="auto"/>
              </w:rPr>
            </w:pPr>
            <w:r>
              <w:rPr>
                <w:rFonts w:ascii="Arial" w:cs="Arial" w:eastAsia="Arial" w:hAnsi="Arial"/>
                <w:sz w:val="16"/>
                <w:szCs w:val="16"/>
                <w:color w:val="auto"/>
              </w:rPr>
              <w:t>Director</w:t>
            </w:r>
          </w:p>
        </w:tc>
        <w:tc>
          <w:tcPr>
            <w:tcW w:w="7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40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207645</wp:posOffset>
            </wp:positionV>
            <wp:extent cx="6740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-5474970</wp:posOffset>
            </wp:positionV>
            <wp:extent cx="479425" cy="4794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9425" cy="47942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-4830445</wp:posOffset>
            </wp:positionV>
            <wp:extent cx="479425" cy="4794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9425" cy="47942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-4186555</wp:posOffset>
            </wp:positionV>
            <wp:extent cx="479425" cy="4794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9425" cy="47942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-3542030</wp:posOffset>
            </wp:positionV>
            <wp:extent cx="479425" cy="4794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9425" cy="47942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-2897505</wp:posOffset>
            </wp:positionV>
            <wp:extent cx="479425" cy="4794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9425" cy="47942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-2252980</wp:posOffset>
            </wp:positionV>
            <wp:extent cx="479425" cy="4794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9425" cy="47942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-1609090</wp:posOffset>
            </wp:positionV>
            <wp:extent cx="479425" cy="4794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9425" cy="47942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-964565</wp:posOffset>
            </wp:positionV>
            <wp:extent cx="479425" cy="4794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9425" cy="47942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-320040</wp:posOffset>
            </wp:positionV>
            <wp:extent cx="479425" cy="4794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9425" cy="479425"/>
                    </a:xfrm>
                    <a:prstGeom prst="rect">
                      <a:avLst/>
                    </a:prstGeom>
                    <a:noFill/>
                  </pic:spPr>
                </pic:pic>
              </a:graphicData>
            </a:graphic>
          </wp:anchor>
        </w:drawing>
      </w:r>
    </w:p>
    <w:p>
      <w:pPr>
        <w:spacing w:after="0" w:line="365"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38"/>
          <w:szCs w:val="38"/>
          <w:color w:val="auto"/>
          <w:vertAlign w:val="superscript"/>
        </w:rPr>
        <w:t>6 </w:t>
      </w:r>
      <w:r>
        <w:rPr>
          <w:sz w:val="20"/>
          <w:szCs w:val="20"/>
          <w:color w:val="auto"/>
        </w:rPr>
        <w:tab/>
      </w:r>
      <w:r>
        <w:rPr>
          <w:rFonts w:ascii="Arial" w:cs="Arial" w:eastAsia="Arial" w:hAnsi="Arial"/>
          <w:sz w:val="20"/>
          <w:szCs w:val="20"/>
          <w:color w:val="auto"/>
        </w:rPr>
        <w:t xml:space="preserve">    </w:t>
      </w:r>
      <w:r>
        <w:rPr>
          <w:sz w:val="1"/>
          <w:szCs w:val="1"/>
          <w:color w:val="auto"/>
        </w:rPr>
        <w:drawing>
          <wp:inline distT="0" distB="0" distL="0" distR="0">
            <wp:extent cx="396240" cy="18986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-214630</wp:posOffset>
            </wp:positionV>
            <wp:extent cx="8255"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Proxy Summary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Corporate Governance Highlights</w:t>
      </w:r>
    </w:p>
    <w:p>
      <w:pPr>
        <w:spacing w:after="0" w:line="85" w:lineRule="exact"/>
        <w:rPr>
          <w:sz w:val="20"/>
          <w:szCs w:val="20"/>
          <w:color w:val="auto"/>
        </w:rPr>
      </w:pPr>
    </w:p>
    <w:p>
      <w:pPr>
        <w:ind w:left="320" w:right="160"/>
        <w:spacing w:after="0" w:line="265" w:lineRule="auto"/>
        <w:rPr>
          <w:sz w:val="20"/>
          <w:szCs w:val="20"/>
          <w:color w:val="auto"/>
        </w:rPr>
      </w:pPr>
      <w:r>
        <w:rPr>
          <w:rFonts w:ascii="Arial" w:cs="Arial" w:eastAsia="Arial" w:hAnsi="Arial"/>
          <w:sz w:val="16"/>
          <w:szCs w:val="16"/>
          <w:color w:val="auto"/>
        </w:rPr>
        <w:t>Kelly is committed to sound corporate governance as a means of enhancing long-term shareholder value. The following table summarizes certain of our governance practices and processes.</w:t>
      </w:r>
    </w:p>
    <w:p>
      <w:pPr>
        <w:spacing w:after="0" w:line="195"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364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0A9E50"/>
              </w:rPr>
              <w:t>Independence</w:t>
            </w:r>
          </w:p>
        </w:tc>
        <w:tc>
          <w:tcPr>
            <w:tcW w:w="364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0A9E50"/>
              </w:rPr>
              <w:t>Accountability</w:t>
            </w:r>
          </w:p>
        </w:tc>
        <w:tc>
          <w:tcPr>
            <w:tcW w:w="334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0A9E50"/>
              </w:rPr>
              <w:t>Best Practices</w:t>
            </w:r>
          </w:p>
        </w:tc>
      </w:tr>
      <w:tr>
        <w:trPr>
          <w:trHeight w:val="215"/>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Majority independent Board (89%), including</w:t>
            </w:r>
          </w:p>
        </w:tc>
        <w:tc>
          <w:tcPr>
            <w:tcW w:w="3640" w:type="dxa"/>
            <w:vAlign w:val="bottom"/>
          </w:tcPr>
          <w:p>
            <w:pPr>
              <w:ind w:left="4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Annual election of all directors, including</w:t>
            </w:r>
          </w:p>
        </w:tc>
        <w:tc>
          <w:tcPr>
            <w:tcW w:w="3340" w:type="dxa"/>
            <w:vAlign w:val="bottom"/>
          </w:tcPr>
          <w:p>
            <w:pPr>
              <w:ind w:left="1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Robust director selection process resulting</w:t>
            </w:r>
          </w:p>
        </w:tc>
      </w:tr>
      <w:tr>
        <w:trPr>
          <w:trHeight w:val="182"/>
        </w:trPr>
        <w:tc>
          <w:tcPr>
            <w:tcW w:w="3640" w:type="dxa"/>
            <w:vAlign w:val="bottom"/>
          </w:tcPr>
          <w:p>
            <w:pPr>
              <w:ind w:left="160"/>
              <w:spacing w:after="0" w:line="182" w:lineRule="exact"/>
              <w:rPr>
                <w:sz w:val="20"/>
                <w:szCs w:val="20"/>
                <w:color w:val="auto"/>
              </w:rPr>
            </w:pPr>
            <w:r>
              <w:rPr>
                <w:rFonts w:ascii="Arial" w:cs="Arial" w:eastAsia="Arial" w:hAnsi="Arial"/>
                <w:sz w:val="16"/>
                <w:szCs w:val="16"/>
                <w:color w:val="auto"/>
              </w:rPr>
              <w:t>independent Chairman of the Board</w:t>
            </w:r>
          </w:p>
        </w:tc>
        <w:tc>
          <w:tcPr>
            <w:tcW w:w="3640" w:type="dxa"/>
            <w:vAlign w:val="bottom"/>
          </w:tcPr>
          <w:p>
            <w:pPr>
              <w:ind w:left="580"/>
              <w:spacing w:after="0" w:line="182" w:lineRule="exact"/>
              <w:rPr>
                <w:sz w:val="20"/>
                <w:szCs w:val="20"/>
                <w:color w:val="auto"/>
              </w:rPr>
            </w:pPr>
            <w:r>
              <w:rPr>
                <w:rFonts w:ascii="Arial" w:cs="Arial" w:eastAsia="Arial" w:hAnsi="Arial"/>
                <w:sz w:val="16"/>
                <w:szCs w:val="16"/>
                <w:color w:val="auto"/>
              </w:rPr>
              <w:t>Chairman of the Board</w:t>
            </w:r>
          </w:p>
        </w:tc>
        <w:tc>
          <w:tcPr>
            <w:tcW w:w="3340" w:type="dxa"/>
            <w:vAlign w:val="bottom"/>
          </w:tcPr>
          <w:p>
            <w:pPr>
              <w:ind w:left="320"/>
              <w:spacing w:after="0" w:line="182" w:lineRule="exact"/>
              <w:rPr>
                <w:sz w:val="20"/>
                <w:szCs w:val="20"/>
                <w:color w:val="auto"/>
              </w:rPr>
            </w:pPr>
            <w:r>
              <w:rPr>
                <w:rFonts w:ascii="Arial" w:cs="Arial" w:eastAsia="Arial" w:hAnsi="Arial"/>
                <w:sz w:val="16"/>
                <w:szCs w:val="16"/>
                <w:color w:val="auto"/>
              </w:rPr>
              <w:t>in diverse Board relative to gender, race,</w:t>
            </w:r>
          </w:p>
        </w:tc>
      </w:tr>
      <w:tr>
        <w:trPr>
          <w:trHeight w:val="205"/>
        </w:trPr>
        <w:tc>
          <w:tcPr>
            <w:tcW w:w="36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340" w:type="dxa"/>
            <w:vAlign w:val="bottom"/>
          </w:tcPr>
          <w:p>
            <w:pPr>
              <w:ind w:left="320"/>
              <w:spacing w:after="0"/>
              <w:rPr>
                <w:sz w:val="20"/>
                <w:szCs w:val="20"/>
                <w:color w:val="auto"/>
              </w:rPr>
            </w:pPr>
            <w:r>
              <w:rPr>
                <w:rFonts w:ascii="Arial" w:cs="Arial" w:eastAsia="Arial" w:hAnsi="Arial"/>
                <w:sz w:val="16"/>
                <w:szCs w:val="16"/>
                <w:color w:val="auto"/>
              </w:rPr>
              <w:t>ethnicity, experience, and skills</w:t>
            </w:r>
          </w:p>
        </w:tc>
      </w:tr>
      <w:tr>
        <w:trPr>
          <w:trHeight w:val="54"/>
        </w:trPr>
        <w:tc>
          <w:tcPr>
            <w:tcW w:w="3640" w:type="dxa"/>
            <w:vAlign w:val="bottom"/>
            <w:tcBorders>
              <w:bottom w:val="single" w:sz="8" w:color="7F7F7F"/>
            </w:tcBorders>
          </w:tcPr>
          <w:p>
            <w:pPr>
              <w:spacing w:after="0"/>
              <w:rPr>
                <w:sz w:val="4"/>
                <w:szCs w:val="4"/>
                <w:color w:val="auto"/>
              </w:rPr>
            </w:pPr>
          </w:p>
        </w:tc>
        <w:tc>
          <w:tcPr>
            <w:tcW w:w="3640" w:type="dxa"/>
            <w:vAlign w:val="bottom"/>
            <w:tcBorders>
              <w:bottom w:val="single" w:sz="8" w:color="7F7F7F"/>
            </w:tcBorders>
          </w:tcPr>
          <w:p>
            <w:pPr>
              <w:spacing w:after="0"/>
              <w:rPr>
                <w:sz w:val="4"/>
                <w:szCs w:val="4"/>
                <w:color w:val="auto"/>
              </w:rPr>
            </w:pPr>
          </w:p>
        </w:tc>
        <w:tc>
          <w:tcPr>
            <w:tcW w:w="3340" w:type="dxa"/>
            <w:vAlign w:val="bottom"/>
            <w:tcBorders>
              <w:bottom w:val="single" w:sz="8" w:color="7F7F7F"/>
            </w:tcBorders>
          </w:tcPr>
          <w:p>
            <w:pPr>
              <w:spacing w:after="0"/>
              <w:rPr>
                <w:sz w:val="4"/>
                <w:szCs w:val="4"/>
                <w:color w:val="auto"/>
              </w:rPr>
            </w:pPr>
          </w:p>
        </w:tc>
      </w:tr>
      <w:tr>
        <w:trPr>
          <w:trHeight w:val="215"/>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100% Independent Board Committees</w:t>
            </w:r>
          </w:p>
        </w:tc>
        <w:tc>
          <w:tcPr>
            <w:tcW w:w="3640" w:type="dxa"/>
            <w:vAlign w:val="bottom"/>
          </w:tcPr>
          <w:p>
            <w:pPr>
              <w:ind w:left="4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Strong oversight of strategic planning,</w:t>
            </w:r>
          </w:p>
        </w:tc>
        <w:tc>
          <w:tcPr>
            <w:tcW w:w="3340" w:type="dxa"/>
            <w:vAlign w:val="bottom"/>
          </w:tcPr>
          <w:p>
            <w:pPr>
              <w:ind w:left="1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Board attendance of 97.5% during 2023</w:t>
            </w:r>
          </w:p>
        </w:tc>
      </w:tr>
      <w:tr>
        <w:trPr>
          <w:trHeight w:val="182"/>
        </w:trPr>
        <w:tc>
          <w:tcPr>
            <w:tcW w:w="3640" w:type="dxa"/>
            <w:vAlign w:val="bottom"/>
          </w:tcPr>
          <w:p>
            <w:pPr>
              <w:spacing w:after="0"/>
              <w:rPr>
                <w:sz w:val="15"/>
                <w:szCs w:val="15"/>
                <w:color w:val="auto"/>
              </w:rPr>
            </w:pPr>
          </w:p>
        </w:tc>
        <w:tc>
          <w:tcPr>
            <w:tcW w:w="3640" w:type="dxa"/>
            <w:vAlign w:val="bottom"/>
          </w:tcPr>
          <w:p>
            <w:pPr>
              <w:ind w:left="580"/>
              <w:spacing w:after="0" w:line="182" w:lineRule="exact"/>
              <w:rPr>
                <w:sz w:val="20"/>
                <w:szCs w:val="20"/>
                <w:color w:val="auto"/>
              </w:rPr>
            </w:pPr>
            <w:r>
              <w:rPr>
                <w:rFonts w:ascii="Arial" w:cs="Arial" w:eastAsia="Arial" w:hAnsi="Arial"/>
                <w:sz w:val="16"/>
                <w:szCs w:val="16"/>
                <w:color w:val="auto"/>
              </w:rPr>
              <w:t>objectives, and financial performance</w:t>
            </w:r>
          </w:p>
        </w:tc>
        <w:tc>
          <w:tcPr>
            <w:tcW w:w="3340" w:type="dxa"/>
            <w:vAlign w:val="bottom"/>
          </w:tcPr>
          <w:p>
            <w:pPr>
              <w:spacing w:after="0"/>
              <w:rPr>
                <w:sz w:val="15"/>
                <w:szCs w:val="15"/>
                <w:color w:val="auto"/>
              </w:rPr>
            </w:pPr>
          </w:p>
        </w:tc>
      </w:tr>
      <w:tr>
        <w:trPr>
          <w:trHeight w:val="182"/>
        </w:trPr>
        <w:tc>
          <w:tcPr>
            <w:tcW w:w="3640" w:type="dxa"/>
            <w:vAlign w:val="bottom"/>
          </w:tcPr>
          <w:p>
            <w:pPr>
              <w:spacing w:after="0"/>
              <w:rPr>
                <w:sz w:val="15"/>
                <w:szCs w:val="15"/>
                <w:color w:val="auto"/>
              </w:rPr>
            </w:pPr>
          </w:p>
        </w:tc>
        <w:tc>
          <w:tcPr>
            <w:tcW w:w="3640" w:type="dxa"/>
            <w:vAlign w:val="bottom"/>
          </w:tcPr>
          <w:p>
            <w:pPr>
              <w:ind w:left="580"/>
              <w:spacing w:after="0" w:line="182" w:lineRule="exact"/>
              <w:rPr>
                <w:sz w:val="20"/>
                <w:szCs w:val="20"/>
                <w:color w:val="auto"/>
              </w:rPr>
            </w:pPr>
            <w:r>
              <w:rPr>
                <w:rFonts w:ascii="Arial" w:cs="Arial" w:eastAsia="Arial" w:hAnsi="Arial"/>
                <w:sz w:val="16"/>
                <w:szCs w:val="16"/>
                <w:color w:val="auto"/>
              </w:rPr>
              <w:t>including dedicated annual Board meeting</w:t>
            </w:r>
          </w:p>
        </w:tc>
        <w:tc>
          <w:tcPr>
            <w:tcW w:w="3340" w:type="dxa"/>
            <w:vAlign w:val="bottom"/>
          </w:tcPr>
          <w:p>
            <w:pPr>
              <w:spacing w:after="0"/>
              <w:rPr>
                <w:sz w:val="15"/>
                <w:szCs w:val="15"/>
                <w:color w:val="auto"/>
              </w:rPr>
            </w:pPr>
          </w:p>
        </w:tc>
      </w:tr>
      <w:tr>
        <w:trPr>
          <w:trHeight w:val="205"/>
        </w:trPr>
        <w:tc>
          <w:tcPr>
            <w:tcW w:w="3640" w:type="dxa"/>
            <w:vAlign w:val="bottom"/>
          </w:tcPr>
          <w:p>
            <w:pPr>
              <w:spacing w:after="0"/>
              <w:rPr>
                <w:sz w:val="17"/>
                <w:szCs w:val="17"/>
                <w:color w:val="auto"/>
              </w:rPr>
            </w:pPr>
          </w:p>
        </w:tc>
        <w:tc>
          <w:tcPr>
            <w:tcW w:w="3640" w:type="dxa"/>
            <w:vAlign w:val="bottom"/>
          </w:tcPr>
          <w:p>
            <w:pPr>
              <w:ind w:left="580"/>
              <w:spacing w:after="0"/>
              <w:rPr>
                <w:sz w:val="20"/>
                <w:szCs w:val="20"/>
                <w:color w:val="auto"/>
              </w:rPr>
            </w:pPr>
            <w:r>
              <w:rPr>
                <w:rFonts w:ascii="Arial" w:cs="Arial" w:eastAsia="Arial" w:hAnsi="Arial"/>
                <w:sz w:val="16"/>
                <w:szCs w:val="16"/>
                <w:color w:val="auto"/>
              </w:rPr>
              <w:t>focused on strategic planning</w:t>
            </w:r>
          </w:p>
        </w:tc>
        <w:tc>
          <w:tcPr>
            <w:tcW w:w="33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34290</wp:posOffset>
            </wp:positionV>
            <wp:extent cx="6740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107" w:lineRule="exact"/>
        <w:rPr>
          <w:sz w:val="20"/>
          <w:szCs w:val="20"/>
          <w:color w:val="auto"/>
        </w:rPr>
      </w:pPr>
    </w:p>
    <w:p>
      <w:pPr>
        <w:ind w:left="480" w:right="60" w:hanging="155"/>
        <w:spacing w:after="0" w:line="296"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Diverse and highly skilled Board that provides a</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range of viewpoints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hanging="155"/>
        <w:spacing w:after="0" w:line="296"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Annual evaluation of CEO (including</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compensation) by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356235</wp:posOffset>
            </wp:positionV>
            <wp:extent cx="6740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60" w:hanging="155"/>
        <w:spacing w:after="0" w:line="264"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Strong oversight of the integrity of the</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Company’s financial statements, as well as cybersecurity and Enterprise Risk Management (“ERM”) by the Board and Audit Committee</w:t>
      </w:r>
    </w:p>
    <w:p>
      <w:pPr>
        <w:spacing w:after="0" w:line="91" w:lineRule="exact"/>
        <w:rPr>
          <w:sz w:val="20"/>
          <w:szCs w:val="20"/>
          <w:color w:val="auto"/>
        </w:rPr>
      </w:pPr>
    </w:p>
    <w:p>
      <w:pPr>
        <w:sectPr>
          <w:pgSz w:w="11900" w:h="16838" w:orient="portrait"/>
          <w:cols w:equalWidth="0" w:num="3">
            <w:col w:w="3820" w:space="720"/>
            <w:col w:w="2760" w:space="620"/>
            <w:col w:w="3020"/>
          </w:cols>
          <w:pgMar w:left="320" w:top="471" w:right="639" w:bottom="1440" w:gutter="0" w:footer="0" w:header="0"/>
          <w:type w:val="continuous"/>
        </w:sectPr>
      </w:pPr>
    </w:p>
    <w:p>
      <w:pPr>
        <w:ind w:left="480" w:hanging="155"/>
        <w:spacing w:after="0" w:line="275"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Frequent executive sessions where independent</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directors meet without management and non-independent directors</w:t>
      </w:r>
    </w:p>
    <w:p>
      <w:pPr>
        <w:spacing w:after="0" w:line="20" w:lineRule="exact"/>
        <w:rPr>
          <w:sz w:val="20"/>
          <w:szCs w:val="20"/>
          <w:color w:val="auto"/>
        </w:rPr>
      </w:pPr>
      <w:r>
        <w:rPr>
          <w:sz w:val="20"/>
          <w:szCs w:val="20"/>
          <w:color w:val="auto"/>
        </w:rPr>
        <w:br w:type="column"/>
      </w:r>
    </w:p>
    <w:p>
      <w:pPr>
        <w:ind w:right="40" w:hanging="155"/>
        <w:spacing w:after="0" w:line="296"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Annual Board and Committee self-evaluations and bi-annual peer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356235</wp:posOffset>
            </wp:positionV>
            <wp:extent cx="6740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hanging="155"/>
        <w:spacing w:after="0" w:line="264"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CEO and executive leadership succession</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planning and annual talent review of key and rising talent by the Board and Compensation and Talent Management Committee</w:t>
      </w:r>
    </w:p>
    <w:p>
      <w:pPr>
        <w:spacing w:after="0" w:line="91" w:lineRule="exact"/>
        <w:rPr>
          <w:sz w:val="20"/>
          <w:szCs w:val="20"/>
          <w:color w:val="auto"/>
        </w:rPr>
      </w:pPr>
    </w:p>
    <w:p>
      <w:pPr>
        <w:sectPr>
          <w:pgSz w:w="11900" w:h="16838" w:orient="portrait"/>
          <w:cols w:equalWidth="0" w:num="3">
            <w:col w:w="3820" w:space="720"/>
            <w:col w:w="2660" w:space="720"/>
            <w:col w:w="3020"/>
          </w:cols>
          <w:pgMar w:left="320" w:top="471" w:right="639" w:bottom="1440" w:gutter="0" w:footer="0" w:header="0"/>
          <w:type w:val="continuous"/>
        </w:sectPr>
      </w:pPr>
    </w:p>
    <w:tbl>
      <w:tblPr>
        <w:tblLayout w:type="fixed"/>
        <w:tblInd w:w="320" w:type="dxa"/>
        <w:tblCellMar>
          <w:top w:w="0" w:type="dxa"/>
          <w:left w:w="0" w:type="dxa"/>
          <w:bottom w:w="0" w:type="dxa"/>
          <w:right w:w="0" w:type="dxa"/>
        </w:tblCellMar>
      </w:tblPr>
      <w:tr>
        <w:trPr>
          <w:trHeight w:val="182"/>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access to internal and external experts</w:t>
            </w:r>
          </w:p>
        </w:tc>
        <w:tc>
          <w:tcPr>
            <w:tcW w:w="3600" w:type="dxa"/>
            <w:vAlign w:val="bottom"/>
          </w:tcPr>
          <w:p>
            <w:pPr>
              <w:ind w:left="3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Annual review of corporate governance</w:t>
            </w:r>
          </w:p>
        </w:tc>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Policies prohibiting short-sales, hedging,</w:t>
            </w:r>
          </w:p>
        </w:tc>
      </w:tr>
      <w:tr>
        <w:trPr>
          <w:trHeight w:val="205"/>
        </w:trPr>
        <w:tc>
          <w:tcPr>
            <w:tcW w:w="3740" w:type="dxa"/>
            <w:vAlign w:val="bottom"/>
          </w:tcPr>
          <w:p>
            <w:pPr>
              <w:ind w:left="160"/>
              <w:spacing w:after="0"/>
              <w:rPr>
                <w:sz w:val="20"/>
                <w:szCs w:val="20"/>
                <w:color w:val="auto"/>
              </w:rPr>
            </w:pPr>
            <w:r>
              <w:rPr>
                <w:rFonts w:ascii="Arial" w:cs="Arial" w:eastAsia="Arial" w:hAnsi="Arial"/>
                <w:sz w:val="16"/>
                <w:szCs w:val="16"/>
                <w:color w:val="auto"/>
              </w:rPr>
              <w:t>and advisors</w:t>
            </w:r>
          </w:p>
        </w:tc>
        <w:tc>
          <w:tcPr>
            <w:tcW w:w="3600" w:type="dxa"/>
            <w:vAlign w:val="bottom"/>
          </w:tcPr>
          <w:p>
            <w:pPr>
              <w:ind w:left="480"/>
              <w:spacing w:after="0"/>
              <w:rPr>
                <w:sz w:val="20"/>
                <w:szCs w:val="20"/>
                <w:color w:val="auto"/>
              </w:rPr>
            </w:pPr>
            <w:r>
              <w:rPr>
                <w:rFonts w:ascii="Arial" w:cs="Arial" w:eastAsia="Arial" w:hAnsi="Arial"/>
                <w:sz w:val="16"/>
                <w:szCs w:val="16"/>
                <w:color w:val="auto"/>
              </w:rPr>
              <w:t>documents to align with best practices</w:t>
            </w:r>
          </w:p>
        </w:tc>
        <w:tc>
          <w:tcPr>
            <w:tcW w:w="3280" w:type="dxa"/>
            <w:vAlign w:val="bottom"/>
          </w:tcPr>
          <w:p>
            <w:pPr>
              <w:ind w:left="260"/>
              <w:spacing w:after="0"/>
              <w:rPr>
                <w:sz w:val="20"/>
                <w:szCs w:val="20"/>
                <w:color w:val="auto"/>
              </w:rPr>
            </w:pPr>
            <w:r>
              <w:rPr>
                <w:rFonts w:ascii="Arial" w:cs="Arial" w:eastAsia="Arial" w:hAnsi="Arial"/>
                <w:sz w:val="16"/>
                <w:szCs w:val="16"/>
                <w:color w:val="auto"/>
              </w:rPr>
              <w:t>pledging, and margin accounts</w:t>
            </w:r>
          </w:p>
        </w:tc>
      </w:tr>
      <w:tr>
        <w:trPr>
          <w:trHeight w:val="54"/>
        </w:trPr>
        <w:tc>
          <w:tcPr>
            <w:tcW w:w="3740" w:type="dxa"/>
            <w:vAlign w:val="bottom"/>
            <w:tcBorders>
              <w:bottom w:val="single" w:sz="8" w:color="7F7F7F"/>
            </w:tcBorders>
          </w:tcPr>
          <w:p>
            <w:pPr>
              <w:spacing w:after="0"/>
              <w:rPr>
                <w:sz w:val="4"/>
                <w:szCs w:val="4"/>
                <w:color w:val="auto"/>
              </w:rPr>
            </w:pPr>
          </w:p>
        </w:tc>
        <w:tc>
          <w:tcPr>
            <w:tcW w:w="3600" w:type="dxa"/>
            <w:vAlign w:val="bottom"/>
            <w:tcBorders>
              <w:bottom w:val="single" w:sz="8" w:color="7F7F7F"/>
            </w:tcBorders>
          </w:tcPr>
          <w:p>
            <w:pPr>
              <w:spacing w:after="0"/>
              <w:rPr>
                <w:sz w:val="4"/>
                <w:szCs w:val="4"/>
                <w:color w:val="auto"/>
              </w:rPr>
            </w:pPr>
          </w:p>
        </w:tc>
        <w:tc>
          <w:tcPr>
            <w:tcW w:w="3280" w:type="dxa"/>
            <w:vAlign w:val="bottom"/>
            <w:tcBorders>
              <w:bottom w:val="single" w:sz="8" w:color="7F7F7F"/>
            </w:tcBorders>
          </w:tcPr>
          <w:p>
            <w:pPr>
              <w:spacing w:after="0"/>
              <w:rPr>
                <w:sz w:val="4"/>
                <w:szCs w:val="4"/>
                <w:color w:val="auto"/>
              </w:rPr>
            </w:pPr>
          </w:p>
        </w:tc>
      </w:tr>
      <w:tr>
        <w:trPr>
          <w:trHeight w:val="215"/>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No related-party transactions between the</w:t>
            </w:r>
          </w:p>
        </w:tc>
        <w:tc>
          <w:tcPr>
            <w:tcW w:w="3600" w:type="dxa"/>
            <w:vAlign w:val="bottom"/>
          </w:tcPr>
          <w:p>
            <w:pPr>
              <w:ind w:left="3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 longstanding Clawback Policy that applies</w:t>
            </w:r>
          </w:p>
        </w:tc>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Strong oversight of Environmental, Social</w:t>
            </w:r>
          </w:p>
        </w:tc>
      </w:tr>
      <w:tr>
        <w:trPr>
          <w:trHeight w:val="182"/>
        </w:trPr>
        <w:tc>
          <w:tcPr>
            <w:tcW w:w="3740" w:type="dxa"/>
            <w:vAlign w:val="bottom"/>
          </w:tcPr>
          <w:p>
            <w:pPr>
              <w:ind w:left="160"/>
              <w:spacing w:after="0" w:line="182" w:lineRule="exact"/>
              <w:rPr>
                <w:sz w:val="20"/>
                <w:szCs w:val="20"/>
                <w:color w:val="auto"/>
              </w:rPr>
            </w:pPr>
            <w:r>
              <w:rPr>
                <w:rFonts w:ascii="Arial" w:cs="Arial" w:eastAsia="Arial" w:hAnsi="Arial"/>
                <w:sz w:val="16"/>
                <w:szCs w:val="16"/>
                <w:color w:val="auto"/>
              </w:rPr>
              <w:t>Company and members of the Board or senior</w:t>
            </w:r>
          </w:p>
        </w:tc>
        <w:tc>
          <w:tcPr>
            <w:tcW w:w="3600" w:type="dxa"/>
            <w:vAlign w:val="bottom"/>
          </w:tcPr>
          <w:p>
            <w:pPr>
              <w:ind w:left="480"/>
              <w:spacing w:after="0" w:line="182" w:lineRule="exact"/>
              <w:rPr>
                <w:sz w:val="20"/>
                <w:szCs w:val="20"/>
                <w:color w:val="auto"/>
              </w:rPr>
            </w:pPr>
            <w:r>
              <w:rPr>
                <w:rFonts w:ascii="Arial" w:cs="Arial" w:eastAsia="Arial" w:hAnsi="Arial"/>
                <w:sz w:val="16"/>
                <w:szCs w:val="16"/>
                <w:color w:val="auto"/>
              </w:rPr>
              <w:t>to short-term and long-term incentive</w:t>
            </w:r>
          </w:p>
        </w:tc>
        <w:tc>
          <w:tcPr>
            <w:tcW w:w="3280" w:type="dxa"/>
            <w:vAlign w:val="bottom"/>
          </w:tcPr>
          <w:p>
            <w:pPr>
              <w:ind w:left="260"/>
              <w:spacing w:after="0" w:line="182" w:lineRule="exact"/>
              <w:rPr>
                <w:sz w:val="20"/>
                <w:szCs w:val="20"/>
                <w:color w:val="auto"/>
              </w:rPr>
            </w:pPr>
            <w:r>
              <w:rPr>
                <w:rFonts w:ascii="Arial" w:cs="Arial" w:eastAsia="Arial" w:hAnsi="Arial"/>
                <w:sz w:val="16"/>
                <w:szCs w:val="16"/>
                <w:color w:val="auto"/>
                <w:w w:val="99"/>
              </w:rPr>
              <w:t>and Governance (“ESG”) standards by the</w:t>
            </w:r>
          </w:p>
        </w:tc>
      </w:tr>
      <w:tr>
        <w:trPr>
          <w:trHeight w:val="182"/>
        </w:trPr>
        <w:tc>
          <w:tcPr>
            <w:tcW w:w="3740" w:type="dxa"/>
            <w:vAlign w:val="bottom"/>
          </w:tcPr>
          <w:p>
            <w:pPr>
              <w:ind w:left="160"/>
              <w:spacing w:after="0" w:line="182" w:lineRule="exact"/>
              <w:rPr>
                <w:sz w:val="20"/>
                <w:szCs w:val="20"/>
                <w:color w:val="auto"/>
              </w:rPr>
            </w:pPr>
            <w:r>
              <w:rPr>
                <w:rFonts w:ascii="Arial" w:cs="Arial" w:eastAsia="Arial" w:hAnsi="Arial"/>
                <w:sz w:val="16"/>
                <w:szCs w:val="16"/>
                <w:color w:val="auto"/>
              </w:rPr>
              <w:t>management</w:t>
            </w:r>
          </w:p>
        </w:tc>
        <w:tc>
          <w:tcPr>
            <w:tcW w:w="3600" w:type="dxa"/>
            <w:vAlign w:val="bottom"/>
          </w:tcPr>
          <w:p>
            <w:pPr>
              <w:ind w:left="480"/>
              <w:spacing w:after="0" w:line="182" w:lineRule="exact"/>
              <w:rPr>
                <w:sz w:val="20"/>
                <w:szCs w:val="20"/>
                <w:color w:val="auto"/>
              </w:rPr>
            </w:pPr>
            <w:r>
              <w:rPr>
                <w:rFonts w:ascii="Arial" w:cs="Arial" w:eastAsia="Arial" w:hAnsi="Arial"/>
                <w:sz w:val="16"/>
                <w:szCs w:val="16"/>
                <w:color w:val="auto"/>
                <w:w w:val="99"/>
              </w:rPr>
              <w:t>compensation plans for senior management</w:t>
            </w:r>
          </w:p>
        </w:tc>
        <w:tc>
          <w:tcPr>
            <w:tcW w:w="3280" w:type="dxa"/>
            <w:vAlign w:val="bottom"/>
          </w:tcPr>
          <w:p>
            <w:pPr>
              <w:ind w:left="260"/>
              <w:spacing w:after="0" w:line="182" w:lineRule="exact"/>
              <w:rPr>
                <w:sz w:val="20"/>
                <w:szCs w:val="20"/>
                <w:color w:val="auto"/>
              </w:rPr>
            </w:pPr>
            <w:r>
              <w:rPr>
                <w:rFonts w:ascii="Arial" w:cs="Arial" w:eastAsia="Arial" w:hAnsi="Arial"/>
                <w:sz w:val="16"/>
                <w:szCs w:val="16"/>
                <w:color w:val="auto"/>
              </w:rPr>
              <w:t>Board and Corporate Governance and</w:t>
            </w:r>
          </w:p>
        </w:tc>
      </w:tr>
      <w:tr>
        <w:trPr>
          <w:trHeight w:val="205"/>
        </w:trPr>
        <w:tc>
          <w:tcPr>
            <w:tcW w:w="37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280" w:type="dxa"/>
            <w:vAlign w:val="bottom"/>
          </w:tcPr>
          <w:p>
            <w:pPr>
              <w:ind w:left="260"/>
              <w:spacing w:after="0"/>
              <w:rPr>
                <w:sz w:val="20"/>
                <w:szCs w:val="20"/>
                <w:color w:val="auto"/>
              </w:rPr>
            </w:pPr>
            <w:r>
              <w:rPr>
                <w:rFonts w:ascii="Arial" w:cs="Arial" w:eastAsia="Arial" w:hAnsi="Arial"/>
                <w:sz w:val="16"/>
                <w:szCs w:val="16"/>
                <w:color w:val="auto"/>
              </w:rPr>
              <w:t>Nominating Committee</w:t>
            </w:r>
          </w:p>
        </w:tc>
      </w:tr>
    </w:tbl>
    <w:p>
      <w:pPr>
        <w:spacing w:after="0" w:line="107" w:lineRule="exact"/>
        <w:rPr>
          <w:sz w:val="20"/>
          <w:szCs w:val="20"/>
          <w:color w:val="auto"/>
        </w:rPr>
      </w:pPr>
    </w:p>
    <w:p>
      <w:pPr>
        <w:sectPr>
          <w:pgSz w:w="11900" w:h="16838" w:orient="portrait"/>
          <w:cols w:equalWidth="0" w:num="1">
            <w:col w:w="10940"/>
          </w:cols>
          <w:pgMar w:left="320" w:top="471" w:right="639" w:bottom="1440" w:gutter="0" w:footer="0" w:header="0"/>
          <w:type w:val="continuous"/>
        </w:sectPr>
      </w:pPr>
    </w:p>
    <w:p>
      <w:pPr>
        <w:ind w:left="438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Stock ownership requirements for directors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and senior management</w:t>
      </w:r>
    </w:p>
    <w:p>
      <w:pPr>
        <w:spacing w:after="0" w:line="20" w:lineRule="exact"/>
        <w:rPr>
          <w:sz w:val="20"/>
          <w:szCs w:val="20"/>
          <w:color w:val="auto"/>
        </w:rPr>
      </w:pPr>
      <w:r>
        <w:rPr>
          <w:sz w:val="20"/>
          <w:szCs w:val="20"/>
          <w:color w:val="auto"/>
        </w:rPr>
        <w:br w:type="column"/>
      </w:r>
    </w:p>
    <w:p>
      <w:pPr>
        <w:ind w:right="320" w:hanging="155"/>
        <w:spacing w:after="0" w:line="275"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Comprehensive orientation program for</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new directors and robust continuing education programs for Board</w:t>
      </w:r>
    </w:p>
    <w:p>
      <w:pPr>
        <w:spacing w:after="0" w:line="82" w:lineRule="exact"/>
        <w:rPr>
          <w:sz w:val="20"/>
          <w:szCs w:val="20"/>
          <w:color w:val="auto"/>
        </w:rPr>
      </w:pPr>
    </w:p>
    <w:p>
      <w:pPr>
        <w:ind w:right="120" w:hanging="155"/>
        <w:spacing w:after="0" w:line="267"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Robust Code of Business Conduct and</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Ethics for the Board, senior management, and all employees that includes an annual certification requirement</w:t>
      </w:r>
    </w:p>
    <w:p>
      <w:pPr>
        <w:spacing w:after="0" w:line="1" w:lineRule="exact"/>
        <w:rPr>
          <w:sz w:val="20"/>
          <w:szCs w:val="20"/>
          <w:color w:val="auto"/>
        </w:rPr>
      </w:pPr>
    </w:p>
    <w:p>
      <w:pPr>
        <w:sectPr>
          <w:pgSz w:w="11900" w:h="16838" w:orient="portrait"/>
          <w:cols w:equalWidth="0" w:num="2">
            <w:col w:w="7500" w:space="420"/>
            <w:col w:w="3020"/>
          </w:cols>
          <w:pgMar w:left="320" w:top="471" w:right="639" w:bottom="1440" w:gutter="0" w:footer="0" w:header="0"/>
          <w:type w:val="continuous"/>
        </w:sectPr>
      </w:pPr>
    </w:p>
    <w:p>
      <w:pPr>
        <w:ind w:left="9220"/>
        <w:spacing w:after="0"/>
        <w:tabs>
          <w:tab w:leader="none" w:pos="1046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5"/>
          <w:szCs w:val="15"/>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-283210</wp:posOffset>
            </wp:positionV>
            <wp:extent cx="6740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-184150</wp:posOffset>
            </wp:positionV>
            <wp:extent cx="8255"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Proxy Summary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Meet Today’s Kelly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We’re building on 77 years of industry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154940</wp:posOffset>
            </wp:positionV>
            <wp:extent cx="4914900" cy="266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14900" cy="266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A Year in Review</w:t>
      </w:r>
    </w:p>
    <w:p>
      <w:pPr>
        <w:spacing w:after="0" w:line="72" w:lineRule="exact"/>
        <w:rPr>
          <w:sz w:val="20"/>
          <w:szCs w:val="20"/>
          <w:color w:val="auto"/>
        </w:rPr>
      </w:pPr>
    </w:p>
    <w:p>
      <w:pPr>
        <w:ind w:left="320" w:right="140"/>
        <w:spacing w:after="0" w:line="293" w:lineRule="auto"/>
        <w:rPr>
          <w:sz w:val="20"/>
          <w:szCs w:val="20"/>
          <w:color w:val="auto"/>
        </w:rPr>
      </w:pPr>
      <w:r>
        <w:rPr>
          <w:rFonts w:ascii="Arial" w:cs="Arial" w:eastAsia="Arial" w:hAnsi="Arial"/>
          <w:sz w:val="14"/>
          <w:szCs w:val="14"/>
          <w:color w:val="auto"/>
        </w:rPr>
        <w:t>2023 marked a year of macroeconomic headwinds and challenging staffing market dynamics as employers in most sectors maintained a guarded approach to hiring and focused on retaining their current workforce amid ongoing economic uncertainty. In more resilient pockets of the economy, where employers need talent, the supply of candidates to fill open roles remains constrained. These dynamics put pressure on our business as the year progressed, and while we captured available growth opportunities, the macroeconomic effects became more noticeable in certain parts of our portfolio.</w:t>
      </w:r>
    </w:p>
    <w:p>
      <w:pPr>
        <w:spacing w:after="0" w:line="20" w:lineRule="exact"/>
        <w:rPr>
          <w:sz w:val="20"/>
          <w:szCs w:val="20"/>
          <w:color w:val="auto"/>
        </w:rPr>
      </w:pPr>
    </w:p>
    <w:p>
      <w:pPr>
        <w:ind w:left="520" w:right="20" w:hanging="204"/>
        <w:spacing w:after="0" w:line="202" w:lineRule="auto"/>
        <w:tabs>
          <w:tab w:leader="none" w:pos="520" w:val="left"/>
        </w:tabs>
        <w:numPr>
          <w:ilvl w:val="0"/>
          <w:numId w:val="6"/>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Our Education segment continued to report significant year-over-year growth driven by improved fill rates, strong demand from existing customers, and net new customer wins.</w:t>
      </w:r>
    </w:p>
    <w:p>
      <w:pPr>
        <w:spacing w:after="0" w:line="55" w:lineRule="exact"/>
        <w:rPr>
          <w:rFonts w:ascii="Times New Roman" w:cs="Times New Roman" w:eastAsia="Times New Roman" w:hAnsi="Times New Roman"/>
          <w:sz w:val="24"/>
          <w:szCs w:val="24"/>
          <w:color w:val="0A9E50"/>
          <w:vertAlign w:val="superscript"/>
        </w:rPr>
      </w:pPr>
    </w:p>
    <w:p>
      <w:pPr>
        <w:ind w:left="520" w:right="340" w:hanging="204"/>
        <w:spacing w:after="0" w:line="202" w:lineRule="auto"/>
        <w:tabs>
          <w:tab w:leader="none" w:pos="520" w:val="left"/>
        </w:tabs>
        <w:numPr>
          <w:ilvl w:val="0"/>
          <w:numId w:val="6"/>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Our higher margin outcome-based solutions in our Professional &amp; Industrial (“P&amp;I”) segment delivered revenue growth as demand for these value-added solutions continues.</w:t>
      </w:r>
    </w:p>
    <w:p>
      <w:pPr>
        <w:spacing w:after="0" w:line="55" w:lineRule="exact"/>
        <w:rPr>
          <w:rFonts w:ascii="Times New Roman" w:cs="Times New Roman" w:eastAsia="Times New Roman" w:hAnsi="Times New Roman"/>
          <w:sz w:val="24"/>
          <w:szCs w:val="24"/>
          <w:color w:val="0A9E50"/>
          <w:vertAlign w:val="superscript"/>
        </w:rPr>
      </w:pPr>
    </w:p>
    <w:p>
      <w:pPr>
        <w:ind w:left="520" w:right="260" w:hanging="204"/>
        <w:spacing w:after="0" w:line="202" w:lineRule="auto"/>
        <w:tabs>
          <w:tab w:leader="none" w:pos="520" w:val="left"/>
        </w:tabs>
        <w:numPr>
          <w:ilvl w:val="0"/>
          <w:numId w:val="6"/>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We continued to experience a deceleration in demand for temporary and permanent placement services as well as talent solutions, which impacted results in our P&amp;I, Science, Engineering &amp; Technology (“SET”) and Outsourcing &amp; Consulting Group (“OCG”) segments.</w:t>
      </w:r>
    </w:p>
    <w:p>
      <w:pPr>
        <w:spacing w:after="0" w:line="55" w:lineRule="exact"/>
        <w:rPr>
          <w:rFonts w:ascii="Times New Roman" w:cs="Times New Roman" w:eastAsia="Times New Roman" w:hAnsi="Times New Roman"/>
          <w:sz w:val="24"/>
          <w:szCs w:val="24"/>
          <w:color w:val="0A9E50"/>
          <w:vertAlign w:val="superscript"/>
        </w:rPr>
      </w:pPr>
    </w:p>
    <w:p>
      <w:pPr>
        <w:ind w:left="520" w:right="40" w:hanging="204"/>
        <w:spacing w:after="0" w:line="202" w:lineRule="auto"/>
        <w:tabs>
          <w:tab w:leader="none" w:pos="520" w:val="left"/>
        </w:tabs>
        <w:numPr>
          <w:ilvl w:val="0"/>
          <w:numId w:val="6"/>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We maintained a disciplined approach to managing expenses, including our transformation initiatives, while ensuring Kelly is well positioned to capture demand on the other side of the current economic cycle.</w:t>
      </w:r>
    </w:p>
    <w:p>
      <w:pPr>
        <w:spacing w:after="0" w:line="42" w:lineRule="exact"/>
        <w:rPr>
          <w:sz w:val="20"/>
          <w:szCs w:val="20"/>
          <w:color w:val="auto"/>
        </w:rPr>
      </w:pPr>
    </w:p>
    <w:p>
      <w:pPr>
        <w:ind w:left="320"/>
        <w:spacing w:after="0" w:line="244" w:lineRule="auto"/>
        <w:rPr>
          <w:sz w:val="20"/>
          <w:szCs w:val="20"/>
          <w:color w:val="auto"/>
        </w:rPr>
      </w:pPr>
      <w:r>
        <w:rPr>
          <w:rFonts w:ascii="Arial" w:cs="Arial" w:eastAsia="Arial" w:hAnsi="Arial"/>
          <w:sz w:val="16"/>
          <w:szCs w:val="16"/>
          <w:color w:val="auto"/>
        </w:rPr>
        <w:t>We remain focused on the future and are taking aggressive action on our transformation journey to improve Kelly’s profitability and accelerate growth over the long term. Since announcing the transformation in May, our business unit and enterprise function teams, together with the Transformation Management Office, made substantial progress on multiple initiatives to drive organizational efficiency and effectiveness. The actions taken to date include restructuring our full-time and in-house temporary employee headcount, and renegotiation of supplier agreements and real estate contracts to deliver structural cost savings.</w:t>
      </w:r>
    </w:p>
    <w:p>
      <w:pPr>
        <w:spacing w:after="0" w:line="53" w:lineRule="exact"/>
        <w:rPr>
          <w:sz w:val="20"/>
          <w:szCs w:val="20"/>
          <w:color w:val="auto"/>
        </w:rPr>
      </w:pPr>
    </w:p>
    <w:p>
      <w:pPr>
        <w:ind w:left="320" w:right="180"/>
        <w:spacing w:after="0" w:line="246" w:lineRule="auto"/>
        <w:rPr>
          <w:sz w:val="20"/>
          <w:szCs w:val="20"/>
          <w:color w:val="auto"/>
        </w:rPr>
      </w:pPr>
      <w:r>
        <w:rPr>
          <w:rFonts w:ascii="Arial" w:cs="Arial" w:eastAsia="Arial" w:hAnsi="Arial"/>
          <w:sz w:val="16"/>
          <w:szCs w:val="16"/>
          <w:color w:val="auto"/>
        </w:rPr>
        <w:t>We also committed to finding new avenues of growth, including a refreshed go-to-market strategy to deliver more Kelly solutions to our large enterprise customers to enhance our customer value as we move into 2024. Notwithstanding our focus on these enterprise customers, we remain committed to delivering the highest quality of service to customers regardless of spend or size. For example, we enhanced our local delivery model and rolled out our Kelly Now mobile application across the U.S to meet the needs of clients and talent.</w:t>
      </w:r>
    </w:p>
    <w:p>
      <w:pPr>
        <w:spacing w:after="0" w:line="31"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38"/>
          <w:szCs w:val="38"/>
          <w:color w:val="auto"/>
          <w:vertAlign w:val="superscript"/>
        </w:rPr>
        <w:t>8 </w:t>
      </w:r>
      <w:r>
        <w:rPr>
          <w:sz w:val="20"/>
          <w:szCs w:val="20"/>
          <w:color w:val="auto"/>
        </w:rPr>
        <w:tab/>
      </w:r>
      <w:r>
        <w:rPr>
          <w:rFonts w:ascii="Arial" w:cs="Arial" w:eastAsia="Arial" w:hAnsi="Arial"/>
          <w:sz w:val="20"/>
          <w:szCs w:val="20"/>
          <w:color w:val="auto"/>
        </w:rPr>
        <w:t xml:space="preserve">    </w:t>
      </w:r>
      <w:r>
        <w:rPr>
          <w:sz w:val="1"/>
          <w:szCs w:val="1"/>
          <w:color w:val="auto"/>
        </w:rPr>
        <w:drawing>
          <wp:inline distT="0" distB="0" distL="0" distR="0">
            <wp:extent cx="396240" cy="18986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-214630</wp:posOffset>
            </wp:positionV>
            <wp:extent cx="8255"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9940"/>
        <w:spacing w:after="0"/>
        <w:rPr>
          <w:sz w:val="20"/>
          <w:szCs w:val="20"/>
          <w:color w:val="auto"/>
        </w:rPr>
      </w:pPr>
      <w:r>
        <w:rPr>
          <w:rFonts w:ascii="Arial" w:cs="Arial" w:eastAsia="Arial" w:hAnsi="Arial"/>
          <w:sz w:val="13"/>
          <w:szCs w:val="13"/>
          <w:b w:val="1"/>
          <w:bCs w:val="1"/>
          <w:color w:val="auto"/>
        </w:rPr>
        <w:t>Proxy Summary</w:t>
      </w:r>
    </w:p>
    <w:p>
      <w:pPr>
        <w:spacing w:after="0" w:line="137" w:lineRule="exact"/>
        <w:rPr>
          <w:sz w:val="20"/>
          <w:szCs w:val="20"/>
          <w:color w:val="auto"/>
        </w:rPr>
      </w:pPr>
    </w:p>
    <w:p>
      <w:pPr>
        <w:ind w:left="320" w:right="40"/>
        <w:spacing w:after="0" w:line="329" w:lineRule="auto"/>
        <w:rPr>
          <w:sz w:val="20"/>
          <w:szCs w:val="20"/>
          <w:color w:val="auto"/>
        </w:rPr>
      </w:pPr>
      <w:r>
        <w:rPr>
          <w:rFonts w:ascii="Arial" w:cs="Arial" w:eastAsia="Arial" w:hAnsi="Arial"/>
          <w:sz w:val="14"/>
          <w:szCs w:val="14"/>
          <w:color w:val="auto"/>
        </w:rPr>
        <w:t>We completed the sale of our European staffing operations on January 2, 2024 and moved forward with a further streamlined operating model focused on North American staffing and solutions and global Managed Service Provider (“MSP”) and Recruitment Process Outsourcing (“RPO”) solutions.</w:t>
      </w:r>
    </w:p>
    <w:p>
      <w:pPr>
        <w:spacing w:after="0" w:line="1" w:lineRule="exact"/>
        <w:rPr>
          <w:sz w:val="20"/>
          <w:szCs w:val="20"/>
          <w:color w:val="auto"/>
        </w:rPr>
      </w:pPr>
    </w:p>
    <w:p>
      <w:pPr>
        <w:ind w:left="320" w:right="160"/>
        <w:spacing w:after="0" w:line="265" w:lineRule="auto"/>
        <w:rPr>
          <w:sz w:val="20"/>
          <w:szCs w:val="20"/>
          <w:color w:val="auto"/>
        </w:rPr>
      </w:pPr>
      <w:r>
        <w:rPr>
          <w:rFonts w:ascii="Arial" w:cs="Arial" w:eastAsia="Arial" w:hAnsi="Arial"/>
          <w:sz w:val="16"/>
          <w:szCs w:val="16"/>
          <w:color w:val="auto"/>
        </w:rPr>
        <w:t>Together these changes represent structural shifts in Kelly’s operations, delivering meaningful improvement to the Company’s EBITDA margin which we expect to continue into 2024 and beyond.</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2023 Financial Highlights</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Full Year 2023 Financial Summary</w:t>
      </w:r>
    </w:p>
    <w:p>
      <w:pPr>
        <w:spacing w:after="0" w:line="241"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80" w:type="dxa"/>
            <w:vAlign w:val="bottom"/>
            <w:gridSpan w:val="2"/>
          </w:tcPr>
          <w:p>
            <w:pPr>
              <w:ind w:left="200"/>
              <w:spacing w:after="0"/>
              <w:rPr>
                <w:sz w:val="20"/>
                <w:szCs w:val="20"/>
                <w:color w:val="auto"/>
              </w:rPr>
            </w:pPr>
            <w:r>
              <w:rPr>
                <w:rFonts w:ascii="Arial" w:cs="Arial" w:eastAsia="Arial" w:hAnsi="Arial"/>
                <w:sz w:val="14"/>
                <w:szCs w:val="14"/>
                <w:b w:val="1"/>
                <w:bCs w:val="1"/>
                <w:color w:val="0A9E50"/>
              </w:rPr>
              <w:t>Change Increase/(Decrease)</w:t>
            </w:r>
          </w:p>
        </w:tc>
        <w:tc>
          <w:tcPr>
            <w:tcW w:w="0" w:type="dxa"/>
            <w:vAlign w:val="bottom"/>
          </w:tcPr>
          <w:p>
            <w:pPr>
              <w:spacing w:after="0"/>
              <w:rPr>
                <w:sz w:val="1"/>
                <w:szCs w:val="1"/>
                <w:color w:val="auto"/>
              </w:rPr>
            </w:pPr>
          </w:p>
        </w:tc>
      </w:tr>
      <w:tr>
        <w:trPr>
          <w:trHeight w:val="26"/>
        </w:trPr>
        <w:tc>
          <w:tcPr>
            <w:tcW w:w="4420" w:type="dxa"/>
            <w:vAlign w:val="bottom"/>
          </w:tcPr>
          <w:p>
            <w:pPr>
              <w:spacing w:after="0"/>
              <w:rPr>
                <w:sz w:val="2"/>
                <w:szCs w:val="2"/>
                <w:color w:val="auto"/>
              </w:rPr>
            </w:pPr>
          </w:p>
        </w:tc>
        <w:tc>
          <w:tcPr>
            <w:tcW w:w="3920" w:type="dxa"/>
            <w:vAlign w:val="bottom"/>
            <w:vMerge w:val="restart"/>
          </w:tcPr>
          <w:p>
            <w:pPr>
              <w:ind w:left="2660"/>
              <w:spacing w:after="0"/>
              <w:rPr>
                <w:sz w:val="20"/>
                <w:szCs w:val="20"/>
                <w:color w:val="auto"/>
              </w:rPr>
            </w:pPr>
            <w:r>
              <w:rPr>
                <w:rFonts w:ascii="Arial" w:cs="Arial" w:eastAsia="Arial" w:hAnsi="Arial"/>
                <w:sz w:val="14"/>
                <w:szCs w:val="14"/>
                <w:b w:val="1"/>
                <w:bCs w:val="1"/>
                <w:color w:val="0A9E50"/>
              </w:rPr>
              <w:t>Actual Results</w:t>
            </w: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442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0A9E50"/>
                <w:w w:val="98"/>
              </w:rPr>
              <w:t>As Reported</w:t>
            </w:r>
          </w:p>
        </w:tc>
        <w:tc>
          <w:tcPr>
            <w:tcW w:w="1200" w:type="dxa"/>
            <w:vAlign w:val="bottom"/>
            <w:tcBorders>
              <w:bottom w:val="single" w:sz="8" w:color="auto"/>
            </w:tcBorders>
          </w:tcPr>
          <w:p>
            <w:pPr>
              <w:jc w:val="center"/>
              <w:ind w:left="11"/>
              <w:spacing w:after="0" w:line="175" w:lineRule="exact"/>
              <w:rPr>
                <w:sz w:val="20"/>
                <w:szCs w:val="20"/>
                <w:color w:val="auto"/>
              </w:rPr>
            </w:pPr>
            <w:r>
              <w:rPr>
                <w:rFonts w:ascii="Arial" w:cs="Arial" w:eastAsia="Arial" w:hAnsi="Arial"/>
                <w:sz w:val="14"/>
                <w:szCs w:val="14"/>
                <w:b w:val="1"/>
                <w:bCs w:val="1"/>
                <w:color w:val="0A9E50"/>
                <w:w w:val="93"/>
              </w:rPr>
              <w:t>As Adjusted</w:t>
            </w:r>
            <w:r>
              <w:rPr>
                <w:rFonts w:ascii="Arial" w:cs="Arial" w:eastAsia="Arial" w:hAnsi="Arial"/>
                <w:sz w:val="20"/>
                <w:szCs w:val="20"/>
                <w:b w:val="1"/>
                <w:bCs w:val="1"/>
                <w:color w:val="0A9E50"/>
                <w:w w:val="93"/>
                <w:vertAlign w:val="superscript"/>
              </w:rPr>
              <w:t>(2)</w:t>
            </w:r>
          </w:p>
        </w:tc>
        <w:tc>
          <w:tcPr>
            <w:tcW w:w="0" w:type="dxa"/>
            <w:vAlign w:val="bottom"/>
          </w:tcPr>
          <w:p>
            <w:pPr>
              <w:spacing w:after="0"/>
              <w:rPr>
                <w:sz w:val="1"/>
                <w:szCs w:val="1"/>
                <w:color w:val="auto"/>
              </w:rPr>
            </w:pPr>
          </w:p>
        </w:tc>
      </w:tr>
      <w:tr>
        <w:trPr>
          <w:trHeight w:val="188"/>
        </w:trPr>
        <w:tc>
          <w:tcPr>
            <w:tcW w:w="4420" w:type="dxa"/>
            <w:vAlign w:val="bottom"/>
          </w:tcPr>
          <w:p>
            <w:pPr>
              <w:ind w:left="60"/>
              <w:spacing w:after="0"/>
              <w:rPr>
                <w:sz w:val="20"/>
                <w:szCs w:val="20"/>
                <w:color w:val="auto"/>
              </w:rPr>
            </w:pPr>
            <w:r>
              <w:rPr>
                <w:rFonts w:ascii="Arial" w:cs="Arial" w:eastAsia="Arial" w:hAnsi="Arial"/>
                <w:sz w:val="14"/>
                <w:szCs w:val="14"/>
                <w:b w:val="1"/>
                <w:bCs w:val="1"/>
                <w:color w:val="auto"/>
              </w:rPr>
              <w:t>Revenue</w:t>
            </w:r>
          </w:p>
        </w:tc>
        <w:tc>
          <w:tcPr>
            <w:tcW w:w="3920" w:type="dxa"/>
            <w:vAlign w:val="bottom"/>
          </w:tcPr>
          <w:p>
            <w:pPr>
              <w:jc w:val="center"/>
              <w:ind w:left="2291"/>
              <w:spacing w:after="0"/>
              <w:rPr>
                <w:sz w:val="20"/>
                <w:szCs w:val="20"/>
                <w:color w:val="auto"/>
              </w:rPr>
            </w:pPr>
            <w:r>
              <w:rPr>
                <w:rFonts w:ascii="Arial" w:cs="Arial" w:eastAsia="Arial" w:hAnsi="Arial"/>
                <w:sz w:val="14"/>
                <w:szCs w:val="14"/>
                <w:color w:val="auto"/>
                <w:w w:val="98"/>
              </w:rPr>
              <w:t>$4.8B</w:t>
            </w:r>
          </w:p>
        </w:tc>
        <w:tc>
          <w:tcPr>
            <w:tcW w:w="1080" w:type="dxa"/>
            <w:vAlign w:val="bottom"/>
          </w:tcPr>
          <w:p>
            <w:pPr>
              <w:jc w:val="center"/>
              <w:ind w:right="51"/>
              <w:spacing w:after="0"/>
              <w:rPr>
                <w:sz w:val="20"/>
                <w:szCs w:val="20"/>
                <w:color w:val="auto"/>
              </w:rPr>
            </w:pPr>
            <w:r>
              <w:rPr>
                <w:rFonts w:ascii="Arial" w:cs="Arial" w:eastAsia="Arial" w:hAnsi="Arial"/>
                <w:sz w:val="14"/>
                <w:szCs w:val="14"/>
                <w:color w:val="auto"/>
                <w:w w:val="96"/>
              </w:rPr>
              <w:t>(2.6%)</w:t>
            </w:r>
          </w:p>
        </w:tc>
        <w:tc>
          <w:tcPr>
            <w:tcW w:w="1200" w:type="dxa"/>
            <w:vAlign w:val="bottom"/>
          </w:tcPr>
          <w:p>
            <w:pPr>
              <w:jc w:val="center"/>
              <w:ind w:left="11"/>
              <w:spacing w:after="0"/>
              <w:rPr>
                <w:sz w:val="20"/>
                <w:szCs w:val="20"/>
                <w:color w:val="auto"/>
              </w:rPr>
            </w:pPr>
            <w:r>
              <w:rPr>
                <w:rFonts w:ascii="Arial" w:cs="Arial" w:eastAsia="Arial" w:hAnsi="Arial"/>
                <w:sz w:val="14"/>
                <w:szCs w:val="14"/>
                <w:color w:val="auto"/>
                <w:w w:val="96"/>
              </w:rPr>
              <w:t>(2.6%)</w:t>
            </w:r>
          </w:p>
        </w:tc>
        <w:tc>
          <w:tcPr>
            <w:tcW w:w="0" w:type="dxa"/>
            <w:vAlign w:val="bottom"/>
          </w:tcPr>
          <w:p>
            <w:pPr>
              <w:spacing w:after="0"/>
              <w:rPr>
                <w:sz w:val="1"/>
                <w:szCs w:val="1"/>
                <w:color w:val="auto"/>
              </w:rPr>
            </w:pPr>
          </w:p>
        </w:tc>
      </w:tr>
      <w:tr>
        <w:trPr>
          <w:trHeight w:val="234"/>
        </w:trPr>
        <w:tc>
          <w:tcPr>
            <w:tcW w:w="4420" w:type="dxa"/>
            <w:vAlign w:val="bottom"/>
            <w:tcBorders>
              <w:bottom w:val="single" w:sz="8" w:color="7F7F7F"/>
            </w:tcBorders>
          </w:tcPr>
          <w:p>
            <w:pPr>
              <w:spacing w:after="0"/>
              <w:rPr>
                <w:sz w:val="20"/>
                <w:szCs w:val="20"/>
                <w:color w:val="auto"/>
              </w:rPr>
            </w:pPr>
          </w:p>
        </w:tc>
        <w:tc>
          <w:tcPr>
            <w:tcW w:w="3920" w:type="dxa"/>
            <w:vAlign w:val="bottom"/>
            <w:tcBorders>
              <w:bottom w:val="single" w:sz="8" w:color="7F7F7F"/>
            </w:tcBorders>
          </w:tcPr>
          <w:p>
            <w:pPr>
              <w:spacing w:after="0"/>
              <w:rPr>
                <w:sz w:val="20"/>
                <w:szCs w:val="20"/>
                <w:color w:val="auto"/>
              </w:rPr>
            </w:pPr>
          </w:p>
        </w:tc>
        <w:tc>
          <w:tcPr>
            <w:tcW w:w="1080" w:type="dxa"/>
            <w:vAlign w:val="bottom"/>
            <w:tcBorders>
              <w:bottom w:val="single" w:sz="8" w:color="7F7F7F"/>
            </w:tcBorders>
          </w:tcPr>
          <w:p>
            <w:pPr>
              <w:jc w:val="center"/>
              <w:ind w:right="51"/>
              <w:spacing w:after="0"/>
              <w:rPr>
                <w:sz w:val="20"/>
                <w:szCs w:val="20"/>
                <w:color w:val="auto"/>
              </w:rPr>
            </w:pPr>
            <w:r>
              <w:rPr>
                <w:rFonts w:ascii="Arial" w:cs="Arial" w:eastAsia="Arial" w:hAnsi="Arial"/>
                <w:sz w:val="14"/>
                <w:szCs w:val="14"/>
                <w:color w:val="auto"/>
                <w:w w:val="94"/>
              </w:rPr>
              <w:t>(3.2%) CC</w:t>
            </w:r>
            <w:r>
              <w:rPr>
                <w:rFonts w:ascii="Arial" w:cs="Arial" w:eastAsia="Arial" w:hAnsi="Arial"/>
                <w:sz w:val="20"/>
                <w:szCs w:val="20"/>
                <w:color w:val="auto"/>
                <w:w w:val="94"/>
                <w:vertAlign w:val="superscript"/>
              </w:rPr>
              <w:t>(1)</w:t>
            </w:r>
          </w:p>
        </w:tc>
        <w:tc>
          <w:tcPr>
            <w:tcW w:w="1200" w:type="dxa"/>
            <w:vAlign w:val="bottom"/>
            <w:tcBorders>
              <w:bottom w:val="single" w:sz="8" w:color="7F7F7F"/>
            </w:tcBorders>
          </w:tcPr>
          <w:p>
            <w:pPr>
              <w:jc w:val="center"/>
              <w:ind w:left="11"/>
              <w:spacing w:after="0"/>
              <w:rPr>
                <w:sz w:val="20"/>
                <w:szCs w:val="20"/>
                <w:color w:val="auto"/>
              </w:rPr>
            </w:pPr>
            <w:r>
              <w:rPr>
                <w:rFonts w:ascii="Arial" w:cs="Arial" w:eastAsia="Arial" w:hAnsi="Arial"/>
                <w:sz w:val="14"/>
                <w:szCs w:val="14"/>
                <w:color w:val="auto"/>
                <w:w w:val="94"/>
              </w:rPr>
              <w:t>(3.2%) CC</w:t>
            </w:r>
            <w:r>
              <w:rPr>
                <w:rFonts w:ascii="Arial" w:cs="Arial" w:eastAsia="Arial" w:hAnsi="Arial"/>
                <w:sz w:val="20"/>
                <w:szCs w:val="20"/>
                <w:color w:val="auto"/>
                <w:w w:val="94"/>
                <w:vertAlign w:val="superscript"/>
              </w:rPr>
              <w:t>(1)</w:t>
            </w:r>
          </w:p>
        </w:tc>
        <w:tc>
          <w:tcPr>
            <w:tcW w:w="0" w:type="dxa"/>
            <w:vAlign w:val="bottom"/>
          </w:tcPr>
          <w:p>
            <w:pPr>
              <w:spacing w:after="0"/>
              <w:rPr>
                <w:sz w:val="1"/>
                <w:szCs w:val="1"/>
                <w:color w:val="auto"/>
              </w:rPr>
            </w:pPr>
          </w:p>
        </w:tc>
      </w:tr>
      <w:tr>
        <w:trPr>
          <w:trHeight w:val="227"/>
        </w:trPr>
        <w:tc>
          <w:tcPr>
            <w:tcW w:w="4420" w:type="dxa"/>
            <w:vAlign w:val="bottom"/>
          </w:tcPr>
          <w:p>
            <w:pPr>
              <w:ind w:left="60"/>
              <w:spacing w:after="0"/>
              <w:rPr>
                <w:sz w:val="20"/>
                <w:szCs w:val="20"/>
                <w:color w:val="auto"/>
              </w:rPr>
            </w:pPr>
            <w:r>
              <w:rPr>
                <w:rFonts w:ascii="Arial" w:cs="Arial" w:eastAsia="Arial" w:hAnsi="Arial"/>
                <w:sz w:val="14"/>
                <w:szCs w:val="14"/>
                <w:b w:val="1"/>
                <w:bCs w:val="1"/>
                <w:color w:val="auto"/>
              </w:rPr>
              <w:t>Gross Profit Rate</w:t>
            </w:r>
          </w:p>
        </w:tc>
        <w:tc>
          <w:tcPr>
            <w:tcW w:w="3920" w:type="dxa"/>
            <w:vAlign w:val="bottom"/>
          </w:tcPr>
          <w:p>
            <w:pPr>
              <w:jc w:val="center"/>
              <w:ind w:left="2291"/>
              <w:spacing w:after="0"/>
              <w:rPr>
                <w:sz w:val="20"/>
                <w:szCs w:val="20"/>
                <w:color w:val="auto"/>
              </w:rPr>
            </w:pPr>
            <w:r>
              <w:rPr>
                <w:rFonts w:ascii="Arial" w:cs="Arial" w:eastAsia="Arial" w:hAnsi="Arial"/>
                <w:sz w:val="14"/>
                <w:szCs w:val="14"/>
                <w:color w:val="auto"/>
              </w:rPr>
              <w:t>19.9%</w:t>
            </w:r>
          </w:p>
        </w:tc>
        <w:tc>
          <w:tcPr>
            <w:tcW w:w="1080" w:type="dxa"/>
            <w:vAlign w:val="bottom"/>
          </w:tcPr>
          <w:p>
            <w:pPr>
              <w:jc w:val="center"/>
              <w:ind w:right="71"/>
              <w:spacing w:after="0"/>
              <w:rPr>
                <w:sz w:val="20"/>
                <w:szCs w:val="20"/>
                <w:color w:val="auto"/>
              </w:rPr>
            </w:pPr>
            <w:r>
              <w:rPr>
                <w:rFonts w:ascii="Arial" w:cs="Arial" w:eastAsia="Arial" w:hAnsi="Arial"/>
                <w:sz w:val="14"/>
                <w:szCs w:val="14"/>
                <w:color w:val="auto"/>
                <w:w w:val="99"/>
              </w:rPr>
              <w:t>(50) bps</w:t>
            </w:r>
          </w:p>
        </w:tc>
        <w:tc>
          <w:tcPr>
            <w:tcW w:w="1200" w:type="dxa"/>
            <w:vAlign w:val="bottom"/>
          </w:tcPr>
          <w:p>
            <w:pPr>
              <w:jc w:val="center"/>
              <w:ind w:left="11"/>
              <w:spacing w:after="0"/>
              <w:rPr>
                <w:sz w:val="20"/>
                <w:szCs w:val="20"/>
                <w:color w:val="auto"/>
              </w:rPr>
            </w:pPr>
            <w:r>
              <w:rPr>
                <w:rFonts w:ascii="Arial" w:cs="Arial" w:eastAsia="Arial" w:hAnsi="Arial"/>
                <w:sz w:val="14"/>
                <w:szCs w:val="14"/>
                <w:color w:val="auto"/>
                <w:w w:val="95"/>
              </w:rPr>
              <w:t>(50) bps</w:t>
            </w:r>
          </w:p>
        </w:tc>
        <w:tc>
          <w:tcPr>
            <w:tcW w:w="0" w:type="dxa"/>
            <w:vAlign w:val="bottom"/>
          </w:tcPr>
          <w:p>
            <w:pPr>
              <w:spacing w:after="0"/>
              <w:rPr>
                <w:sz w:val="1"/>
                <w:szCs w:val="1"/>
                <w:color w:val="auto"/>
              </w:rPr>
            </w:pPr>
          </w:p>
        </w:tc>
      </w:tr>
      <w:tr>
        <w:trPr>
          <w:trHeight w:val="39"/>
        </w:trPr>
        <w:tc>
          <w:tcPr>
            <w:tcW w:w="4420" w:type="dxa"/>
            <w:vAlign w:val="bottom"/>
            <w:tcBorders>
              <w:bottom w:val="single" w:sz="8" w:color="7F7F7F"/>
            </w:tcBorders>
          </w:tcPr>
          <w:p>
            <w:pPr>
              <w:spacing w:after="0"/>
              <w:rPr>
                <w:sz w:val="3"/>
                <w:szCs w:val="3"/>
                <w:color w:val="auto"/>
              </w:rPr>
            </w:pPr>
          </w:p>
        </w:tc>
        <w:tc>
          <w:tcPr>
            <w:tcW w:w="3920" w:type="dxa"/>
            <w:vAlign w:val="bottom"/>
            <w:tcBorders>
              <w:bottom w:val="single" w:sz="8" w:color="7F7F7F"/>
            </w:tcBorders>
          </w:tcPr>
          <w:p>
            <w:pPr>
              <w:spacing w:after="0"/>
              <w:rPr>
                <w:sz w:val="3"/>
                <w:szCs w:val="3"/>
                <w:color w:val="auto"/>
              </w:rPr>
            </w:pPr>
          </w:p>
        </w:tc>
        <w:tc>
          <w:tcPr>
            <w:tcW w:w="1080" w:type="dxa"/>
            <w:vAlign w:val="bottom"/>
            <w:tcBorders>
              <w:bottom w:val="single" w:sz="8" w:color="7F7F7F"/>
            </w:tcBorders>
          </w:tcPr>
          <w:p>
            <w:pPr>
              <w:spacing w:after="0"/>
              <w:rPr>
                <w:sz w:val="3"/>
                <w:szCs w:val="3"/>
                <w:color w:val="auto"/>
              </w:rPr>
            </w:pPr>
          </w:p>
        </w:tc>
        <w:tc>
          <w:tcPr>
            <w:tcW w:w="12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4420" w:type="dxa"/>
            <w:vAlign w:val="bottom"/>
          </w:tcPr>
          <w:p>
            <w:pPr>
              <w:ind w:left="60"/>
              <w:spacing w:after="0"/>
              <w:rPr>
                <w:sz w:val="20"/>
                <w:szCs w:val="20"/>
                <w:color w:val="auto"/>
              </w:rPr>
            </w:pPr>
            <w:r>
              <w:rPr>
                <w:rFonts w:ascii="Arial" w:cs="Arial" w:eastAsia="Arial" w:hAnsi="Arial"/>
                <w:sz w:val="14"/>
                <w:szCs w:val="14"/>
                <w:b w:val="1"/>
                <w:bCs w:val="1"/>
                <w:color w:val="auto"/>
              </w:rPr>
              <w:t>Earnings from Operations</w:t>
            </w:r>
          </w:p>
        </w:tc>
        <w:tc>
          <w:tcPr>
            <w:tcW w:w="3920" w:type="dxa"/>
            <w:vAlign w:val="bottom"/>
          </w:tcPr>
          <w:p>
            <w:pPr>
              <w:jc w:val="center"/>
              <w:ind w:left="2311"/>
              <w:spacing w:after="0"/>
              <w:rPr>
                <w:sz w:val="20"/>
                <w:szCs w:val="20"/>
                <w:color w:val="auto"/>
              </w:rPr>
            </w:pPr>
            <w:r>
              <w:rPr>
                <w:rFonts w:ascii="Arial" w:cs="Arial" w:eastAsia="Arial" w:hAnsi="Arial"/>
                <w:sz w:val="14"/>
                <w:szCs w:val="14"/>
                <w:color w:val="auto"/>
                <w:w w:val="98"/>
              </w:rPr>
              <w:t>$24.3M</w:t>
            </w:r>
          </w:p>
        </w:tc>
        <w:tc>
          <w:tcPr>
            <w:tcW w:w="1080" w:type="dxa"/>
            <w:vAlign w:val="bottom"/>
          </w:tcPr>
          <w:p>
            <w:pPr>
              <w:jc w:val="center"/>
              <w:ind w:right="51"/>
              <w:spacing w:after="0"/>
              <w:rPr>
                <w:sz w:val="20"/>
                <w:szCs w:val="20"/>
                <w:color w:val="auto"/>
              </w:rPr>
            </w:pPr>
            <w:r>
              <w:rPr>
                <w:rFonts w:ascii="Arial" w:cs="Arial" w:eastAsia="Arial" w:hAnsi="Arial"/>
                <w:sz w:val="14"/>
                <w:szCs w:val="14"/>
                <w:color w:val="auto"/>
              </w:rPr>
              <w:t>65.0%</w:t>
            </w:r>
          </w:p>
        </w:tc>
        <w:tc>
          <w:tcPr>
            <w:tcW w:w="1200" w:type="dxa"/>
            <w:vAlign w:val="bottom"/>
          </w:tcPr>
          <w:p>
            <w:pPr>
              <w:jc w:val="center"/>
              <w:ind w:left="11"/>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34"/>
        </w:trPr>
        <w:tc>
          <w:tcPr>
            <w:tcW w:w="4420" w:type="dxa"/>
            <w:vAlign w:val="bottom"/>
            <w:tcBorders>
              <w:bottom w:val="single" w:sz="8" w:color="7F7F7F"/>
            </w:tcBorders>
          </w:tcPr>
          <w:p>
            <w:pPr>
              <w:spacing w:after="0"/>
              <w:rPr>
                <w:sz w:val="20"/>
                <w:szCs w:val="20"/>
                <w:color w:val="auto"/>
              </w:rPr>
            </w:pPr>
          </w:p>
        </w:tc>
        <w:tc>
          <w:tcPr>
            <w:tcW w:w="3920" w:type="dxa"/>
            <w:vAlign w:val="bottom"/>
            <w:tcBorders>
              <w:bottom w:val="single" w:sz="8" w:color="7F7F7F"/>
            </w:tcBorders>
          </w:tcPr>
          <w:p>
            <w:pPr>
              <w:spacing w:after="0"/>
              <w:rPr>
                <w:sz w:val="20"/>
                <w:szCs w:val="20"/>
                <w:color w:val="auto"/>
              </w:rPr>
            </w:pPr>
          </w:p>
        </w:tc>
        <w:tc>
          <w:tcPr>
            <w:tcW w:w="1080" w:type="dxa"/>
            <w:vAlign w:val="bottom"/>
            <w:tcBorders>
              <w:bottom w:val="single" w:sz="8" w:color="7F7F7F"/>
            </w:tcBorders>
          </w:tcPr>
          <w:p>
            <w:pPr>
              <w:jc w:val="center"/>
              <w:ind w:right="51"/>
              <w:spacing w:after="0"/>
              <w:rPr>
                <w:sz w:val="20"/>
                <w:szCs w:val="20"/>
                <w:color w:val="auto"/>
              </w:rPr>
            </w:pPr>
            <w:r>
              <w:rPr>
                <w:rFonts w:ascii="Arial" w:cs="Arial" w:eastAsia="Arial" w:hAnsi="Arial"/>
                <w:sz w:val="14"/>
                <w:szCs w:val="14"/>
                <w:color w:val="auto"/>
                <w:w w:val="96"/>
              </w:rPr>
              <w:t>73.8% CC</w:t>
            </w:r>
            <w:r>
              <w:rPr>
                <w:rFonts w:ascii="Arial" w:cs="Arial" w:eastAsia="Arial" w:hAnsi="Arial"/>
                <w:sz w:val="20"/>
                <w:szCs w:val="20"/>
                <w:color w:val="auto"/>
                <w:w w:val="96"/>
                <w:vertAlign w:val="superscript"/>
              </w:rPr>
              <w:t>(1)</w:t>
            </w:r>
          </w:p>
        </w:tc>
        <w:tc>
          <w:tcPr>
            <w:tcW w:w="1200" w:type="dxa"/>
            <w:vAlign w:val="bottom"/>
            <w:tcBorders>
              <w:bottom w:val="single" w:sz="8" w:color="7F7F7F"/>
            </w:tcBorders>
          </w:tcPr>
          <w:p>
            <w:pPr>
              <w:jc w:val="center"/>
              <w:ind w:left="11"/>
              <w:spacing w:after="0"/>
              <w:rPr>
                <w:sz w:val="20"/>
                <w:szCs w:val="20"/>
                <w:color w:val="auto"/>
              </w:rPr>
            </w:pPr>
            <w:r>
              <w:rPr>
                <w:rFonts w:ascii="Arial" w:cs="Arial" w:eastAsia="Arial" w:hAnsi="Arial"/>
                <w:sz w:val="14"/>
                <w:szCs w:val="14"/>
                <w:color w:val="auto"/>
                <w:w w:val="95"/>
              </w:rPr>
              <w:t>2.8% CC</w:t>
            </w:r>
            <w:r>
              <w:rPr>
                <w:rFonts w:ascii="Arial" w:cs="Arial" w:eastAsia="Arial" w:hAnsi="Arial"/>
                <w:sz w:val="20"/>
                <w:szCs w:val="20"/>
                <w:color w:val="auto"/>
                <w:w w:val="95"/>
                <w:vertAlign w:val="superscript"/>
              </w:rPr>
              <w:t>(1)</w:t>
            </w:r>
          </w:p>
        </w:tc>
        <w:tc>
          <w:tcPr>
            <w:tcW w:w="0" w:type="dxa"/>
            <w:vAlign w:val="bottom"/>
          </w:tcPr>
          <w:p>
            <w:pPr>
              <w:spacing w:after="0"/>
              <w:rPr>
                <w:sz w:val="1"/>
                <w:szCs w:val="1"/>
                <w:color w:val="auto"/>
              </w:rPr>
            </w:pPr>
          </w:p>
        </w:tc>
      </w:tr>
      <w:tr>
        <w:trPr>
          <w:trHeight w:val="227"/>
        </w:trPr>
        <w:tc>
          <w:tcPr>
            <w:tcW w:w="4420" w:type="dxa"/>
            <w:vAlign w:val="bottom"/>
          </w:tcPr>
          <w:p>
            <w:pPr>
              <w:ind w:left="60"/>
              <w:spacing w:after="0"/>
              <w:rPr>
                <w:sz w:val="20"/>
                <w:szCs w:val="20"/>
                <w:color w:val="auto"/>
              </w:rPr>
            </w:pPr>
            <w:r>
              <w:rPr>
                <w:rFonts w:ascii="Arial" w:cs="Arial" w:eastAsia="Arial" w:hAnsi="Arial"/>
                <w:sz w:val="14"/>
                <w:szCs w:val="14"/>
                <w:b w:val="1"/>
                <w:bCs w:val="1"/>
                <w:color w:val="auto"/>
              </w:rPr>
              <w:t>Adjusted EBITDA</w:t>
            </w:r>
          </w:p>
        </w:tc>
        <w:tc>
          <w:tcPr>
            <w:tcW w:w="3920" w:type="dxa"/>
            <w:vAlign w:val="bottom"/>
          </w:tcPr>
          <w:p>
            <w:pPr>
              <w:jc w:val="center"/>
              <w:ind w:left="2311"/>
              <w:spacing w:after="0"/>
              <w:rPr>
                <w:sz w:val="20"/>
                <w:szCs w:val="20"/>
                <w:color w:val="auto"/>
              </w:rPr>
            </w:pPr>
            <w:r>
              <w:rPr>
                <w:rFonts w:ascii="Arial" w:cs="Arial" w:eastAsia="Arial" w:hAnsi="Arial"/>
                <w:sz w:val="14"/>
                <w:szCs w:val="14"/>
                <w:color w:val="auto"/>
                <w:w w:val="99"/>
              </w:rPr>
              <w:t>$109.4M</w:t>
            </w:r>
          </w:p>
        </w:tc>
        <w:tc>
          <w:tcPr>
            <w:tcW w:w="1080" w:type="dxa"/>
            <w:vAlign w:val="bottom"/>
          </w:tcPr>
          <w:p>
            <w:pPr>
              <w:spacing w:after="0"/>
              <w:rPr>
                <w:sz w:val="19"/>
                <w:szCs w:val="19"/>
                <w:color w:val="auto"/>
              </w:rPr>
            </w:pPr>
          </w:p>
        </w:tc>
        <w:tc>
          <w:tcPr>
            <w:tcW w:w="1200" w:type="dxa"/>
            <w:vAlign w:val="bottom"/>
          </w:tcPr>
          <w:p>
            <w:pPr>
              <w:jc w:val="center"/>
              <w:ind w:left="11"/>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39"/>
        </w:trPr>
        <w:tc>
          <w:tcPr>
            <w:tcW w:w="4420" w:type="dxa"/>
            <w:vAlign w:val="bottom"/>
            <w:tcBorders>
              <w:bottom w:val="single" w:sz="8" w:color="7F7F7F"/>
            </w:tcBorders>
          </w:tcPr>
          <w:p>
            <w:pPr>
              <w:spacing w:after="0"/>
              <w:rPr>
                <w:sz w:val="3"/>
                <w:szCs w:val="3"/>
                <w:color w:val="auto"/>
              </w:rPr>
            </w:pPr>
          </w:p>
        </w:tc>
        <w:tc>
          <w:tcPr>
            <w:tcW w:w="3920" w:type="dxa"/>
            <w:vAlign w:val="bottom"/>
            <w:tcBorders>
              <w:bottom w:val="single" w:sz="8" w:color="7F7F7F"/>
            </w:tcBorders>
          </w:tcPr>
          <w:p>
            <w:pPr>
              <w:spacing w:after="0"/>
              <w:rPr>
                <w:sz w:val="3"/>
                <w:szCs w:val="3"/>
                <w:color w:val="auto"/>
              </w:rPr>
            </w:pPr>
          </w:p>
        </w:tc>
        <w:tc>
          <w:tcPr>
            <w:tcW w:w="1080" w:type="dxa"/>
            <w:vAlign w:val="bottom"/>
            <w:tcBorders>
              <w:bottom w:val="single" w:sz="8" w:color="7F7F7F"/>
            </w:tcBorders>
          </w:tcPr>
          <w:p>
            <w:pPr>
              <w:spacing w:after="0"/>
              <w:rPr>
                <w:sz w:val="3"/>
                <w:szCs w:val="3"/>
                <w:color w:val="auto"/>
              </w:rPr>
            </w:pPr>
          </w:p>
        </w:tc>
        <w:tc>
          <w:tcPr>
            <w:tcW w:w="12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420" w:type="dxa"/>
            <w:vAlign w:val="bottom"/>
          </w:tcPr>
          <w:p>
            <w:pPr>
              <w:ind w:left="60"/>
              <w:spacing w:after="0"/>
              <w:rPr>
                <w:sz w:val="20"/>
                <w:szCs w:val="20"/>
                <w:color w:val="auto"/>
              </w:rPr>
            </w:pPr>
            <w:r>
              <w:rPr>
                <w:rFonts w:ascii="Arial" w:cs="Arial" w:eastAsia="Arial" w:hAnsi="Arial"/>
                <w:sz w:val="14"/>
                <w:szCs w:val="14"/>
                <w:b w:val="1"/>
                <w:bCs w:val="1"/>
                <w:color w:val="auto"/>
              </w:rPr>
              <w:t>Adjusted EBITDA Margin</w:t>
            </w:r>
          </w:p>
        </w:tc>
        <w:tc>
          <w:tcPr>
            <w:tcW w:w="3920" w:type="dxa"/>
            <w:vAlign w:val="bottom"/>
          </w:tcPr>
          <w:p>
            <w:pPr>
              <w:jc w:val="center"/>
              <w:ind w:left="2291"/>
              <w:spacing w:after="0"/>
              <w:rPr>
                <w:sz w:val="20"/>
                <w:szCs w:val="20"/>
                <w:color w:val="auto"/>
              </w:rPr>
            </w:pPr>
            <w:r>
              <w:rPr>
                <w:rFonts w:ascii="Arial" w:cs="Arial" w:eastAsia="Arial" w:hAnsi="Arial"/>
                <w:sz w:val="14"/>
                <w:szCs w:val="14"/>
                <w:color w:val="auto"/>
              </w:rPr>
              <w:t>2.3%</w:t>
            </w:r>
          </w:p>
        </w:tc>
        <w:tc>
          <w:tcPr>
            <w:tcW w:w="1080" w:type="dxa"/>
            <w:vAlign w:val="bottom"/>
          </w:tcPr>
          <w:p>
            <w:pPr>
              <w:spacing w:after="0"/>
              <w:rPr>
                <w:sz w:val="19"/>
                <w:szCs w:val="19"/>
                <w:color w:val="auto"/>
              </w:rPr>
            </w:pPr>
          </w:p>
        </w:tc>
        <w:tc>
          <w:tcPr>
            <w:tcW w:w="1200" w:type="dxa"/>
            <w:vAlign w:val="bottom"/>
          </w:tcPr>
          <w:p>
            <w:pPr>
              <w:jc w:val="center"/>
              <w:ind w:left="11"/>
              <w:spacing w:after="0"/>
              <w:rPr>
                <w:sz w:val="20"/>
                <w:szCs w:val="20"/>
                <w:color w:val="auto"/>
              </w:rPr>
            </w:pPr>
            <w:r>
              <w:rPr>
                <w:rFonts w:ascii="Arial" w:cs="Arial" w:eastAsia="Arial" w:hAnsi="Arial"/>
                <w:sz w:val="14"/>
                <w:szCs w:val="14"/>
                <w:color w:val="auto"/>
                <w:w w:val="97"/>
              </w:rPr>
              <w:t>20 bps</w:t>
            </w:r>
          </w:p>
        </w:tc>
        <w:tc>
          <w:tcPr>
            <w:tcW w:w="0" w:type="dxa"/>
            <w:vAlign w:val="bottom"/>
          </w:tcPr>
          <w:p>
            <w:pPr>
              <w:spacing w:after="0"/>
              <w:rPr>
                <w:sz w:val="1"/>
                <w:szCs w:val="1"/>
                <w:color w:val="auto"/>
              </w:rPr>
            </w:pPr>
          </w:p>
        </w:tc>
      </w:tr>
      <w:tr>
        <w:trPr>
          <w:trHeight w:val="39"/>
        </w:trPr>
        <w:tc>
          <w:tcPr>
            <w:tcW w:w="4420" w:type="dxa"/>
            <w:vAlign w:val="bottom"/>
            <w:tcBorders>
              <w:bottom w:val="single" w:sz="8" w:color="7F7F7F"/>
            </w:tcBorders>
          </w:tcPr>
          <w:p>
            <w:pPr>
              <w:spacing w:after="0"/>
              <w:rPr>
                <w:sz w:val="3"/>
                <w:szCs w:val="3"/>
                <w:color w:val="auto"/>
              </w:rPr>
            </w:pPr>
          </w:p>
        </w:tc>
        <w:tc>
          <w:tcPr>
            <w:tcW w:w="3920" w:type="dxa"/>
            <w:vAlign w:val="bottom"/>
            <w:tcBorders>
              <w:bottom w:val="single" w:sz="8" w:color="7F7F7F"/>
            </w:tcBorders>
          </w:tcPr>
          <w:p>
            <w:pPr>
              <w:spacing w:after="0"/>
              <w:rPr>
                <w:sz w:val="3"/>
                <w:szCs w:val="3"/>
                <w:color w:val="auto"/>
              </w:rPr>
            </w:pPr>
          </w:p>
        </w:tc>
        <w:tc>
          <w:tcPr>
            <w:tcW w:w="1080" w:type="dxa"/>
            <w:vAlign w:val="bottom"/>
            <w:tcBorders>
              <w:bottom w:val="single" w:sz="8" w:color="7F7F7F"/>
            </w:tcBorders>
          </w:tcPr>
          <w:p>
            <w:pPr>
              <w:spacing w:after="0"/>
              <w:rPr>
                <w:sz w:val="3"/>
                <w:szCs w:val="3"/>
                <w:color w:val="auto"/>
              </w:rPr>
            </w:pPr>
          </w:p>
        </w:tc>
        <w:tc>
          <w:tcPr>
            <w:tcW w:w="12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20" w:hanging="304"/>
        <w:spacing w:after="0"/>
        <w:tabs>
          <w:tab w:leader="none" w:pos="6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Constant Currency (“CC”) represents year-over-year changes resulting from translating 2023 financial data into USD using 2022 exchange rates</w:t>
      </w:r>
    </w:p>
    <w:p>
      <w:pPr>
        <w:spacing w:after="0" w:line="70" w:lineRule="exact"/>
        <w:rPr>
          <w:rFonts w:ascii="Arial" w:cs="Arial" w:eastAsia="Arial" w:hAnsi="Arial"/>
          <w:sz w:val="12"/>
          <w:szCs w:val="12"/>
          <w:color w:val="auto"/>
        </w:rPr>
      </w:pPr>
    </w:p>
    <w:p>
      <w:pPr>
        <w:ind w:left="620" w:hanging="304"/>
        <w:spacing w:after="0"/>
        <w:tabs>
          <w:tab w:leader="none" w:pos="620" w:val="left"/>
        </w:tabs>
        <w:numPr>
          <w:ilvl w:val="0"/>
          <w:numId w:val="7"/>
        </w:numPr>
        <w:rPr>
          <w:rFonts w:ascii="Arial" w:cs="Arial" w:eastAsia="Arial" w:hAnsi="Arial"/>
          <w:sz w:val="12"/>
          <w:szCs w:val="12"/>
          <w:color w:val="auto"/>
        </w:rPr>
      </w:pPr>
      <w:r>
        <w:rPr>
          <w:rFonts w:ascii="Arial" w:cs="Arial" w:eastAsia="Arial" w:hAnsi="Arial"/>
          <w:sz w:val="12"/>
          <w:szCs w:val="12"/>
          <w:color w:val="auto"/>
        </w:rPr>
        <w:t>See reconciliation of Non-GAAP Measures included in Form 8-K dated February 15, 2024</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Portfolio Progress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M&amp;A activities are shifting our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795655</wp:posOffset>
            </wp:positionH>
            <wp:positionV relativeFrom="paragraph">
              <wp:posOffset>154940</wp:posOffset>
            </wp:positionV>
            <wp:extent cx="5551170" cy="21145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51170" cy="211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220"/>
        <w:spacing w:after="0"/>
        <w:tabs>
          <w:tab w:leader="none" w:pos="10460" w:val="left"/>
        </w:tabs>
        <w:rPr>
          <w:sz w:val="20"/>
          <w:szCs w:val="20"/>
          <w:color w:val="auto"/>
        </w:rPr>
      </w:pPr>
      <w:r>
        <w:rPr>
          <w:rFonts w:ascii="Arial" w:cs="Arial" w:eastAsia="Arial" w:hAnsi="Arial"/>
          <w:sz w:val="21"/>
          <w:szCs w:val="21"/>
          <w:color w:val="auto"/>
        </w:rPr>
        <w:t xml:space="preserve">   </w:t>
      </w:r>
      <w:r>
        <w:rPr>
          <w:sz w:val="1"/>
          <w:szCs w:val="1"/>
          <w:color w:val="auto"/>
        </w:rPr>
        <w:drawing>
          <wp:inline distT="0" distB="0" distL="0" distR="0">
            <wp:extent cx="396240" cy="18986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1"/>
          <w:szCs w:val="21"/>
          <w:color w:val="auto"/>
        </w:rPr>
        <w:t xml:space="preserve">  </w:t>
      </w:r>
      <w:r>
        <w:rPr>
          <w:sz w:val="20"/>
          <w:szCs w:val="20"/>
          <w:color w:val="auto"/>
        </w:rPr>
        <w:tab/>
      </w:r>
      <w:r>
        <w:rPr>
          <w:rFonts w:ascii="Arial" w:cs="Arial" w:eastAsia="Arial" w:hAnsi="Arial"/>
          <w:sz w:val="23"/>
          <w:szCs w:val="23"/>
          <w:color w:val="auto"/>
          <w:vertAlign w:val="superscript"/>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6586220</wp:posOffset>
            </wp:positionH>
            <wp:positionV relativeFrom="paragraph">
              <wp:posOffset>-200660</wp:posOffset>
            </wp:positionV>
            <wp:extent cx="8255" cy="22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Proxy Summary</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Our Operating Model Aligns to these Specialties (As Reported, by Business Unit)</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priorities for each segment are clear.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154940</wp:posOffset>
            </wp:positionV>
            <wp:extent cx="6740525" cy="4876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40525" cy="487680"/>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FFFFFF"/>
        </w:rPr>
        <w:t>Optimize Operations and Drive Efficiencies</w:t>
      </w:r>
    </w:p>
    <w:p>
      <w:pPr>
        <w:spacing w:after="0" w:line="200" w:lineRule="exact"/>
        <w:rPr>
          <w:sz w:val="20"/>
          <w:szCs w:val="20"/>
          <w:color w:val="auto"/>
        </w:rPr>
      </w:pPr>
    </w:p>
    <w:p>
      <w:pPr>
        <w:spacing w:after="0" w:line="381" w:lineRule="exact"/>
        <w:rPr>
          <w:sz w:val="20"/>
          <w:szCs w:val="20"/>
          <w:color w:val="auto"/>
        </w:rPr>
      </w:pPr>
    </w:p>
    <w:tbl>
      <w:tblPr>
        <w:tblLayout w:type="fixed"/>
        <w:tblInd w:w="320" w:type="dxa"/>
        <w:tblCellMar>
          <w:top w:w="0" w:type="dxa"/>
          <w:left w:w="0" w:type="dxa"/>
          <w:bottom w:w="0" w:type="dxa"/>
          <w:right w:w="0" w:type="dxa"/>
        </w:tblCellMar>
      </w:tblPr>
      <w:tr>
        <w:trPr>
          <w:trHeight w:val="280"/>
        </w:trPr>
        <w:tc>
          <w:tcPr>
            <w:tcW w:w="1180" w:type="dxa"/>
            <w:vAlign w:val="bottom"/>
          </w:tcPr>
          <w:p>
            <w:pPr>
              <w:spacing w:after="0"/>
              <w:rPr>
                <w:sz w:val="20"/>
                <w:szCs w:val="20"/>
                <w:color w:val="auto"/>
              </w:rPr>
            </w:pPr>
            <w:r>
              <w:rPr>
                <w:rFonts w:ascii="Arial" w:cs="Arial" w:eastAsia="Arial" w:hAnsi="Arial"/>
                <w:sz w:val="23"/>
                <w:szCs w:val="23"/>
                <w:b w:val="1"/>
                <w:bCs w:val="1"/>
                <w:color w:val="0A9E50"/>
              </w:rPr>
              <w:t>Kelly</w:t>
            </w:r>
          </w:p>
        </w:tc>
        <w:tc>
          <w:tcPr>
            <w:tcW w:w="1540" w:type="dxa"/>
            <w:vAlign w:val="bottom"/>
          </w:tcPr>
          <w:p>
            <w:pPr>
              <w:ind w:left="620"/>
              <w:spacing w:after="0"/>
              <w:rPr>
                <w:sz w:val="20"/>
                <w:szCs w:val="20"/>
                <w:color w:val="auto"/>
              </w:rPr>
            </w:pPr>
            <w:r>
              <w:rPr>
                <w:rFonts w:ascii="Arial" w:cs="Arial" w:eastAsia="Arial" w:hAnsi="Arial"/>
                <w:sz w:val="21"/>
                <w:szCs w:val="21"/>
                <w:color w:val="auto"/>
              </w:rPr>
              <w:t> </w:t>
            </w:r>
          </w:p>
        </w:tc>
        <w:tc>
          <w:tcPr>
            <w:tcW w:w="880" w:type="dxa"/>
            <w:vAlign w:val="bottom"/>
          </w:tcPr>
          <w:p>
            <w:pPr>
              <w:ind w:left="860"/>
              <w:spacing w:after="0"/>
              <w:rPr>
                <w:sz w:val="20"/>
                <w:szCs w:val="20"/>
                <w:color w:val="auto"/>
              </w:rPr>
            </w:pPr>
            <w:r>
              <w:rPr>
                <w:rFonts w:ascii="Arial" w:cs="Arial" w:eastAsia="Arial" w:hAnsi="Arial"/>
                <w:sz w:val="1"/>
                <w:szCs w:val="1"/>
                <w:color w:val="auto"/>
                <w:w w:val="4294967291"/>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-42545</wp:posOffset>
            </wp:positionV>
            <wp:extent cx="1924685" cy="4876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24685" cy="487680"/>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308"/>
        </w:trPr>
        <w:tc>
          <w:tcPr>
            <w:tcW w:w="1680" w:type="dxa"/>
            <w:vAlign w:val="bottom"/>
            <w:vMerge w:val="restart"/>
          </w:tcPr>
          <w:p>
            <w:pPr>
              <w:spacing w:after="0"/>
              <w:rPr>
                <w:sz w:val="20"/>
                <w:szCs w:val="20"/>
                <w:color w:val="auto"/>
              </w:rPr>
            </w:pPr>
            <w:r>
              <w:rPr>
                <w:rFonts w:ascii="Arial" w:cs="Arial" w:eastAsia="Arial" w:hAnsi="Arial"/>
                <w:sz w:val="23"/>
                <w:szCs w:val="23"/>
                <w:b w:val="1"/>
                <w:bCs w:val="1"/>
                <w:color w:val="auto"/>
              </w:rPr>
              <w:t>Professional</w:t>
            </w:r>
          </w:p>
        </w:tc>
        <w:tc>
          <w:tcPr>
            <w:tcW w:w="380" w:type="dxa"/>
            <w:vAlign w:val="bottom"/>
          </w:tcPr>
          <w:p>
            <w:pPr>
              <w:spacing w:after="0"/>
              <w:rPr>
                <w:sz w:val="24"/>
                <w:szCs w:val="24"/>
                <w:color w:val="auto"/>
              </w:rPr>
            </w:pPr>
          </w:p>
        </w:tc>
        <w:tc>
          <w:tcPr>
            <w:tcW w:w="1340" w:type="dxa"/>
            <w:vAlign w:val="bottom"/>
            <w:gridSpan w:val="2"/>
          </w:tcPr>
          <w:p>
            <w:pPr>
              <w:jc w:val="center"/>
              <w:ind w:left="99"/>
              <w:spacing w:after="0"/>
              <w:rPr>
                <w:sz w:val="20"/>
                <w:szCs w:val="20"/>
                <w:color w:val="auto"/>
              </w:rPr>
            </w:pPr>
            <w:r>
              <w:rPr>
                <w:rFonts w:ascii="Arial" w:cs="Arial" w:eastAsia="Arial" w:hAnsi="Arial"/>
                <w:sz w:val="26"/>
                <w:szCs w:val="26"/>
                <w:b w:val="1"/>
                <w:bCs w:val="1"/>
                <w:color w:val="0A9E50"/>
              </w:rPr>
              <w:t>$1.5B</w:t>
            </w:r>
          </w:p>
        </w:tc>
        <w:tc>
          <w:tcPr>
            <w:tcW w:w="1680" w:type="dxa"/>
            <w:vAlign w:val="bottom"/>
          </w:tcPr>
          <w:p>
            <w:pPr>
              <w:jc w:val="right"/>
              <w:ind w:right="260"/>
              <w:spacing w:after="0"/>
              <w:rPr>
                <w:sz w:val="20"/>
                <w:szCs w:val="20"/>
                <w:color w:val="auto"/>
              </w:rPr>
            </w:pPr>
            <w:r>
              <w:rPr>
                <w:rFonts w:ascii="Arial" w:cs="Arial" w:eastAsia="Arial" w:hAnsi="Arial"/>
                <w:sz w:val="26"/>
                <w:szCs w:val="26"/>
                <w:b w:val="1"/>
                <w:bCs w:val="1"/>
                <w:color w:val="0A9E50"/>
              </w:rPr>
              <w:t>17.8%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6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gridSpan w:val="2"/>
          </w:tcPr>
          <w:p>
            <w:pPr>
              <w:jc w:val="center"/>
              <w:ind w:left="99"/>
              <w:spacing w:after="0" w:line="157" w:lineRule="exact"/>
              <w:rPr>
                <w:sz w:val="20"/>
                <w:szCs w:val="20"/>
                <w:color w:val="auto"/>
              </w:rPr>
            </w:pPr>
            <w:r>
              <w:rPr>
                <w:rFonts w:ascii="Arial" w:cs="Arial" w:eastAsia="Arial" w:hAnsi="Arial"/>
                <w:sz w:val="13"/>
                <w:szCs w:val="13"/>
                <w:b w:val="1"/>
                <w:bCs w:val="1"/>
                <w:color w:val="auto"/>
              </w:rPr>
              <w:t>Revenue</w:t>
            </w:r>
            <w:r>
              <w:rPr>
                <w:rFonts w:ascii="Arial" w:cs="Arial" w:eastAsia="Arial" w:hAnsi="Arial"/>
                <w:sz w:val="18"/>
                <w:szCs w:val="18"/>
                <w:b w:val="1"/>
                <w:bCs w:val="1"/>
                <w:color w:val="auto"/>
                <w:vertAlign w:val="superscript"/>
              </w:rPr>
              <w:t>(1)</w:t>
            </w:r>
          </w:p>
        </w:tc>
        <w:tc>
          <w:tcPr>
            <w:tcW w:w="1680" w:type="dxa"/>
            <w:vAlign w:val="bottom"/>
          </w:tcPr>
          <w:p>
            <w:pPr>
              <w:ind w:left="600"/>
              <w:spacing w:after="0" w:line="157" w:lineRule="exact"/>
              <w:rPr>
                <w:sz w:val="20"/>
                <w:szCs w:val="20"/>
                <w:color w:val="auto"/>
              </w:rPr>
            </w:pPr>
            <w:r>
              <w:rPr>
                <w:rFonts w:ascii="Arial" w:cs="Arial" w:eastAsia="Arial" w:hAnsi="Arial"/>
                <w:sz w:val="13"/>
                <w:szCs w:val="13"/>
                <w:b w:val="1"/>
                <w:bCs w:val="1"/>
                <w:color w:val="auto"/>
              </w:rPr>
              <w:t>GP Rate</w:t>
            </w:r>
            <w:r>
              <w:rPr>
                <w:rFonts w:ascii="Arial" w:cs="Arial" w:eastAsia="Arial" w:hAnsi="Arial"/>
                <w:sz w:val="18"/>
                <w:szCs w:val="18"/>
                <w:b w:val="1"/>
                <w:bCs w:val="1"/>
                <w:color w:val="auto"/>
                <w:vertAlign w:val="superscript"/>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1680" w:type="dxa"/>
            <w:vAlign w:val="bottom"/>
          </w:tcPr>
          <w:p>
            <w:pPr>
              <w:spacing w:after="0"/>
              <w:rPr>
                <w:sz w:val="20"/>
                <w:szCs w:val="20"/>
                <w:color w:val="auto"/>
              </w:rPr>
            </w:pPr>
            <w:r>
              <w:rPr>
                <w:rFonts w:ascii="Arial" w:cs="Arial" w:eastAsia="Arial" w:hAnsi="Arial"/>
                <w:sz w:val="23"/>
                <w:szCs w:val="23"/>
                <w:b w:val="1"/>
                <w:bCs w:val="1"/>
                <w:color w:val="auto"/>
              </w:rPr>
              <w:t>&amp; Industrial</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680" w:type="dxa"/>
            <w:vAlign w:val="bottom"/>
          </w:tcPr>
          <w:p>
            <w:pPr>
              <w:spacing w:after="0"/>
              <w:rPr>
                <w:sz w:val="20"/>
                <w:szCs w:val="20"/>
                <w:color w:val="auto"/>
              </w:rPr>
            </w:pPr>
            <w:r>
              <w:rPr>
                <w:rFonts w:ascii="Arial" w:cs="Arial" w:eastAsia="Arial" w:hAnsi="Arial"/>
                <w:sz w:val="16"/>
                <w:szCs w:val="16"/>
                <w:b w:val="1"/>
                <w:bCs w:val="1"/>
                <w:color w:val="auto"/>
              </w:rPr>
              <w:t>Specialties</w:t>
            </w:r>
          </w:p>
        </w:tc>
        <w:tc>
          <w:tcPr>
            <w:tcW w:w="380" w:type="dxa"/>
            <w:vAlign w:val="bottom"/>
          </w:tcPr>
          <w:p>
            <w:pPr>
              <w:spacing w:after="0"/>
              <w:rPr>
                <w:sz w:val="20"/>
                <w:szCs w:val="20"/>
                <w:color w:val="auto"/>
              </w:rPr>
            </w:pPr>
          </w:p>
        </w:tc>
        <w:tc>
          <w:tcPr>
            <w:tcW w:w="1020" w:type="dxa"/>
            <w:vAlign w:val="bottom"/>
            <w:shd w:val="clear" w:color="auto" w:fill="EAF3E3"/>
          </w:tcPr>
          <w:p>
            <w:pPr>
              <w:spacing w:after="0"/>
              <w:rPr>
                <w:sz w:val="20"/>
                <w:szCs w:val="20"/>
                <w:color w:val="auto"/>
              </w:rPr>
            </w:pPr>
          </w:p>
        </w:tc>
        <w:tc>
          <w:tcPr>
            <w:tcW w:w="320" w:type="dxa"/>
            <w:vAlign w:val="bottom"/>
            <w:shd w:val="clear" w:color="auto" w:fill="EAF3E3"/>
          </w:tcPr>
          <w:p>
            <w:pPr>
              <w:spacing w:after="0"/>
              <w:rPr>
                <w:sz w:val="20"/>
                <w:szCs w:val="20"/>
                <w:color w:val="auto"/>
              </w:rPr>
            </w:pPr>
          </w:p>
        </w:tc>
        <w:tc>
          <w:tcPr>
            <w:tcW w:w="1680" w:type="dxa"/>
            <w:vAlign w:val="bottom"/>
            <w:shd w:val="clear" w:color="auto" w:fill="EAF3E3"/>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Industrial</w:t>
            </w:r>
          </w:p>
        </w:tc>
        <w:tc>
          <w:tcPr>
            <w:tcW w:w="380" w:type="dxa"/>
            <w:vAlign w:val="bottom"/>
          </w:tcPr>
          <w:p>
            <w:pPr>
              <w:spacing w:after="0"/>
              <w:rPr>
                <w:sz w:val="15"/>
                <w:szCs w:val="15"/>
                <w:color w:val="auto"/>
              </w:rPr>
            </w:pPr>
          </w:p>
        </w:tc>
        <w:tc>
          <w:tcPr>
            <w:tcW w:w="3020" w:type="dxa"/>
            <w:vAlign w:val="bottom"/>
            <w:gridSpan w:val="3"/>
            <w:vMerge w:val="restart"/>
            <w:shd w:val="clear" w:color="auto" w:fill="EAF3E3"/>
          </w:tcPr>
          <w:p>
            <w:pPr>
              <w:jc w:val="right"/>
              <w:ind w:right="480"/>
              <w:spacing w:after="0"/>
              <w:rPr>
                <w:sz w:val="20"/>
                <w:szCs w:val="20"/>
                <w:color w:val="auto"/>
              </w:rPr>
            </w:pPr>
            <w:r>
              <w:rPr>
                <w:rFonts w:ascii="Arial" w:cs="Arial" w:eastAsia="Arial" w:hAnsi="Arial"/>
                <w:sz w:val="21"/>
                <w:szCs w:val="21"/>
                <w:b w:val="1"/>
                <w:bCs w:val="1"/>
                <w:color w:val="0A9E50"/>
              </w:rPr>
              <w:t xml:space="preserve">   North America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Contact Center</w:t>
            </w:r>
          </w:p>
        </w:tc>
        <w:tc>
          <w:tcPr>
            <w:tcW w:w="380" w:type="dxa"/>
            <w:vAlign w:val="bottom"/>
          </w:tcPr>
          <w:p>
            <w:pPr>
              <w:spacing w:after="0"/>
              <w:rPr>
                <w:sz w:val="15"/>
                <w:szCs w:val="15"/>
                <w:color w:val="auto"/>
              </w:rPr>
            </w:pPr>
          </w:p>
        </w:tc>
        <w:tc>
          <w:tcPr>
            <w:tcW w:w="3020" w:type="dxa"/>
            <w:vAlign w:val="bottom"/>
            <w:gridSpan w:val="3"/>
            <w:vMerge w:val="continue"/>
            <w:shd w:val="clear" w:color="auto" w:fill="EAF3E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Office Clerical</w:t>
            </w:r>
          </w:p>
        </w:tc>
        <w:tc>
          <w:tcPr>
            <w:tcW w:w="380" w:type="dxa"/>
            <w:vAlign w:val="bottom"/>
          </w:tcPr>
          <w:p>
            <w:pPr>
              <w:spacing w:after="0"/>
              <w:rPr>
                <w:sz w:val="13"/>
                <w:szCs w:val="13"/>
                <w:color w:val="auto"/>
              </w:rPr>
            </w:pPr>
          </w:p>
        </w:tc>
        <w:tc>
          <w:tcPr>
            <w:tcW w:w="1020" w:type="dxa"/>
            <w:vAlign w:val="bottom"/>
            <w:shd w:val="clear" w:color="auto" w:fill="EAF3E3"/>
          </w:tcPr>
          <w:p>
            <w:pPr>
              <w:spacing w:after="0"/>
              <w:rPr>
                <w:sz w:val="13"/>
                <w:szCs w:val="13"/>
                <w:color w:val="auto"/>
              </w:rPr>
            </w:pPr>
          </w:p>
        </w:tc>
        <w:tc>
          <w:tcPr>
            <w:tcW w:w="320" w:type="dxa"/>
            <w:vAlign w:val="bottom"/>
            <w:shd w:val="clear" w:color="auto" w:fill="EAF3E3"/>
          </w:tcPr>
          <w:p>
            <w:pPr>
              <w:spacing w:after="0"/>
              <w:rPr>
                <w:sz w:val="13"/>
                <w:szCs w:val="13"/>
                <w:color w:val="auto"/>
              </w:rPr>
            </w:pPr>
          </w:p>
        </w:tc>
        <w:tc>
          <w:tcPr>
            <w:tcW w:w="1680" w:type="dxa"/>
            <w:vAlign w:val="bottom"/>
            <w:shd w:val="clear" w:color="auto" w:fill="EAF3E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1680" w:type="dxa"/>
            <w:vAlign w:val="bottom"/>
            <w:tcBorders>
              <w:bottom w:val="single" w:sz="8" w:color="7F7F7F"/>
            </w:tcBorders>
          </w:tcPr>
          <w:p>
            <w:pPr>
              <w:spacing w:after="0"/>
              <w:rPr>
                <w:sz w:val="24"/>
                <w:szCs w:val="24"/>
                <w:color w:val="auto"/>
              </w:rPr>
            </w:pPr>
          </w:p>
        </w:tc>
        <w:tc>
          <w:tcPr>
            <w:tcW w:w="380" w:type="dxa"/>
            <w:vAlign w:val="bottom"/>
            <w:tcBorders>
              <w:bottom w:val="single" w:sz="8" w:color="7F7F7F"/>
            </w:tcBorders>
          </w:tcPr>
          <w:p>
            <w:pPr>
              <w:spacing w:after="0"/>
              <w:rPr>
                <w:sz w:val="24"/>
                <w:szCs w:val="24"/>
                <w:color w:val="auto"/>
              </w:rPr>
            </w:pPr>
          </w:p>
        </w:tc>
        <w:tc>
          <w:tcPr>
            <w:tcW w:w="1020" w:type="dxa"/>
            <w:vAlign w:val="bottom"/>
            <w:tcBorders>
              <w:bottom w:val="single" w:sz="8" w:color="7F7F7F"/>
            </w:tcBorders>
          </w:tcPr>
          <w:p>
            <w:pPr>
              <w:spacing w:after="0"/>
              <w:rPr>
                <w:sz w:val="24"/>
                <w:szCs w:val="24"/>
                <w:color w:val="auto"/>
              </w:rPr>
            </w:pPr>
          </w:p>
        </w:tc>
        <w:tc>
          <w:tcPr>
            <w:tcW w:w="320" w:type="dxa"/>
            <w:vAlign w:val="bottom"/>
            <w:tcBorders>
              <w:bottom w:val="single" w:sz="8" w:color="7F7F7F"/>
            </w:tcBorders>
          </w:tcPr>
          <w:p>
            <w:pPr>
              <w:spacing w:after="0"/>
              <w:rPr>
                <w:sz w:val="24"/>
                <w:szCs w:val="24"/>
                <w:color w:val="auto"/>
              </w:rPr>
            </w:pPr>
          </w:p>
        </w:tc>
        <w:tc>
          <w:tcPr>
            <w:tcW w:w="1680" w:type="dxa"/>
            <w:vAlign w:val="bottom"/>
            <w:tcBorders>
              <w:bottom w:val="single" w:sz="8" w:color="7F7F7F"/>
            </w:tcBorders>
          </w:tcPr>
          <w:p>
            <w:pPr>
              <w:spacing w:after="0"/>
              <w:rPr>
                <w:sz w:val="24"/>
                <w:szCs w:val="24"/>
                <w:color w:val="auto"/>
              </w:rPr>
            </w:pPr>
          </w:p>
        </w:tc>
        <w:tc>
          <w:tcPr>
            <w:tcW w:w="2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1680" w:type="dxa"/>
            <w:vAlign w:val="bottom"/>
          </w:tcPr>
          <w:p>
            <w:pPr>
              <w:spacing w:after="0"/>
              <w:rPr>
                <w:sz w:val="20"/>
                <w:szCs w:val="20"/>
                <w:color w:val="auto"/>
              </w:rPr>
            </w:pPr>
            <w:r>
              <w:rPr>
                <w:rFonts w:ascii="Arial" w:cs="Arial" w:eastAsia="Arial" w:hAnsi="Arial"/>
                <w:sz w:val="23"/>
                <w:szCs w:val="23"/>
                <w:b w:val="1"/>
                <w:bCs w:val="1"/>
                <w:color w:val="0A9E50"/>
              </w:rPr>
              <w:t>Kelly</w:t>
            </w:r>
          </w:p>
        </w:tc>
        <w:tc>
          <w:tcPr>
            <w:tcW w:w="380" w:type="dxa"/>
            <w:vAlign w:val="bottom"/>
          </w:tcPr>
          <w:p>
            <w:pPr>
              <w:ind w:left="120"/>
              <w:spacing w:after="0"/>
              <w:rPr>
                <w:sz w:val="20"/>
                <w:szCs w:val="20"/>
                <w:color w:val="auto"/>
              </w:rPr>
            </w:pPr>
            <w:r>
              <w:rPr>
                <w:rFonts w:ascii="Arial" w:cs="Arial" w:eastAsia="Arial" w:hAnsi="Arial"/>
                <w:sz w:val="21"/>
                <w:szCs w:val="21"/>
                <w:color w:val="auto"/>
              </w:rPr>
              <w:t> </w:t>
            </w:r>
          </w:p>
        </w:tc>
        <w:tc>
          <w:tcPr>
            <w:tcW w:w="1340" w:type="dxa"/>
            <w:vAlign w:val="bottom"/>
            <w:gridSpan w:val="2"/>
            <w:vMerge w:val="restart"/>
          </w:tcPr>
          <w:p>
            <w:pPr>
              <w:jc w:val="center"/>
              <w:ind w:left="99"/>
              <w:spacing w:after="0"/>
              <w:rPr>
                <w:sz w:val="20"/>
                <w:szCs w:val="20"/>
                <w:color w:val="auto"/>
              </w:rPr>
            </w:pPr>
            <w:r>
              <w:rPr>
                <w:rFonts w:ascii="Arial" w:cs="Arial" w:eastAsia="Arial" w:hAnsi="Arial"/>
                <w:sz w:val="26"/>
                <w:szCs w:val="26"/>
                <w:b w:val="1"/>
                <w:bCs w:val="1"/>
                <w:color w:val="0A9E50"/>
              </w:rPr>
              <w:t>$0.9B</w:t>
            </w:r>
          </w:p>
        </w:tc>
        <w:tc>
          <w:tcPr>
            <w:tcW w:w="1680" w:type="dxa"/>
            <w:vAlign w:val="bottom"/>
          </w:tcPr>
          <w:p>
            <w:pPr>
              <w:jc w:val="right"/>
              <w:ind w:right="1400"/>
              <w:spacing w:after="0"/>
              <w:rPr>
                <w:sz w:val="20"/>
                <w:szCs w:val="20"/>
                <w:color w:val="auto"/>
              </w:rPr>
            </w:pPr>
            <w:r>
              <w:rPr>
                <w:rFonts w:ascii="Arial" w:cs="Arial" w:eastAsia="Arial" w:hAnsi="Arial"/>
                <w:sz w:val="5"/>
                <w:szCs w:val="5"/>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680" w:type="dxa"/>
            <w:vAlign w:val="bottom"/>
            <w:vMerge w:val="restart"/>
          </w:tcPr>
          <w:p>
            <w:pPr>
              <w:spacing w:after="0"/>
              <w:rPr>
                <w:sz w:val="20"/>
                <w:szCs w:val="20"/>
                <w:color w:val="auto"/>
              </w:rPr>
            </w:pPr>
            <w:r>
              <w:rPr>
                <w:rFonts w:ascii="Arial" w:cs="Arial" w:eastAsia="Arial" w:hAnsi="Arial"/>
                <w:sz w:val="23"/>
                <w:szCs w:val="23"/>
                <w:b w:val="1"/>
                <w:bCs w:val="1"/>
                <w:color w:val="auto"/>
              </w:rPr>
              <w:t>International</w:t>
            </w:r>
            <w:r>
              <w:rPr>
                <w:rFonts w:ascii="Arial" w:cs="Arial" w:eastAsia="Arial" w:hAnsi="Arial"/>
                <w:sz w:val="33"/>
                <w:szCs w:val="33"/>
                <w:b w:val="1"/>
                <w:bCs w:val="1"/>
                <w:color w:val="auto"/>
                <w:vertAlign w:val="superscript"/>
              </w:rPr>
              <w:t>(3)</w:t>
            </w:r>
          </w:p>
        </w:tc>
        <w:tc>
          <w:tcPr>
            <w:tcW w:w="38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1680" w:type="dxa"/>
            <w:vAlign w:val="bottom"/>
          </w:tcPr>
          <w:p>
            <w:pPr>
              <w:jc w:val="right"/>
              <w:ind w:right="260"/>
              <w:spacing w:after="0"/>
              <w:rPr>
                <w:sz w:val="20"/>
                <w:szCs w:val="20"/>
                <w:color w:val="auto"/>
              </w:rPr>
            </w:pPr>
            <w:r>
              <w:rPr>
                <w:rFonts w:ascii="Arial" w:cs="Arial" w:eastAsia="Arial" w:hAnsi="Arial"/>
                <w:sz w:val="26"/>
                <w:szCs w:val="26"/>
                <w:b w:val="1"/>
                <w:bCs w:val="1"/>
                <w:color w:val="0A9E50"/>
              </w:rPr>
              <w:t>15.1%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vMerge w:val="restart"/>
          </w:tcPr>
          <w:p>
            <w:pPr>
              <w:ind w:left="380"/>
              <w:spacing w:after="0"/>
              <w:rPr>
                <w:sz w:val="20"/>
                <w:szCs w:val="20"/>
                <w:color w:val="auto"/>
              </w:rPr>
            </w:pPr>
            <w:r>
              <w:rPr>
                <w:rFonts w:ascii="Arial" w:cs="Arial" w:eastAsia="Arial" w:hAnsi="Arial"/>
                <w:sz w:val="16"/>
                <w:szCs w:val="16"/>
                <w:b w:val="1"/>
                <w:bCs w:val="1"/>
                <w:color w:val="auto"/>
                <w:w w:val="92"/>
              </w:rPr>
              <w:t>Revenue</w:t>
            </w:r>
          </w:p>
        </w:tc>
        <w:tc>
          <w:tcPr>
            <w:tcW w:w="320" w:type="dxa"/>
            <w:vAlign w:val="bottom"/>
          </w:tcPr>
          <w:p>
            <w:pPr>
              <w:jc w:val="right"/>
              <w:ind w:right="121"/>
              <w:spacing w:after="0" w:line="118" w:lineRule="exact"/>
              <w:rPr>
                <w:sz w:val="20"/>
                <w:szCs w:val="20"/>
                <w:color w:val="auto"/>
              </w:rPr>
            </w:pPr>
            <w:r>
              <w:rPr>
                <w:rFonts w:ascii="Arial" w:cs="Arial" w:eastAsia="Arial" w:hAnsi="Arial"/>
                <w:sz w:val="12"/>
                <w:szCs w:val="12"/>
                <w:b w:val="1"/>
                <w:bCs w:val="1"/>
                <w:color w:val="auto"/>
                <w:w w:val="81"/>
              </w:rPr>
              <w:t>(1)</w:t>
            </w:r>
          </w:p>
        </w:tc>
        <w:tc>
          <w:tcPr>
            <w:tcW w:w="1680" w:type="dxa"/>
            <w:vAlign w:val="bottom"/>
          </w:tcPr>
          <w:p>
            <w:pPr>
              <w:jc w:val="right"/>
              <w:ind w:right="240"/>
              <w:spacing w:after="0" w:line="118" w:lineRule="exact"/>
              <w:rPr>
                <w:sz w:val="20"/>
                <w:szCs w:val="20"/>
                <w:color w:val="auto"/>
              </w:rPr>
            </w:pPr>
            <w:r>
              <w:rPr>
                <w:rFonts w:ascii="Arial" w:cs="Arial" w:eastAsia="Arial" w:hAnsi="Arial"/>
                <w:sz w:val="12"/>
                <w:szCs w:val="12"/>
                <w:b w:val="1"/>
                <w:bCs w:val="1"/>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680" w:type="dxa"/>
            <w:vAlign w:val="bottom"/>
          </w:tcPr>
          <w:p>
            <w:pPr>
              <w:ind w:left="600"/>
              <w:spacing w:after="0" w:line="132" w:lineRule="exact"/>
              <w:rPr>
                <w:sz w:val="20"/>
                <w:szCs w:val="20"/>
                <w:color w:val="auto"/>
              </w:rPr>
            </w:pPr>
            <w:r>
              <w:rPr>
                <w:rFonts w:ascii="Arial" w:cs="Arial" w:eastAsia="Arial" w:hAnsi="Arial"/>
                <w:sz w:val="14"/>
                <w:szCs w:val="14"/>
                <w:b w:val="1"/>
                <w:bCs w:val="1"/>
                <w:color w:val="auto"/>
              </w:rPr>
              <w:t>GP Rate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-396875</wp:posOffset>
            </wp:positionV>
            <wp:extent cx="1924685" cy="5124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24685" cy="512445"/>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68"/>
        </w:trPr>
        <w:tc>
          <w:tcPr>
            <w:tcW w:w="2060" w:type="dxa"/>
            <w:vAlign w:val="bottom"/>
          </w:tcPr>
          <w:p>
            <w:pPr>
              <w:spacing w:after="0" w:line="168" w:lineRule="exact"/>
              <w:rPr>
                <w:sz w:val="20"/>
                <w:szCs w:val="20"/>
                <w:color w:val="auto"/>
              </w:rPr>
            </w:pPr>
            <w:r>
              <w:rPr>
                <w:rFonts w:ascii="Arial" w:cs="Arial" w:eastAsia="Arial" w:hAnsi="Arial"/>
                <w:sz w:val="16"/>
                <w:szCs w:val="16"/>
                <w:b w:val="1"/>
                <w:bCs w:val="1"/>
                <w:color w:val="auto"/>
              </w:rPr>
              <w:t>Specialties</w:t>
            </w: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60" w:type="dxa"/>
            <w:vAlign w:val="bottom"/>
            <w:vMerge w:val="restart"/>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Life Sciences</w:t>
            </w: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vMerge w:val="continue"/>
          </w:tcPr>
          <w:p>
            <w:pPr>
              <w:spacing w:after="0"/>
              <w:rPr>
                <w:sz w:val="7"/>
                <w:szCs w:val="7"/>
                <w:color w:val="auto"/>
              </w:rPr>
            </w:pPr>
          </w:p>
        </w:tc>
        <w:tc>
          <w:tcPr>
            <w:tcW w:w="3020" w:type="dxa"/>
            <w:vAlign w:val="bottom"/>
            <w:shd w:val="clear" w:color="auto" w:fill="EAF3E3"/>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IT</w:t>
            </w:r>
          </w:p>
        </w:tc>
        <w:tc>
          <w:tcPr>
            <w:tcW w:w="3020" w:type="dxa"/>
            <w:vAlign w:val="bottom"/>
            <w:shd w:val="clear" w:color="auto" w:fill="EAF3E3"/>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Finance</w:t>
            </w:r>
          </w:p>
        </w:tc>
        <w:tc>
          <w:tcPr>
            <w:tcW w:w="3020" w:type="dxa"/>
            <w:vAlign w:val="bottom"/>
            <w:vMerge w:val="restart"/>
            <w:shd w:val="clear" w:color="auto" w:fill="EAF3E3"/>
          </w:tcPr>
          <w:p>
            <w:pPr>
              <w:ind w:left="680"/>
              <w:spacing w:after="0"/>
              <w:rPr>
                <w:sz w:val="20"/>
                <w:szCs w:val="20"/>
                <w:color w:val="auto"/>
              </w:rPr>
            </w:pPr>
            <w:r>
              <w:rPr>
                <w:rFonts w:ascii="Arial" w:cs="Arial" w:eastAsia="Arial" w:hAnsi="Arial"/>
                <w:sz w:val="21"/>
                <w:szCs w:val="21"/>
                <w:b w:val="1"/>
                <w:bCs w:val="1"/>
                <w:color w:val="0A9E50"/>
              </w:rPr>
              <w:t xml:space="preserve">   EMEA and Mexico</w:t>
            </w:r>
          </w:p>
        </w:tc>
        <w:tc>
          <w:tcPr>
            <w:tcW w:w="0" w:type="dxa"/>
            <w:vAlign w:val="bottom"/>
          </w:tcPr>
          <w:p>
            <w:pPr>
              <w:spacing w:after="0"/>
              <w:rPr>
                <w:sz w:val="1"/>
                <w:szCs w:val="1"/>
                <w:color w:val="auto"/>
              </w:rPr>
            </w:pPr>
          </w:p>
        </w:tc>
      </w:tr>
      <w:tr>
        <w:trPr>
          <w:trHeight w:val="129"/>
        </w:trPr>
        <w:tc>
          <w:tcPr>
            <w:tcW w:w="2060" w:type="dxa"/>
            <w:vAlign w:val="bottom"/>
            <w:vMerge w:val="restart"/>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Other Local</w:t>
            </w:r>
          </w:p>
        </w:tc>
        <w:tc>
          <w:tcPr>
            <w:tcW w:w="3020" w:type="dxa"/>
            <w:vAlign w:val="bottom"/>
            <w:vMerge w:val="continue"/>
            <w:shd w:val="clear" w:color="auto" w:fill="EAF3E3"/>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60" w:type="dxa"/>
            <w:vAlign w:val="bottom"/>
            <w:vMerge w:val="continue"/>
          </w:tcPr>
          <w:p>
            <w:pPr>
              <w:spacing w:after="0"/>
              <w:rPr>
                <w:sz w:val="4"/>
                <w:szCs w:val="4"/>
                <w:color w:val="auto"/>
              </w:rPr>
            </w:pPr>
          </w:p>
        </w:tc>
        <w:tc>
          <w:tcPr>
            <w:tcW w:w="3020" w:type="dxa"/>
            <w:vAlign w:val="bottom"/>
            <w:shd w:val="clear" w:color="auto" w:fill="EAF3E3"/>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60" w:type="dxa"/>
            <w:vAlign w:val="bottom"/>
          </w:tcPr>
          <w:p>
            <w:pPr>
              <w:ind w:left="160"/>
              <w:spacing w:after="0" w:line="135" w:lineRule="exact"/>
              <w:rPr>
                <w:sz w:val="20"/>
                <w:szCs w:val="20"/>
                <w:color w:val="auto"/>
              </w:rPr>
            </w:pPr>
            <w:r>
              <w:rPr>
                <w:rFonts w:ascii="Arial" w:cs="Arial" w:eastAsia="Arial" w:hAnsi="Arial"/>
                <w:sz w:val="14"/>
                <w:szCs w:val="14"/>
                <w:color w:val="auto"/>
              </w:rPr>
              <w:t>Professional Niches</w:t>
            </w:r>
          </w:p>
        </w:tc>
        <w:tc>
          <w:tcPr>
            <w:tcW w:w="3020" w:type="dxa"/>
            <w:vAlign w:val="bottom"/>
            <w:shd w:val="clear" w:color="auto" w:fill="EAF3E3"/>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222885</wp:posOffset>
            </wp:positionV>
            <wp:extent cx="3238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0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500" w:hanging="184"/>
        <w:spacing w:after="0"/>
        <w:tabs>
          <w:tab w:leader="none" w:pos="500" w:val="left"/>
        </w:tabs>
        <w:numPr>
          <w:ilvl w:val="0"/>
          <w:numId w:val="8"/>
        </w:numPr>
        <w:rPr>
          <w:rFonts w:ascii="Arial" w:cs="Arial" w:eastAsia="Arial" w:hAnsi="Arial"/>
          <w:sz w:val="12"/>
          <w:szCs w:val="12"/>
          <w:color w:val="auto"/>
        </w:rPr>
      </w:pPr>
      <w:r>
        <w:rPr>
          <w:rFonts w:ascii="Arial" w:cs="Arial" w:eastAsia="Arial" w:hAnsi="Arial"/>
          <w:sz w:val="12"/>
          <w:szCs w:val="12"/>
          <w:color w:val="auto"/>
        </w:rPr>
        <w:t>Kelly size and margin profiles are based on 2023 full year results</w:t>
      </w:r>
    </w:p>
    <w:p>
      <w:pPr>
        <w:spacing w:after="0" w:line="57" w:lineRule="exact"/>
        <w:rPr>
          <w:rFonts w:ascii="Arial" w:cs="Arial" w:eastAsia="Arial" w:hAnsi="Arial"/>
          <w:sz w:val="12"/>
          <w:szCs w:val="12"/>
          <w:color w:val="auto"/>
        </w:rPr>
      </w:pPr>
    </w:p>
    <w:p>
      <w:pPr>
        <w:ind w:left="320" w:right="260" w:hanging="4"/>
        <w:spacing w:after="0" w:line="264" w:lineRule="auto"/>
        <w:tabs>
          <w:tab w:leader="none" w:pos="502" w:val="left"/>
        </w:tabs>
        <w:numPr>
          <w:ilvl w:val="0"/>
          <w:numId w:val="8"/>
        </w:numPr>
        <w:rPr>
          <w:rFonts w:ascii="Arial" w:cs="Arial" w:eastAsia="Arial" w:hAnsi="Arial"/>
          <w:sz w:val="12"/>
          <w:szCs w:val="12"/>
          <w:color w:val="auto"/>
        </w:rPr>
      </w:pPr>
      <w:r>
        <w:rPr>
          <w:rFonts w:ascii="Arial" w:cs="Arial" w:eastAsia="Arial" w:hAnsi="Arial"/>
          <w:sz w:val="12"/>
          <w:szCs w:val="12"/>
          <w:color w:val="auto"/>
        </w:rPr>
        <w:t>Managed Service Provider (“MSP”); Recruitment Process Outsourcing (“RPO”); Payroll Process Outsourcing (“PPO”)</w:t>
      </w:r>
    </w:p>
    <w:p>
      <w:pPr>
        <w:spacing w:after="0" w:line="34" w:lineRule="exact"/>
        <w:rPr>
          <w:rFonts w:ascii="Arial" w:cs="Arial" w:eastAsia="Arial" w:hAnsi="Arial"/>
          <w:sz w:val="12"/>
          <w:szCs w:val="12"/>
          <w:color w:val="auto"/>
        </w:rPr>
      </w:pPr>
    </w:p>
    <w:p>
      <w:pPr>
        <w:ind w:left="320" w:right="40" w:hanging="4"/>
        <w:spacing w:after="0" w:line="239" w:lineRule="auto"/>
        <w:tabs>
          <w:tab w:leader="none" w:pos="502" w:val="left"/>
        </w:tabs>
        <w:numPr>
          <w:ilvl w:val="0"/>
          <w:numId w:val="8"/>
        </w:numPr>
        <w:rPr>
          <w:rFonts w:ascii="Arial" w:cs="Arial" w:eastAsia="Arial" w:hAnsi="Arial"/>
          <w:sz w:val="12"/>
          <w:szCs w:val="12"/>
          <w:color w:val="auto"/>
        </w:rPr>
      </w:pPr>
      <w:r>
        <w:rPr>
          <w:rFonts w:ascii="Arial" w:cs="Arial" w:eastAsia="Arial" w:hAnsi="Arial"/>
          <w:sz w:val="12"/>
          <w:szCs w:val="12"/>
          <w:color w:val="auto"/>
        </w:rPr>
        <w:t>On January 2, 2024, Kelly announced that it completed the sale of its European staffing business within its International operating segment. Following the sale, the remaining business in the International segment was absorbed by the P&amp;I, SET, and OCG segments, and the International segment no longer exists as a reportable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FFFFFF"/>
        </w:rPr>
        <w:t>Accelerate Organic and Inorganic Growth</w:t>
      </w: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1680" w:type="dxa"/>
            <w:vAlign w:val="bottom"/>
          </w:tcPr>
          <w:p>
            <w:pPr>
              <w:spacing w:after="0"/>
              <w:rPr>
                <w:sz w:val="20"/>
                <w:szCs w:val="20"/>
                <w:color w:val="auto"/>
              </w:rPr>
            </w:pPr>
            <w:r>
              <w:rPr>
                <w:rFonts w:ascii="Arial" w:cs="Arial" w:eastAsia="Arial" w:hAnsi="Arial"/>
                <w:sz w:val="23"/>
                <w:szCs w:val="23"/>
                <w:b w:val="1"/>
                <w:bCs w:val="1"/>
                <w:color w:val="0A9E50"/>
              </w:rPr>
              <w:t xml:space="preserve">Kelly </w:t>
            </w:r>
            <w:r>
              <w:rPr>
                <w:rFonts w:ascii="Arial" w:cs="Arial" w:eastAsia="Arial" w:hAnsi="Arial"/>
                <w:sz w:val="23"/>
                <w:szCs w:val="23"/>
                <w:b w:val="1"/>
                <w:bCs w:val="1"/>
                <w:color w:val="000000"/>
              </w:rPr>
              <w:t>Science,</w:t>
            </w:r>
          </w:p>
        </w:tc>
        <w:tc>
          <w:tcPr>
            <w:tcW w:w="1100" w:type="dxa"/>
            <w:vAlign w:val="bottom"/>
          </w:tcPr>
          <w:p>
            <w:pPr>
              <w:ind w:left="160"/>
              <w:spacing w:after="0"/>
              <w:rPr>
                <w:sz w:val="20"/>
                <w:szCs w:val="20"/>
                <w:color w:val="auto"/>
              </w:rPr>
            </w:pPr>
            <w:r>
              <w:rPr>
                <w:rFonts w:ascii="Arial" w:cs="Arial" w:eastAsia="Arial" w:hAnsi="Arial"/>
                <w:sz w:val="21"/>
                <w:szCs w:val="21"/>
                <w:color w:val="auto"/>
              </w:rPr>
              <w:t> </w:t>
            </w:r>
          </w:p>
        </w:tc>
        <w:tc>
          <w:tcPr>
            <w:tcW w:w="880" w:type="dxa"/>
            <w:vAlign w:val="bottom"/>
          </w:tcPr>
          <w:p>
            <w:pPr>
              <w:ind w:left="880"/>
              <w:spacing w:after="0"/>
              <w:rPr>
                <w:sz w:val="20"/>
                <w:szCs w:val="20"/>
                <w:color w:val="auto"/>
              </w:rPr>
            </w:pPr>
            <w:r>
              <w:rPr>
                <w:rFonts w:ascii="Arial" w:cs="Arial" w:eastAsia="Arial" w:hAnsi="Arial"/>
                <w:sz w:val="1"/>
                <w:szCs w:val="1"/>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-42545</wp:posOffset>
            </wp:positionV>
            <wp:extent cx="1957705" cy="6197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57705" cy="6197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08"/>
        </w:trPr>
        <w:tc>
          <w:tcPr>
            <w:tcW w:w="1780" w:type="dxa"/>
            <w:vAlign w:val="bottom"/>
            <w:vMerge w:val="restart"/>
          </w:tcPr>
          <w:p>
            <w:pPr>
              <w:ind w:left="20"/>
              <w:spacing w:after="0"/>
              <w:rPr>
                <w:sz w:val="20"/>
                <w:szCs w:val="20"/>
                <w:color w:val="auto"/>
              </w:rPr>
            </w:pPr>
            <w:r>
              <w:rPr>
                <w:rFonts w:ascii="Arial" w:cs="Arial" w:eastAsia="Arial" w:hAnsi="Arial"/>
                <w:sz w:val="23"/>
                <w:szCs w:val="23"/>
                <w:b w:val="1"/>
                <w:bCs w:val="1"/>
                <w:color w:val="auto"/>
              </w:rPr>
              <w:t>Engineering,</w:t>
            </w:r>
          </w:p>
        </w:tc>
        <w:tc>
          <w:tcPr>
            <w:tcW w:w="340" w:type="dxa"/>
            <w:vAlign w:val="bottom"/>
          </w:tcPr>
          <w:p>
            <w:pPr>
              <w:spacing w:after="0"/>
              <w:rPr>
                <w:sz w:val="24"/>
                <w:szCs w:val="24"/>
                <w:color w:val="auto"/>
              </w:rPr>
            </w:pPr>
          </w:p>
        </w:tc>
        <w:tc>
          <w:tcPr>
            <w:tcW w:w="1320" w:type="dxa"/>
            <w:vAlign w:val="bottom"/>
          </w:tcPr>
          <w:p>
            <w:pPr>
              <w:jc w:val="center"/>
              <w:ind w:left="162"/>
              <w:spacing w:after="0"/>
              <w:rPr>
                <w:sz w:val="20"/>
                <w:szCs w:val="20"/>
                <w:color w:val="auto"/>
              </w:rPr>
            </w:pPr>
            <w:r>
              <w:rPr>
                <w:rFonts w:ascii="Arial" w:cs="Arial" w:eastAsia="Arial" w:hAnsi="Arial"/>
                <w:sz w:val="26"/>
                <w:szCs w:val="26"/>
                <w:b w:val="1"/>
                <w:bCs w:val="1"/>
                <w:color w:val="0A9E50"/>
              </w:rPr>
              <w:t>$1.2B</w:t>
            </w:r>
          </w:p>
        </w:tc>
        <w:tc>
          <w:tcPr>
            <w:tcW w:w="1780" w:type="dxa"/>
            <w:vAlign w:val="bottom"/>
            <w:gridSpan w:val="3"/>
          </w:tcPr>
          <w:p>
            <w:pPr>
              <w:ind w:left="680"/>
              <w:spacing w:after="0"/>
              <w:rPr>
                <w:sz w:val="20"/>
                <w:szCs w:val="20"/>
                <w:color w:val="auto"/>
              </w:rPr>
            </w:pPr>
            <w:r>
              <w:rPr>
                <w:rFonts w:ascii="Arial" w:cs="Arial" w:eastAsia="Arial" w:hAnsi="Arial"/>
                <w:sz w:val="26"/>
                <w:szCs w:val="26"/>
                <w:b w:val="1"/>
                <w:bCs w:val="1"/>
                <w:color w:val="0A9E50"/>
              </w:rPr>
              <w:t>22.8%</w:t>
            </w:r>
          </w:p>
        </w:tc>
        <w:tc>
          <w:tcPr>
            <w:tcW w:w="0" w:type="dxa"/>
            <w:vAlign w:val="bottom"/>
          </w:tcPr>
          <w:p>
            <w:pPr>
              <w:spacing w:after="0"/>
              <w:rPr>
                <w:sz w:val="1"/>
                <w:szCs w:val="1"/>
                <w:color w:val="auto"/>
              </w:rPr>
            </w:pPr>
          </w:p>
        </w:tc>
      </w:tr>
      <w:tr>
        <w:trPr>
          <w:trHeight w:val="157"/>
        </w:trPr>
        <w:tc>
          <w:tcPr>
            <w:tcW w:w="17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jc w:val="center"/>
              <w:ind w:left="162"/>
              <w:spacing w:after="0" w:line="157" w:lineRule="exact"/>
              <w:rPr>
                <w:sz w:val="20"/>
                <w:szCs w:val="20"/>
                <w:color w:val="auto"/>
              </w:rPr>
            </w:pPr>
            <w:r>
              <w:rPr>
                <w:rFonts w:ascii="Arial" w:cs="Arial" w:eastAsia="Arial" w:hAnsi="Arial"/>
                <w:sz w:val="13"/>
                <w:szCs w:val="13"/>
                <w:b w:val="1"/>
                <w:bCs w:val="1"/>
                <w:color w:val="auto"/>
              </w:rPr>
              <w:t>Revenue</w:t>
            </w:r>
            <w:r>
              <w:rPr>
                <w:rFonts w:ascii="Arial" w:cs="Arial" w:eastAsia="Arial" w:hAnsi="Arial"/>
                <w:sz w:val="18"/>
                <w:szCs w:val="18"/>
                <w:b w:val="1"/>
                <w:bCs w:val="1"/>
                <w:color w:val="auto"/>
                <w:vertAlign w:val="superscript"/>
              </w:rPr>
              <w:t>(1)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ind w:left="380"/>
              <w:spacing w:after="0" w:line="157" w:lineRule="exact"/>
              <w:rPr>
                <w:sz w:val="20"/>
                <w:szCs w:val="20"/>
                <w:color w:val="auto"/>
              </w:rPr>
            </w:pPr>
            <w:r>
              <w:rPr>
                <w:rFonts w:ascii="Arial" w:cs="Arial" w:eastAsia="Arial" w:hAnsi="Arial"/>
                <w:sz w:val="13"/>
                <w:szCs w:val="13"/>
                <w:b w:val="1"/>
                <w:bCs w:val="1"/>
                <w:color w:val="auto"/>
              </w:rPr>
              <w:t>GP Rate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68"/>
        </w:trPr>
        <w:tc>
          <w:tcPr>
            <w:tcW w:w="1780" w:type="dxa"/>
            <w:vAlign w:val="bottom"/>
          </w:tcPr>
          <w:p>
            <w:pPr>
              <w:ind w:left="20"/>
              <w:spacing w:after="0"/>
              <w:rPr>
                <w:sz w:val="20"/>
                <w:szCs w:val="20"/>
                <w:color w:val="auto"/>
              </w:rPr>
            </w:pPr>
            <w:r>
              <w:rPr>
                <w:rFonts w:ascii="Arial" w:cs="Arial" w:eastAsia="Arial" w:hAnsi="Arial"/>
                <w:sz w:val="23"/>
                <w:szCs w:val="23"/>
                <w:b w:val="1"/>
                <w:bCs w:val="1"/>
                <w:color w:val="auto"/>
              </w:rPr>
              <w:t>Technology &amp;</w:t>
            </w: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780" w:type="dxa"/>
            <w:vAlign w:val="bottom"/>
          </w:tcPr>
          <w:p>
            <w:pPr>
              <w:ind w:left="20"/>
              <w:spacing w:after="0"/>
              <w:rPr>
                <w:sz w:val="20"/>
                <w:szCs w:val="20"/>
                <w:color w:val="auto"/>
              </w:rPr>
            </w:pPr>
            <w:r>
              <w:rPr>
                <w:rFonts w:ascii="Arial" w:cs="Arial" w:eastAsia="Arial" w:hAnsi="Arial"/>
                <w:sz w:val="23"/>
                <w:szCs w:val="23"/>
                <w:b w:val="1"/>
                <w:bCs w:val="1"/>
                <w:color w:val="auto"/>
              </w:rPr>
              <w:t>Telecom</w:t>
            </w: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780" w:type="dxa"/>
            <w:vAlign w:val="bottom"/>
          </w:tcPr>
          <w:p>
            <w:pPr>
              <w:ind w:left="20"/>
              <w:spacing w:after="0"/>
              <w:rPr>
                <w:sz w:val="20"/>
                <w:szCs w:val="20"/>
                <w:color w:val="auto"/>
              </w:rPr>
            </w:pPr>
            <w:r>
              <w:rPr>
                <w:rFonts w:ascii="Arial" w:cs="Arial" w:eastAsia="Arial" w:hAnsi="Arial"/>
                <w:sz w:val="16"/>
                <w:szCs w:val="16"/>
                <w:b w:val="1"/>
                <w:bCs w:val="1"/>
                <w:color w:val="auto"/>
              </w:rPr>
              <w:t>Specialties</w:t>
            </w:r>
          </w:p>
        </w:tc>
        <w:tc>
          <w:tcPr>
            <w:tcW w:w="340" w:type="dxa"/>
            <w:vAlign w:val="bottom"/>
          </w:tcPr>
          <w:p>
            <w:pPr>
              <w:spacing w:after="0"/>
              <w:rPr>
                <w:sz w:val="23"/>
                <w:szCs w:val="23"/>
                <w:color w:val="auto"/>
              </w:rPr>
            </w:pPr>
          </w:p>
        </w:tc>
        <w:tc>
          <w:tcPr>
            <w:tcW w:w="1320" w:type="dxa"/>
            <w:vAlign w:val="bottom"/>
            <w:shd w:val="clear" w:color="auto" w:fill="EDEDED"/>
          </w:tcPr>
          <w:p>
            <w:pPr>
              <w:spacing w:after="0"/>
              <w:rPr>
                <w:sz w:val="23"/>
                <w:szCs w:val="23"/>
                <w:color w:val="auto"/>
              </w:rPr>
            </w:pPr>
          </w:p>
        </w:tc>
        <w:tc>
          <w:tcPr>
            <w:tcW w:w="200" w:type="dxa"/>
            <w:vAlign w:val="bottom"/>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1500" w:type="dxa"/>
            <w:vAlign w:val="bottom"/>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Engineering</w:t>
            </w:r>
          </w:p>
        </w:tc>
        <w:tc>
          <w:tcPr>
            <w:tcW w:w="340" w:type="dxa"/>
            <w:vAlign w:val="bottom"/>
          </w:tcPr>
          <w:p>
            <w:pPr>
              <w:spacing w:after="0"/>
              <w:rPr>
                <w:sz w:val="15"/>
                <w:szCs w:val="15"/>
                <w:color w:val="auto"/>
              </w:rPr>
            </w:pPr>
          </w:p>
        </w:tc>
        <w:tc>
          <w:tcPr>
            <w:tcW w:w="3100" w:type="dxa"/>
            <w:vAlign w:val="bottom"/>
            <w:gridSpan w:val="4"/>
            <w:vMerge w:val="restart"/>
            <w:shd w:val="clear" w:color="auto" w:fill="EDEDED"/>
          </w:tcPr>
          <w:p>
            <w:pPr>
              <w:jc w:val="center"/>
              <w:ind w:left="202"/>
              <w:spacing w:after="0"/>
              <w:rPr>
                <w:sz w:val="20"/>
                <w:szCs w:val="20"/>
                <w:color w:val="auto"/>
              </w:rPr>
            </w:pPr>
            <w:r>
              <w:rPr>
                <w:rFonts w:ascii="Arial" w:cs="Arial" w:eastAsia="Arial" w:hAnsi="Arial"/>
                <w:sz w:val="21"/>
                <w:szCs w:val="21"/>
                <w:b w:val="1"/>
                <w:bCs w:val="1"/>
                <w:color w:val="0A9E50"/>
                <w:w w:val="95"/>
              </w:rPr>
              <w:t xml:space="preserve">   North America</w:t>
            </w:r>
          </w:p>
        </w:tc>
        <w:tc>
          <w:tcPr>
            <w:tcW w:w="0" w:type="dxa"/>
            <w:vAlign w:val="bottom"/>
          </w:tcPr>
          <w:p>
            <w:pPr>
              <w:spacing w:after="0"/>
              <w:rPr>
                <w:sz w:val="1"/>
                <w:szCs w:val="1"/>
                <w:color w:val="auto"/>
              </w:rPr>
            </w:pPr>
          </w:p>
        </w:tc>
      </w:tr>
      <w:tr>
        <w:trPr>
          <w:trHeight w:val="129"/>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Science &amp; Clinical</w:t>
            </w:r>
          </w:p>
        </w:tc>
        <w:tc>
          <w:tcPr>
            <w:tcW w:w="340" w:type="dxa"/>
            <w:vAlign w:val="bottom"/>
          </w:tcPr>
          <w:p>
            <w:pPr>
              <w:spacing w:after="0"/>
              <w:rPr>
                <w:sz w:val="11"/>
                <w:szCs w:val="11"/>
                <w:color w:val="auto"/>
              </w:rPr>
            </w:pPr>
          </w:p>
        </w:tc>
        <w:tc>
          <w:tcPr>
            <w:tcW w:w="3100" w:type="dxa"/>
            <w:vAlign w:val="bottom"/>
            <w:gridSpan w:val="4"/>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7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320" w:type="dxa"/>
            <w:vAlign w:val="bottom"/>
            <w:shd w:val="clear" w:color="auto" w:fill="EDEDED"/>
          </w:tcPr>
          <w:p>
            <w:pPr>
              <w:spacing w:after="0"/>
              <w:rPr>
                <w:sz w:val="4"/>
                <w:szCs w:val="4"/>
                <w:color w:val="auto"/>
              </w:rPr>
            </w:pPr>
          </w:p>
        </w:tc>
        <w:tc>
          <w:tcPr>
            <w:tcW w:w="200" w:type="dxa"/>
            <w:vAlign w:val="bottom"/>
            <w:shd w:val="clear" w:color="auto" w:fill="EDEDED"/>
          </w:tcPr>
          <w:p>
            <w:pPr>
              <w:spacing w:after="0"/>
              <w:rPr>
                <w:sz w:val="4"/>
                <w:szCs w:val="4"/>
                <w:color w:val="auto"/>
              </w:rPr>
            </w:pPr>
          </w:p>
        </w:tc>
        <w:tc>
          <w:tcPr>
            <w:tcW w:w="80" w:type="dxa"/>
            <w:vAlign w:val="bottom"/>
            <w:shd w:val="clear" w:color="auto" w:fill="EDEDED"/>
          </w:tcPr>
          <w:p>
            <w:pPr>
              <w:spacing w:after="0"/>
              <w:rPr>
                <w:sz w:val="4"/>
                <w:szCs w:val="4"/>
                <w:color w:val="auto"/>
              </w:rPr>
            </w:pPr>
          </w:p>
        </w:tc>
        <w:tc>
          <w:tcPr>
            <w:tcW w:w="1500" w:type="dxa"/>
            <w:vAlign w:val="bottom"/>
            <w:shd w:val="clear" w:color="auto" w:fill="EDEDED"/>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Technology</w:t>
            </w:r>
          </w:p>
        </w:tc>
        <w:tc>
          <w:tcPr>
            <w:tcW w:w="340" w:type="dxa"/>
            <w:vAlign w:val="bottom"/>
          </w:tcPr>
          <w:p>
            <w:pPr>
              <w:spacing w:after="0"/>
              <w:rPr>
                <w:sz w:val="15"/>
                <w:szCs w:val="15"/>
                <w:color w:val="auto"/>
              </w:rPr>
            </w:pPr>
          </w:p>
        </w:tc>
        <w:tc>
          <w:tcPr>
            <w:tcW w:w="132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80" w:type="dxa"/>
            <w:vAlign w:val="bottom"/>
            <w:shd w:val="clear" w:color="auto" w:fill="EDEDED"/>
          </w:tcPr>
          <w:p>
            <w:pPr>
              <w:spacing w:after="0"/>
              <w:rPr>
                <w:sz w:val="15"/>
                <w:szCs w:val="15"/>
                <w:color w:val="auto"/>
              </w:rPr>
            </w:pPr>
          </w:p>
        </w:tc>
        <w:tc>
          <w:tcPr>
            <w:tcW w:w="150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Telecom</w:t>
            </w:r>
          </w:p>
        </w:tc>
        <w:tc>
          <w:tcPr>
            <w:tcW w:w="340" w:type="dxa"/>
            <w:vAlign w:val="bottom"/>
          </w:tcPr>
          <w:p>
            <w:pPr>
              <w:spacing w:after="0"/>
              <w:rPr>
                <w:sz w:val="13"/>
                <w:szCs w:val="13"/>
                <w:color w:val="auto"/>
              </w:rPr>
            </w:pPr>
          </w:p>
        </w:tc>
        <w:tc>
          <w:tcPr>
            <w:tcW w:w="1320" w:type="dxa"/>
            <w:vAlign w:val="bottom"/>
            <w:shd w:val="clear" w:color="auto" w:fill="EDEDED"/>
          </w:tcPr>
          <w:p>
            <w:pPr>
              <w:spacing w:after="0"/>
              <w:rPr>
                <w:sz w:val="13"/>
                <w:szCs w:val="13"/>
                <w:color w:val="auto"/>
              </w:rPr>
            </w:pPr>
          </w:p>
        </w:tc>
        <w:tc>
          <w:tcPr>
            <w:tcW w:w="200" w:type="dxa"/>
            <w:vAlign w:val="bottom"/>
            <w:shd w:val="clear" w:color="auto" w:fill="EDEDED"/>
          </w:tcPr>
          <w:p>
            <w:pPr>
              <w:spacing w:after="0"/>
              <w:rPr>
                <w:sz w:val="13"/>
                <w:szCs w:val="13"/>
                <w:color w:val="auto"/>
              </w:rPr>
            </w:pPr>
          </w:p>
        </w:tc>
        <w:tc>
          <w:tcPr>
            <w:tcW w:w="80" w:type="dxa"/>
            <w:vAlign w:val="bottom"/>
            <w:shd w:val="clear" w:color="auto" w:fill="EDEDED"/>
          </w:tcPr>
          <w:p>
            <w:pPr>
              <w:spacing w:after="0"/>
              <w:rPr>
                <w:sz w:val="13"/>
                <w:szCs w:val="13"/>
                <w:color w:val="auto"/>
              </w:rPr>
            </w:pPr>
          </w:p>
        </w:tc>
        <w:tc>
          <w:tcPr>
            <w:tcW w:w="150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1780" w:type="dxa"/>
            <w:vAlign w:val="bottom"/>
            <w:tcBorders>
              <w:bottom w:val="single" w:sz="8" w:color="7F7F7F"/>
            </w:tcBorders>
          </w:tcPr>
          <w:p>
            <w:pPr>
              <w:spacing w:after="0"/>
              <w:rPr>
                <w:sz w:val="24"/>
                <w:szCs w:val="24"/>
                <w:color w:val="auto"/>
              </w:rPr>
            </w:pPr>
          </w:p>
        </w:tc>
        <w:tc>
          <w:tcPr>
            <w:tcW w:w="340" w:type="dxa"/>
            <w:vAlign w:val="bottom"/>
            <w:tcBorders>
              <w:bottom w:val="single" w:sz="8" w:color="7F7F7F"/>
            </w:tcBorders>
          </w:tcPr>
          <w:p>
            <w:pPr>
              <w:spacing w:after="0"/>
              <w:rPr>
                <w:sz w:val="24"/>
                <w:szCs w:val="24"/>
                <w:color w:val="auto"/>
              </w:rPr>
            </w:pPr>
          </w:p>
        </w:tc>
        <w:tc>
          <w:tcPr>
            <w:tcW w:w="1320" w:type="dxa"/>
            <w:vAlign w:val="bottom"/>
            <w:tcBorders>
              <w:bottom w:val="single" w:sz="8" w:color="7F7F7F"/>
            </w:tcBorders>
          </w:tcPr>
          <w:p>
            <w:pPr>
              <w:spacing w:after="0"/>
              <w:rPr>
                <w:sz w:val="24"/>
                <w:szCs w:val="24"/>
                <w:color w:val="auto"/>
              </w:rPr>
            </w:pPr>
          </w:p>
        </w:tc>
        <w:tc>
          <w:tcPr>
            <w:tcW w:w="200" w:type="dxa"/>
            <w:vAlign w:val="bottom"/>
            <w:tcBorders>
              <w:bottom w:val="single" w:sz="8" w:color="7F7F7F"/>
            </w:tcBorders>
          </w:tcPr>
          <w:p>
            <w:pPr>
              <w:spacing w:after="0"/>
              <w:rPr>
                <w:sz w:val="24"/>
                <w:szCs w:val="24"/>
                <w:color w:val="auto"/>
              </w:rPr>
            </w:pPr>
          </w:p>
        </w:tc>
        <w:tc>
          <w:tcPr>
            <w:tcW w:w="80" w:type="dxa"/>
            <w:vAlign w:val="bottom"/>
            <w:tcBorders>
              <w:bottom w:val="single" w:sz="8" w:color="7F7F7F"/>
            </w:tcBorders>
          </w:tcPr>
          <w:p>
            <w:pPr>
              <w:spacing w:after="0"/>
              <w:rPr>
                <w:sz w:val="24"/>
                <w:szCs w:val="24"/>
                <w:color w:val="auto"/>
              </w:rPr>
            </w:pPr>
          </w:p>
        </w:tc>
        <w:tc>
          <w:tcPr>
            <w:tcW w:w="150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780" w:type="dxa"/>
            <w:vAlign w:val="bottom"/>
            <w:vMerge w:val="restart"/>
          </w:tcPr>
          <w:p>
            <w:pPr>
              <w:ind w:left="20"/>
              <w:spacing w:after="0"/>
              <w:rPr>
                <w:sz w:val="20"/>
                <w:szCs w:val="20"/>
                <w:color w:val="auto"/>
              </w:rPr>
            </w:pPr>
            <w:r>
              <w:rPr>
                <w:rFonts w:ascii="Arial" w:cs="Arial" w:eastAsia="Arial" w:hAnsi="Arial"/>
                <w:sz w:val="23"/>
                <w:szCs w:val="23"/>
                <w:b w:val="1"/>
                <w:bCs w:val="1"/>
                <w:color w:val="0A9E50"/>
              </w:rPr>
              <w:t xml:space="preserve">Kelly </w:t>
            </w:r>
            <w:r>
              <w:rPr>
                <w:rFonts w:ascii="Arial" w:cs="Arial" w:eastAsia="Arial" w:hAnsi="Arial"/>
                <w:sz w:val="23"/>
                <w:szCs w:val="23"/>
                <w:b w:val="1"/>
                <w:bCs w:val="1"/>
                <w:color w:val="000000"/>
              </w:rPr>
              <w:t>Education</w:t>
            </w:r>
          </w:p>
        </w:tc>
        <w:tc>
          <w:tcPr>
            <w:tcW w:w="340" w:type="dxa"/>
            <w:vAlign w:val="bottom"/>
            <w:vMerge w:val="restart"/>
          </w:tcPr>
          <w:p>
            <w:pPr>
              <w:ind w:left="80"/>
              <w:spacing w:after="0"/>
              <w:rPr>
                <w:sz w:val="20"/>
                <w:szCs w:val="20"/>
                <w:color w:val="auto"/>
              </w:rPr>
            </w:pPr>
            <w:r>
              <w:rPr>
                <w:rFonts w:ascii="Arial" w:cs="Arial" w:eastAsia="Arial" w:hAnsi="Arial"/>
                <w:sz w:val="21"/>
                <w:szCs w:val="21"/>
                <w:color w:val="auto"/>
              </w:rPr>
              <w:t> </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vMerge w:val="restart"/>
          </w:tcPr>
          <w:p>
            <w:pPr>
              <w:ind w:left="40"/>
              <w:spacing w:after="0"/>
              <w:rPr>
                <w:sz w:val="20"/>
                <w:szCs w:val="20"/>
                <w:color w:val="auto"/>
              </w:rPr>
            </w:pPr>
            <w:r>
              <w:rPr>
                <w:rFonts w:ascii="Arial" w:cs="Arial" w:eastAsia="Arial" w:hAnsi="Arial"/>
                <w:sz w:val="1"/>
                <w:szCs w:val="1"/>
                <w:color w:val="auto"/>
              </w:rPr>
              <w:t> </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78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320" w:type="dxa"/>
            <w:vAlign w:val="bottom"/>
            <w:vMerge w:val="restart"/>
            <w:shd w:val="clear" w:color="auto" w:fill="EDEDED"/>
          </w:tcPr>
          <w:p>
            <w:pPr>
              <w:jc w:val="center"/>
              <w:ind w:left="162"/>
              <w:spacing w:after="0"/>
              <w:rPr>
                <w:sz w:val="20"/>
                <w:szCs w:val="20"/>
                <w:color w:val="auto"/>
              </w:rPr>
            </w:pPr>
            <w:r>
              <w:rPr>
                <w:rFonts w:ascii="Arial" w:cs="Arial" w:eastAsia="Arial" w:hAnsi="Arial"/>
                <w:sz w:val="26"/>
                <w:szCs w:val="26"/>
                <w:b w:val="1"/>
                <w:bCs w:val="1"/>
                <w:color w:val="0A9E50"/>
              </w:rPr>
              <w:t>$0.8B</w:t>
            </w:r>
          </w:p>
        </w:tc>
        <w:tc>
          <w:tcPr>
            <w:tcW w:w="200" w:type="dxa"/>
            <w:vAlign w:val="bottom"/>
            <w:shd w:val="clear" w:color="auto" w:fill="EDEDED"/>
          </w:tcPr>
          <w:p>
            <w:pPr>
              <w:spacing w:after="0"/>
              <w:rPr>
                <w:sz w:val="5"/>
                <w:szCs w:val="5"/>
                <w:color w:val="auto"/>
              </w:rPr>
            </w:pPr>
          </w:p>
        </w:tc>
        <w:tc>
          <w:tcPr>
            <w:tcW w:w="80" w:type="dxa"/>
            <w:vAlign w:val="bottom"/>
            <w:vMerge w:val="continue"/>
          </w:tcPr>
          <w:p>
            <w:pPr>
              <w:spacing w:after="0"/>
              <w:rPr>
                <w:sz w:val="5"/>
                <w:szCs w:val="5"/>
                <w:color w:val="auto"/>
              </w:rPr>
            </w:pPr>
          </w:p>
        </w:tc>
        <w:tc>
          <w:tcPr>
            <w:tcW w:w="1500" w:type="dxa"/>
            <w:vAlign w:val="bottom"/>
            <w:vMerge w:val="restart"/>
            <w:shd w:val="clear" w:color="auto" w:fill="EDEDED"/>
          </w:tcPr>
          <w:p>
            <w:pPr>
              <w:ind w:left="400"/>
              <w:spacing w:after="0"/>
              <w:rPr>
                <w:sz w:val="20"/>
                <w:szCs w:val="20"/>
                <w:color w:val="auto"/>
              </w:rPr>
            </w:pPr>
            <w:r>
              <w:rPr>
                <w:rFonts w:ascii="Arial" w:cs="Arial" w:eastAsia="Arial" w:hAnsi="Arial"/>
                <w:sz w:val="26"/>
                <w:szCs w:val="26"/>
                <w:b w:val="1"/>
                <w:bCs w:val="1"/>
                <w:color w:val="0A9E50"/>
              </w:rPr>
              <w:t>15.3%</w:t>
            </w:r>
          </w:p>
        </w:tc>
        <w:tc>
          <w:tcPr>
            <w:tcW w:w="0" w:type="dxa"/>
            <w:vAlign w:val="bottom"/>
          </w:tcPr>
          <w:p>
            <w:pPr>
              <w:spacing w:after="0"/>
              <w:rPr>
                <w:sz w:val="1"/>
                <w:szCs w:val="1"/>
                <w:color w:val="auto"/>
              </w:rPr>
            </w:pPr>
          </w:p>
        </w:tc>
      </w:tr>
      <w:tr>
        <w:trPr>
          <w:trHeight w:val="224"/>
        </w:trPr>
        <w:tc>
          <w:tcPr>
            <w:tcW w:w="178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320" w:type="dxa"/>
            <w:vAlign w:val="bottom"/>
            <w:vMerge w:val="continue"/>
            <w:shd w:val="clear" w:color="auto" w:fill="EDEDED"/>
          </w:tcPr>
          <w:p>
            <w:pPr>
              <w:spacing w:after="0"/>
              <w:rPr>
                <w:sz w:val="19"/>
                <w:szCs w:val="19"/>
                <w:color w:val="auto"/>
              </w:rPr>
            </w:pPr>
          </w:p>
        </w:tc>
        <w:tc>
          <w:tcPr>
            <w:tcW w:w="200" w:type="dxa"/>
            <w:vAlign w:val="bottom"/>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vMerge w:val="continue"/>
            <w:shd w:val="clear" w:color="auto" w:fill="EDEDED"/>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1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Specialties</w:t>
            </w:r>
          </w:p>
        </w:tc>
        <w:tc>
          <w:tcPr>
            <w:tcW w:w="340" w:type="dxa"/>
            <w:vAlign w:val="bottom"/>
          </w:tcPr>
          <w:p>
            <w:pPr>
              <w:spacing w:after="0"/>
              <w:rPr>
                <w:sz w:val="7"/>
                <w:szCs w:val="7"/>
                <w:color w:val="auto"/>
              </w:rPr>
            </w:pPr>
          </w:p>
        </w:tc>
        <w:tc>
          <w:tcPr>
            <w:tcW w:w="1320" w:type="dxa"/>
            <w:vAlign w:val="bottom"/>
            <w:vMerge w:val="continue"/>
            <w:shd w:val="clear" w:color="auto" w:fill="EDEDED"/>
          </w:tcPr>
          <w:p>
            <w:pPr>
              <w:spacing w:after="0"/>
              <w:rPr>
                <w:sz w:val="7"/>
                <w:szCs w:val="7"/>
                <w:color w:val="auto"/>
              </w:rPr>
            </w:pPr>
          </w:p>
        </w:tc>
        <w:tc>
          <w:tcPr>
            <w:tcW w:w="200" w:type="dxa"/>
            <w:vAlign w:val="bottom"/>
            <w:shd w:val="clear" w:color="auto" w:fill="EDEDED"/>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vMerge w:val="continue"/>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7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shd w:val="clear" w:color="auto" w:fill="EDEDED"/>
          </w:tcPr>
          <w:p>
            <w:pPr>
              <w:jc w:val="center"/>
              <w:ind w:left="162"/>
              <w:spacing w:after="0" w:line="157" w:lineRule="exact"/>
              <w:rPr>
                <w:sz w:val="20"/>
                <w:szCs w:val="20"/>
                <w:color w:val="auto"/>
              </w:rPr>
            </w:pPr>
            <w:r>
              <w:rPr>
                <w:rFonts w:ascii="Arial" w:cs="Arial" w:eastAsia="Arial" w:hAnsi="Arial"/>
                <w:sz w:val="13"/>
                <w:szCs w:val="13"/>
                <w:b w:val="1"/>
                <w:bCs w:val="1"/>
                <w:color w:val="auto"/>
              </w:rPr>
              <w:t>Revenue</w:t>
            </w:r>
            <w:r>
              <w:rPr>
                <w:rFonts w:ascii="Arial" w:cs="Arial" w:eastAsia="Arial" w:hAnsi="Arial"/>
                <w:sz w:val="18"/>
                <w:szCs w:val="18"/>
                <w:b w:val="1"/>
                <w:bCs w:val="1"/>
                <w:color w:val="auto"/>
                <w:vertAlign w:val="superscript"/>
              </w:rPr>
              <w:t>(1)</w:t>
            </w:r>
          </w:p>
        </w:tc>
        <w:tc>
          <w:tcPr>
            <w:tcW w:w="200" w:type="dxa"/>
            <w:vAlign w:val="bottom"/>
            <w:shd w:val="clear" w:color="auto" w:fill="EDEDED"/>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shd w:val="clear" w:color="auto" w:fill="EDEDED"/>
          </w:tcPr>
          <w:p>
            <w:pPr>
              <w:ind w:left="380"/>
              <w:spacing w:after="0" w:line="157" w:lineRule="exact"/>
              <w:rPr>
                <w:sz w:val="20"/>
                <w:szCs w:val="20"/>
                <w:color w:val="auto"/>
              </w:rPr>
            </w:pPr>
            <w:r>
              <w:rPr>
                <w:rFonts w:ascii="Arial" w:cs="Arial" w:eastAsia="Arial" w:hAnsi="Arial"/>
                <w:sz w:val="13"/>
                <w:szCs w:val="13"/>
                <w:b w:val="1"/>
                <w:bCs w:val="1"/>
                <w:color w:val="auto"/>
              </w:rPr>
              <w:t>GP Rate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line="170" w:lineRule="exact"/>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K-12</w:t>
            </w:r>
          </w:p>
        </w:tc>
        <w:tc>
          <w:tcPr>
            <w:tcW w:w="340" w:type="dxa"/>
            <w:vAlign w:val="bottom"/>
          </w:tcPr>
          <w:p>
            <w:pPr>
              <w:spacing w:after="0"/>
              <w:rPr>
                <w:sz w:val="14"/>
                <w:szCs w:val="14"/>
                <w:color w:val="auto"/>
              </w:rPr>
            </w:pPr>
          </w:p>
        </w:tc>
        <w:tc>
          <w:tcPr>
            <w:tcW w:w="1320" w:type="dxa"/>
            <w:vAlign w:val="bottom"/>
            <w:shd w:val="clear" w:color="auto" w:fill="EDEDED"/>
          </w:tcPr>
          <w:p>
            <w:pPr>
              <w:spacing w:after="0"/>
              <w:rPr>
                <w:sz w:val="14"/>
                <w:szCs w:val="14"/>
                <w:color w:val="auto"/>
              </w:rPr>
            </w:pPr>
          </w:p>
        </w:tc>
        <w:tc>
          <w:tcPr>
            <w:tcW w:w="200" w:type="dxa"/>
            <w:vAlign w:val="bottom"/>
            <w:shd w:val="clear" w:color="auto" w:fill="EDEDED"/>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780" w:type="dxa"/>
            <w:vAlign w:val="bottom"/>
            <w:vMerge w:val="restart"/>
          </w:tcPr>
          <w:p>
            <w:pPr>
              <w:ind w:left="20"/>
              <w:spacing w:after="0" w:line="162" w:lineRule="exact"/>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Special Ed/Needs</w:t>
            </w:r>
          </w:p>
        </w:tc>
        <w:tc>
          <w:tcPr>
            <w:tcW w:w="340" w:type="dxa"/>
            <w:vAlign w:val="bottom"/>
          </w:tcPr>
          <w:p>
            <w:pPr>
              <w:spacing w:after="0"/>
              <w:rPr>
                <w:sz w:val="5"/>
                <w:szCs w:val="5"/>
                <w:color w:val="auto"/>
              </w:rPr>
            </w:pPr>
          </w:p>
        </w:tc>
        <w:tc>
          <w:tcPr>
            <w:tcW w:w="1320" w:type="dxa"/>
            <w:vAlign w:val="bottom"/>
            <w:shd w:val="clear" w:color="auto" w:fill="EDEDED"/>
          </w:tcPr>
          <w:p>
            <w:pPr>
              <w:spacing w:after="0"/>
              <w:rPr>
                <w:sz w:val="5"/>
                <w:szCs w:val="5"/>
                <w:color w:val="auto"/>
              </w:rPr>
            </w:pPr>
          </w:p>
        </w:tc>
        <w:tc>
          <w:tcPr>
            <w:tcW w:w="200" w:type="dxa"/>
            <w:vAlign w:val="bottom"/>
            <w:shd w:val="clear" w:color="auto" w:fill="EDEDED"/>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7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320" w:type="dxa"/>
            <w:vAlign w:val="bottom"/>
            <w:tcBorders>
              <w:bottom w:val="single" w:sz="8" w:color="EDEDED"/>
            </w:tcBorders>
          </w:tcPr>
          <w:p>
            <w:pPr>
              <w:spacing w:after="0"/>
              <w:rPr>
                <w:sz w:val="8"/>
                <w:szCs w:val="8"/>
                <w:color w:val="auto"/>
              </w:rPr>
            </w:pPr>
          </w:p>
        </w:tc>
        <w:tc>
          <w:tcPr>
            <w:tcW w:w="200" w:type="dxa"/>
            <w:vAlign w:val="bottom"/>
            <w:tcBorders>
              <w:bottom w:val="single" w:sz="8" w:color="EDEDED"/>
            </w:tcBorders>
          </w:tcPr>
          <w:p>
            <w:pPr>
              <w:spacing w:after="0"/>
              <w:rPr>
                <w:sz w:val="8"/>
                <w:szCs w:val="8"/>
                <w:color w:val="auto"/>
              </w:rPr>
            </w:pPr>
          </w:p>
        </w:tc>
        <w:tc>
          <w:tcPr>
            <w:tcW w:w="80" w:type="dxa"/>
            <w:vAlign w:val="bottom"/>
            <w:tcBorders>
              <w:bottom w:val="single" w:sz="8" w:color="EDEDED"/>
            </w:tcBorders>
          </w:tcPr>
          <w:p>
            <w:pPr>
              <w:spacing w:after="0"/>
              <w:rPr>
                <w:sz w:val="8"/>
                <w:szCs w:val="8"/>
                <w:color w:val="auto"/>
              </w:rPr>
            </w:pPr>
          </w:p>
        </w:tc>
        <w:tc>
          <w:tcPr>
            <w:tcW w:w="1500" w:type="dxa"/>
            <w:vAlign w:val="bottom"/>
            <w:tcBorders>
              <w:bottom w:val="single" w:sz="8" w:color="EDEDED"/>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Tutoring</w:t>
            </w:r>
          </w:p>
        </w:tc>
        <w:tc>
          <w:tcPr>
            <w:tcW w:w="340" w:type="dxa"/>
            <w:vAlign w:val="bottom"/>
          </w:tcPr>
          <w:p>
            <w:pPr>
              <w:spacing w:after="0"/>
              <w:rPr>
                <w:sz w:val="15"/>
                <w:szCs w:val="15"/>
                <w:color w:val="auto"/>
              </w:rPr>
            </w:pPr>
          </w:p>
        </w:tc>
        <w:tc>
          <w:tcPr>
            <w:tcW w:w="132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80" w:type="dxa"/>
            <w:vAlign w:val="bottom"/>
            <w:shd w:val="clear" w:color="auto" w:fill="EDEDED"/>
          </w:tcPr>
          <w:p>
            <w:pPr>
              <w:spacing w:after="0"/>
              <w:rPr>
                <w:sz w:val="15"/>
                <w:szCs w:val="15"/>
                <w:color w:val="auto"/>
              </w:rPr>
            </w:pPr>
          </w:p>
        </w:tc>
        <w:tc>
          <w:tcPr>
            <w:tcW w:w="150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Therapy Services</w:t>
            </w:r>
          </w:p>
        </w:tc>
        <w:tc>
          <w:tcPr>
            <w:tcW w:w="340" w:type="dxa"/>
            <w:vAlign w:val="bottom"/>
          </w:tcPr>
          <w:p>
            <w:pPr>
              <w:spacing w:after="0"/>
              <w:rPr>
                <w:sz w:val="15"/>
                <w:szCs w:val="15"/>
                <w:color w:val="auto"/>
              </w:rPr>
            </w:pPr>
          </w:p>
        </w:tc>
        <w:tc>
          <w:tcPr>
            <w:tcW w:w="1320" w:type="dxa"/>
            <w:vAlign w:val="bottom"/>
            <w:shd w:val="clear" w:color="auto" w:fill="EDEDED"/>
          </w:tcPr>
          <w:p>
            <w:pPr>
              <w:spacing w:after="0"/>
              <w:rPr>
                <w:sz w:val="15"/>
                <w:szCs w:val="15"/>
                <w:color w:val="auto"/>
              </w:rPr>
            </w:pPr>
          </w:p>
        </w:tc>
        <w:tc>
          <w:tcPr>
            <w:tcW w:w="1780" w:type="dxa"/>
            <w:vAlign w:val="bottom"/>
            <w:gridSpan w:val="3"/>
            <w:vMerge w:val="restart"/>
            <w:shd w:val="clear" w:color="auto" w:fill="EDEDED"/>
          </w:tcPr>
          <w:p>
            <w:pPr>
              <w:jc w:val="center"/>
              <w:ind w:right="960"/>
              <w:spacing w:after="0"/>
              <w:rPr>
                <w:sz w:val="20"/>
                <w:szCs w:val="20"/>
                <w:color w:val="auto"/>
              </w:rPr>
            </w:pPr>
            <w:r>
              <w:rPr>
                <w:rFonts w:ascii="Arial" w:cs="Arial" w:eastAsia="Arial" w:hAnsi="Arial"/>
                <w:sz w:val="21"/>
                <w:szCs w:val="21"/>
                <w:b w:val="1"/>
                <w:bCs w:val="1"/>
                <w:color w:val="0A9E50"/>
                <w:w w:val="87"/>
              </w:rPr>
              <w:t xml:space="preserve">   U.S</w:t>
            </w:r>
          </w:p>
        </w:tc>
        <w:tc>
          <w:tcPr>
            <w:tcW w:w="0" w:type="dxa"/>
            <w:vAlign w:val="bottom"/>
          </w:tcPr>
          <w:p>
            <w:pPr>
              <w:spacing w:after="0"/>
              <w:rPr>
                <w:sz w:val="1"/>
                <w:szCs w:val="1"/>
                <w:color w:val="auto"/>
              </w:rPr>
            </w:pPr>
          </w:p>
        </w:tc>
      </w:tr>
      <w:tr>
        <w:trPr>
          <w:trHeight w:val="182"/>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Higher Education</w:t>
            </w:r>
          </w:p>
        </w:tc>
        <w:tc>
          <w:tcPr>
            <w:tcW w:w="340" w:type="dxa"/>
            <w:vAlign w:val="bottom"/>
          </w:tcPr>
          <w:p>
            <w:pPr>
              <w:spacing w:after="0"/>
              <w:rPr>
                <w:sz w:val="15"/>
                <w:szCs w:val="15"/>
                <w:color w:val="auto"/>
              </w:rPr>
            </w:pPr>
          </w:p>
        </w:tc>
        <w:tc>
          <w:tcPr>
            <w:tcW w:w="1320" w:type="dxa"/>
            <w:vAlign w:val="bottom"/>
            <w:shd w:val="clear" w:color="auto" w:fill="EDEDED"/>
          </w:tcPr>
          <w:p>
            <w:pPr>
              <w:spacing w:after="0"/>
              <w:rPr>
                <w:sz w:val="15"/>
                <w:szCs w:val="15"/>
                <w:color w:val="auto"/>
              </w:rPr>
            </w:pPr>
          </w:p>
        </w:tc>
        <w:tc>
          <w:tcPr>
            <w:tcW w:w="1780" w:type="dxa"/>
            <w:vAlign w:val="bottom"/>
            <w:gridSpan w:val="3"/>
            <w:vMerge w:val="continue"/>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Search</w:t>
            </w:r>
          </w:p>
        </w:tc>
        <w:tc>
          <w:tcPr>
            <w:tcW w:w="340" w:type="dxa"/>
            <w:vAlign w:val="bottom"/>
          </w:tcPr>
          <w:p>
            <w:pPr>
              <w:spacing w:after="0"/>
              <w:rPr>
                <w:sz w:val="13"/>
                <w:szCs w:val="13"/>
                <w:color w:val="auto"/>
              </w:rPr>
            </w:pPr>
          </w:p>
        </w:tc>
        <w:tc>
          <w:tcPr>
            <w:tcW w:w="1320" w:type="dxa"/>
            <w:vAlign w:val="bottom"/>
            <w:shd w:val="clear" w:color="auto" w:fill="EDEDED"/>
          </w:tcPr>
          <w:p>
            <w:pPr>
              <w:spacing w:after="0"/>
              <w:rPr>
                <w:sz w:val="13"/>
                <w:szCs w:val="13"/>
                <w:color w:val="auto"/>
              </w:rPr>
            </w:pPr>
          </w:p>
        </w:tc>
        <w:tc>
          <w:tcPr>
            <w:tcW w:w="200" w:type="dxa"/>
            <w:vAlign w:val="bottom"/>
            <w:shd w:val="clear" w:color="auto" w:fill="EDEDED"/>
          </w:tcPr>
          <w:p>
            <w:pPr>
              <w:spacing w:after="0"/>
              <w:rPr>
                <w:sz w:val="13"/>
                <w:szCs w:val="13"/>
                <w:color w:val="auto"/>
              </w:rPr>
            </w:pPr>
          </w:p>
        </w:tc>
        <w:tc>
          <w:tcPr>
            <w:tcW w:w="80" w:type="dxa"/>
            <w:vAlign w:val="bottom"/>
            <w:shd w:val="clear" w:color="auto" w:fill="EDEDED"/>
          </w:tcPr>
          <w:p>
            <w:pPr>
              <w:spacing w:after="0"/>
              <w:rPr>
                <w:sz w:val="13"/>
                <w:szCs w:val="13"/>
                <w:color w:val="auto"/>
              </w:rPr>
            </w:pPr>
          </w:p>
        </w:tc>
        <w:tc>
          <w:tcPr>
            <w:tcW w:w="150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1780" w:type="dxa"/>
            <w:vAlign w:val="bottom"/>
            <w:tcBorders>
              <w:bottom w:val="single" w:sz="8" w:color="7F7F7F"/>
            </w:tcBorders>
          </w:tcPr>
          <w:p>
            <w:pPr>
              <w:spacing w:after="0"/>
              <w:rPr>
                <w:sz w:val="24"/>
                <w:szCs w:val="24"/>
                <w:color w:val="auto"/>
              </w:rPr>
            </w:pPr>
          </w:p>
        </w:tc>
        <w:tc>
          <w:tcPr>
            <w:tcW w:w="340" w:type="dxa"/>
            <w:vAlign w:val="bottom"/>
            <w:tcBorders>
              <w:bottom w:val="single" w:sz="8" w:color="7F7F7F"/>
            </w:tcBorders>
          </w:tcPr>
          <w:p>
            <w:pPr>
              <w:spacing w:after="0"/>
              <w:rPr>
                <w:sz w:val="24"/>
                <w:szCs w:val="24"/>
                <w:color w:val="auto"/>
              </w:rPr>
            </w:pPr>
          </w:p>
        </w:tc>
        <w:tc>
          <w:tcPr>
            <w:tcW w:w="1320" w:type="dxa"/>
            <w:vAlign w:val="bottom"/>
            <w:tcBorders>
              <w:bottom w:val="single" w:sz="8" w:color="7F7F7F"/>
            </w:tcBorders>
          </w:tcPr>
          <w:p>
            <w:pPr>
              <w:spacing w:after="0"/>
              <w:rPr>
                <w:sz w:val="24"/>
                <w:szCs w:val="24"/>
                <w:color w:val="auto"/>
              </w:rPr>
            </w:pPr>
          </w:p>
        </w:tc>
        <w:tc>
          <w:tcPr>
            <w:tcW w:w="200" w:type="dxa"/>
            <w:vAlign w:val="bottom"/>
            <w:tcBorders>
              <w:bottom w:val="single" w:sz="8" w:color="7F7F7F"/>
            </w:tcBorders>
          </w:tcPr>
          <w:p>
            <w:pPr>
              <w:spacing w:after="0"/>
              <w:rPr>
                <w:sz w:val="24"/>
                <w:szCs w:val="24"/>
                <w:color w:val="auto"/>
              </w:rPr>
            </w:pPr>
          </w:p>
        </w:tc>
        <w:tc>
          <w:tcPr>
            <w:tcW w:w="1580" w:type="dxa"/>
            <w:vAlign w:val="bottom"/>
            <w:tcBorders>
              <w:bottom w:val="single" w:sz="8" w:color="7F7F7F"/>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1780" w:type="dxa"/>
            <w:vAlign w:val="bottom"/>
            <w:vMerge w:val="restart"/>
          </w:tcPr>
          <w:p>
            <w:pPr>
              <w:ind w:left="20"/>
              <w:spacing w:after="0"/>
              <w:rPr>
                <w:sz w:val="20"/>
                <w:szCs w:val="20"/>
                <w:color w:val="auto"/>
              </w:rPr>
            </w:pPr>
            <w:r>
              <w:rPr>
                <w:rFonts w:ascii="Arial" w:cs="Arial" w:eastAsia="Arial" w:hAnsi="Arial"/>
                <w:sz w:val="23"/>
                <w:szCs w:val="23"/>
                <w:b w:val="1"/>
                <w:bCs w:val="1"/>
                <w:color w:val="0A9E50"/>
              </w:rPr>
              <w:t xml:space="preserve">Kelly </w:t>
            </w:r>
            <w:r>
              <w:rPr>
                <w:rFonts w:ascii="Arial" w:cs="Arial" w:eastAsia="Arial" w:hAnsi="Arial"/>
                <w:sz w:val="23"/>
                <w:szCs w:val="23"/>
                <w:b w:val="1"/>
                <w:bCs w:val="1"/>
                <w:color w:val="000000"/>
              </w:rPr>
              <w:t>OCG</w:t>
            </w:r>
          </w:p>
        </w:tc>
        <w:tc>
          <w:tcPr>
            <w:tcW w:w="340" w:type="dxa"/>
            <w:vAlign w:val="bottom"/>
            <w:vMerge w:val="restart"/>
          </w:tcPr>
          <w:p>
            <w:pPr>
              <w:ind w:left="80"/>
              <w:spacing w:after="0"/>
              <w:rPr>
                <w:sz w:val="20"/>
                <w:szCs w:val="20"/>
                <w:color w:val="auto"/>
              </w:rPr>
            </w:pPr>
            <w:r>
              <w:rPr>
                <w:rFonts w:ascii="Arial" w:cs="Arial" w:eastAsia="Arial" w:hAnsi="Arial"/>
                <w:sz w:val="21"/>
                <w:szCs w:val="21"/>
                <w:color w:val="auto"/>
              </w:rPr>
              <w:t> </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5"/>
                <w:szCs w:val="5"/>
                <w:color w:val="auto"/>
              </w:rPr>
              <w:t> </w:t>
            </w:r>
          </w:p>
        </w:tc>
        <w:tc>
          <w:tcPr>
            <w:tcW w:w="0" w:type="dxa"/>
            <w:vAlign w:val="bottom"/>
          </w:tcPr>
          <w:p>
            <w:pPr>
              <w:spacing w:after="0"/>
              <w:rPr>
                <w:sz w:val="1"/>
                <w:szCs w:val="1"/>
                <w:color w:val="auto"/>
              </w:rPr>
            </w:pPr>
          </w:p>
        </w:tc>
      </w:tr>
      <w:tr>
        <w:trPr>
          <w:trHeight w:val="228"/>
        </w:trPr>
        <w:tc>
          <w:tcPr>
            <w:tcW w:w="178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320" w:type="dxa"/>
            <w:vAlign w:val="bottom"/>
            <w:vMerge w:val="restart"/>
          </w:tcPr>
          <w:p>
            <w:pPr>
              <w:jc w:val="center"/>
              <w:ind w:left="162"/>
              <w:spacing w:after="0"/>
              <w:rPr>
                <w:sz w:val="20"/>
                <w:szCs w:val="20"/>
                <w:color w:val="auto"/>
              </w:rPr>
            </w:pPr>
            <w:r>
              <w:rPr>
                <w:rFonts w:ascii="Arial" w:cs="Arial" w:eastAsia="Arial" w:hAnsi="Arial"/>
                <w:sz w:val="26"/>
                <w:szCs w:val="26"/>
                <w:b w:val="1"/>
                <w:bCs w:val="1"/>
                <w:color w:val="0A9E50"/>
              </w:rPr>
              <w:t>$0.5B</w:t>
            </w:r>
          </w:p>
        </w:tc>
        <w:tc>
          <w:tcPr>
            <w:tcW w:w="1780" w:type="dxa"/>
            <w:vAlign w:val="bottom"/>
            <w:gridSpan w:val="3"/>
            <w:vMerge w:val="restart"/>
          </w:tcPr>
          <w:p>
            <w:pPr>
              <w:ind w:left="680"/>
              <w:spacing w:after="0"/>
              <w:rPr>
                <w:sz w:val="20"/>
                <w:szCs w:val="20"/>
                <w:color w:val="auto"/>
              </w:rPr>
            </w:pPr>
            <w:r>
              <w:rPr>
                <w:rFonts w:ascii="Arial" w:cs="Arial" w:eastAsia="Arial" w:hAnsi="Arial"/>
                <w:sz w:val="26"/>
                <w:szCs w:val="26"/>
                <w:b w:val="1"/>
                <w:bCs w:val="1"/>
                <w:color w:val="0A9E50"/>
              </w:rPr>
              <w:t>36.0%</w:t>
            </w:r>
          </w:p>
        </w:tc>
        <w:tc>
          <w:tcPr>
            <w:tcW w:w="0" w:type="dxa"/>
            <w:vAlign w:val="bottom"/>
          </w:tcPr>
          <w:p>
            <w:pPr>
              <w:spacing w:after="0"/>
              <w:rPr>
                <w:sz w:val="1"/>
                <w:szCs w:val="1"/>
                <w:color w:val="auto"/>
              </w:rPr>
            </w:pPr>
          </w:p>
        </w:tc>
      </w:tr>
      <w:tr>
        <w:trPr>
          <w:trHeight w:val="84"/>
        </w:trPr>
        <w:tc>
          <w:tcPr>
            <w:tcW w:w="1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Specialties</w:t>
            </w:r>
          </w:p>
        </w:tc>
        <w:tc>
          <w:tcPr>
            <w:tcW w:w="34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7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jc w:val="center"/>
              <w:ind w:left="162"/>
              <w:spacing w:after="0" w:line="156" w:lineRule="exact"/>
              <w:rPr>
                <w:sz w:val="20"/>
                <w:szCs w:val="20"/>
                <w:color w:val="auto"/>
              </w:rPr>
            </w:pPr>
            <w:r>
              <w:rPr>
                <w:rFonts w:ascii="Arial" w:cs="Arial" w:eastAsia="Arial" w:hAnsi="Arial"/>
                <w:sz w:val="13"/>
                <w:szCs w:val="13"/>
                <w:b w:val="1"/>
                <w:bCs w:val="1"/>
                <w:color w:val="auto"/>
              </w:rPr>
              <w:t>Revenue</w:t>
            </w:r>
            <w:r>
              <w:rPr>
                <w:rFonts w:ascii="Arial" w:cs="Arial" w:eastAsia="Arial" w:hAnsi="Arial"/>
                <w:sz w:val="18"/>
                <w:szCs w:val="18"/>
                <w:b w:val="1"/>
                <w:bCs w:val="1"/>
                <w:color w:val="auto"/>
                <w:vertAlign w:val="superscript"/>
              </w:rPr>
              <w:t>(1)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ind w:left="380"/>
              <w:spacing w:after="0" w:line="156" w:lineRule="exact"/>
              <w:rPr>
                <w:sz w:val="20"/>
                <w:szCs w:val="20"/>
                <w:color w:val="auto"/>
              </w:rPr>
            </w:pPr>
            <w:r>
              <w:rPr>
                <w:rFonts w:ascii="Arial" w:cs="Arial" w:eastAsia="Arial" w:hAnsi="Arial"/>
                <w:sz w:val="13"/>
                <w:szCs w:val="13"/>
                <w:b w:val="1"/>
                <w:bCs w:val="1"/>
                <w:color w:val="auto"/>
              </w:rPr>
              <w:t>GP Rate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-336550</wp:posOffset>
            </wp:positionV>
            <wp:extent cx="1957705" cy="4876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57705" cy="487680"/>
                    </a:xfrm>
                    <a:prstGeom prst="rect">
                      <a:avLst/>
                    </a:prstGeom>
                    <a:noFill/>
                  </pic:spPr>
                </pic:pic>
              </a:graphicData>
            </a:graphic>
          </wp:anchor>
        </w:drawing>
        <w:drawing>
          <wp:anchor simplePos="0" relativeHeight="251657728" behindDoc="1" locked="0" layoutInCell="0" allowOverlap="1">
            <wp:simplePos x="0" y="0"/>
            <wp:positionH relativeFrom="column">
              <wp:posOffset>1764665</wp:posOffset>
            </wp:positionH>
            <wp:positionV relativeFrom="paragraph">
              <wp:posOffset>-2806700</wp:posOffset>
            </wp:positionV>
            <wp:extent cx="148590" cy="2063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8590" cy="206375"/>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-1179195</wp:posOffset>
            </wp:positionV>
            <wp:extent cx="148590" cy="2063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8590" cy="206375"/>
                    </a:xfrm>
                    <a:prstGeom prst="rect">
                      <a:avLst/>
                    </a:prstGeom>
                    <a:noFill/>
                  </pic:spPr>
                </pic:pic>
              </a:graphicData>
            </a:graphic>
          </wp:anchor>
        </w:drawing>
      </w:r>
    </w:p>
    <w:p>
      <w:pPr>
        <w:ind w:left="20"/>
        <w:spacing w:after="0" w:line="180" w:lineRule="auto"/>
        <w:rPr>
          <w:sz w:val="20"/>
          <w:szCs w:val="20"/>
          <w:color w:val="auto"/>
        </w:rPr>
      </w:pPr>
      <w:r>
        <w:rPr>
          <w:rFonts w:ascii="Times New Roman" w:cs="Times New Roman" w:eastAsia="Times New Roman" w:hAnsi="Times New Roman"/>
          <w:sz w:val="11"/>
          <w:szCs w:val="11"/>
          <w:color w:val="0A9E50"/>
        </w:rPr>
        <w:t>●</w:t>
      </w:r>
      <w:r>
        <w:rPr>
          <w:rFonts w:ascii="Arial" w:cs="Arial" w:eastAsia="Arial" w:hAnsi="Arial"/>
          <w:sz w:val="14"/>
          <w:szCs w:val="14"/>
          <w:color w:val="000000"/>
        </w:rPr>
        <w:t xml:space="preserve">  MSP</w:t>
      </w:r>
      <w:r>
        <w:rPr>
          <w:rFonts w:ascii="Arial" w:cs="Arial" w:eastAsia="Arial" w:hAnsi="Arial"/>
          <w:sz w:val="21"/>
          <w:szCs w:val="21"/>
          <w:color w:val="000000"/>
          <w:vertAlign w:val="superscript"/>
        </w:rPr>
        <w:t>(2)</w:t>
      </w:r>
    </w:p>
    <w:p>
      <w:pPr>
        <w:ind w:left="20"/>
        <w:spacing w:after="0" w:line="180" w:lineRule="auto"/>
        <w:rPr>
          <w:sz w:val="20"/>
          <w:szCs w:val="20"/>
          <w:color w:val="auto"/>
        </w:rPr>
      </w:pPr>
      <w:r>
        <w:rPr>
          <w:rFonts w:ascii="Times New Roman" w:cs="Times New Roman" w:eastAsia="Times New Roman" w:hAnsi="Times New Roman"/>
          <w:sz w:val="11"/>
          <w:szCs w:val="11"/>
          <w:color w:val="0A9E50"/>
        </w:rPr>
        <w:t>●</w:t>
      </w:r>
      <w:r>
        <w:rPr>
          <w:rFonts w:ascii="Arial" w:cs="Arial" w:eastAsia="Arial" w:hAnsi="Arial"/>
          <w:sz w:val="14"/>
          <w:szCs w:val="14"/>
          <w:color w:val="000000"/>
        </w:rPr>
        <w:t xml:space="preserve">  RPO</w:t>
      </w:r>
      <w:r>
        <w:rPr>
          <w:rFonts w:ascii="Arial" w:cs="Arial" w:eastAsia="Arial" w:hAnsi="Arial"/>
          <w:sz w:val="21"/>
          <w:szCs w:val="21"/>
          <w:color w:val="000000"/>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-39370</wp:posOffset>
            </wp:positionV>
            <wp:extent cx="1957705" cy="4794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57705" cy="479425"/>
                    </a:xfrm>
                    <a:prstGeom prst="rect">
                      <a:avLst/>
                    </a:prstGeom>
                    <a:noFill/>
                  </pic:spPr>
                </pic:pic>
              </a:graphicData>
            </a:graphic>
          </wp:anchor>
        </w:drawing>
      </w:r>
    </w:p>
    <w:p>
      <w:pPr>
        <w:ind w:left="20"/>
        <w:spacing w:after="0" w:line="231"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PPO</w:t>
      </w:r>
      <w:r>
        <w:rPr>
          <w:rFonts w:ascii="Arial" w:cs="Arial" w:eastAsia="Arial" w:hAnsi="Arial"/>
          <w:sz w:val="23"/>
          <w:szCs w:val="23"/>
          <w:color w:val="000000"/>
          <w:vertAlign w:val="superscript"/>
        </w:rPr>
        <w:t>(2)</w:t>
      </w:r>
    </w:p>
    <w:p>
      <w:pPr>
        <w:spacing w:after="0" w:line="1" w:lineRule="exact"/>
        <w:rPr>
          <w:sz w:val="20"/>
          <w:szCs w:val="20"/>
          <w:color w:val="auto"/>
        </w:rPr>
      </w:pPr>
    </w:p>
    <w:p>
      <w:pPr>
        <w:ind w:left="3400"/>
        <w:spacing w:after="0"/>
        <w:rPr>
          <w:sz w:val="20"/>
          <w:szCs w:val="20"/>
          <w:color w:val="auto"/>
        </w:rPr>
      </w:pPr>
      <w:r>
        <w:rPr>
          <w:rFonts w:ascii="Arial" w:cs="Arial" w:eastAsia="Arial" w:hAnsi="Arial"/>
          <w:sz w:val="21"/>
          <w:szCs w:val="21"/>
          <w:b w:val="1"/>
          <w:bCs w:val="1"/>
          <w:color w:val="0A9E50"/>
        </w:rPr>
        <w:t xml:space="preserve">   Global</w:t>
      </w:r>
    </w:p>
    <w:p>
      <w:pPr>
        <w:spacing w:after="0" w:line="200" w:lineRule="exact"/>
        <w:rPr>
          <w:sz w:val="20"/>
          <w:szCs w:val="20"/>
          <w:color w:val="auto"/>
        </w:rPr>
      </w:pPr>
    </w:p>
    <w:p>
      <w:pPr>
        <w:sectPr>
          <w:pgSz w:w="11900" w:h="16838" w:orient="portrait"/>
          <w:cols w:equalWidth="0" w:num="2">
            <w:col w:w="5420" w:space="300"/>
            <w:col w:w="5220"/>
          </w:cols>
          <w:pgMar w:left="320" w:top="471"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9"/>
          <w:szCs w:val="19"/>
          <w:color w:val="auto"/>
          <w:vertAlign w:val="superscript"/>
        </w:rPr>
        <w:t>10 </w:t>
      </w:r>
      <w:r>
        <w:rPr>
          <w:sz w:val="20"/>
          <w:szCs w:val="20"/>
          <w:color w:val="auto"/>
        </w:rPr>
        <w:tab/>
      </w:r>
      <w:r>
        <w:rPr>
          <w:rFonts w:ascii="Arial" w:cs="Arial" w:eastAsia="Arial" w:hAnsi="Arial"/>
          <w:sz w:val="13"/>
          <w:szCs w:val="13"/>
          <w:color w:val="auto"/>
        </w:rPr>
        <w:t xml:space="preserve">    </w:t>
      </w:r>
      <w:r>
        <w:rPr>
          <w:sz w:val="1"/>
          <w:szCs w:val="1"/>
          <w:color w:val="auto"/>
        </w:rPr>
        <w:drawing>
          <wp:inline distT="0" distB="0" distL="0" distR="0">
            <wp:extent cx="396240" cy="18986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-198120</wp:posOffset>
            </wp:positionV>
            <wp:extent cx="8255" cy="222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Proxy Summary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Select Awards and Recognitions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We’re the best company for business and talent to work with. We’ve been recognized around the world and across the spectrum for 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154940</wp:posOffset>
            </wp:positionV>
            <wp:extent cx="6674485" cy="47828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74485" cy="4782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3240" w:type="dxa"/>
            <w:vAlign w:val="bottom"/>
          </w:tcPr>
          <w:p>
            <w:pPr>
              <w:jc w:val="center"/>
              <w:ind w:right="151"/>
              <w:spacing w:after="0"/>
              <w:rPr>
                <w:sz w:val="20"/>
                <w:szCs w:val="20"/>
                <w:color w:val="auto"/>
              </w:rPr>
            </w:pPr>
            <w:r>
              <w:rPr>
                <w:rFonts w:ascii="Arial" w:cs="Arial" w:eastAsia="Arial" w:hAnsi="Arial"/>
                <w:sz w:val="14"/>
                <w:szCs w:val="14"/>
                <w:b w:val="1"/>
                <w:bCs w:val="1"/>
                <w:color w:val="auto"/>
                <w:w w:val="98"/>
              </w:rPr>
              <w:t>Kelly Earns 2024 Military Friendly</w:t>
            </w:r>
            <w:r>
              <w:rPr>
                <w:rFonts w:ascii="Arial" w:cs="Arial" w:eastAsia="Arial" w:hAnsi="Arial"/>
                <w:sz w:val="20"/>
                <w:szCs w:val="20"/>
                <w:b w:val="1"/>
                <w:bCs w:val="1"/>
                <w:color w:val="auto"/>
                <w:w w:val="98"/>
                <w:vertAlign w:val="superscript"/>
              </w:rPr>
              <w:t>®</w:t>
            </w:r>
            <w:r>
              <w:rPr>
                <w:rFonts w:ascii="Arial" w:cs="Arial" w:eastAsia="Arial" w:hAnsi="Arial"/>
                <w:sz w:val="14"/>
                <w:szCs w:val="14"/>
                <w:b w:val="1"/>
                <w:bCs w:val="1"/>
                <w:color w:val="auto"/>
                <w:w w:val="98"/>
              </w:rPr>
              <w:t xml:space="preserve"> Spouse</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8"/>
              </w:rPr>
              <w:t>Kelly Receives Excellence in Supplier Diversity</w:t>
            </w:r>
          </w:p>
        </w:tc>
        <w:tc>
          <w:tcPr>
            <w:tcW w:w="3380" w:type="dxa"/>
            <w:vAlign w:val="bottom"/>
          </w:tcPr>
          <w:p>
            <w:pPr>
              <w:jc w:val="center"/>
              <w:ind w:left="91"/>
              <w:spacing w:after="0"/>
              <w:rPr>
                <w:sz w:val="20"/>
                <w:szCs w:val="20"/>
                <w:color w:val="auto"/>
              </w:rPr>
            </w:pPr>
            <w:r>
              <w:rPr>
                <w:rFonts w:ascii="Arial" w:cs="Arial" w:eastAsia="Arial" w:hAnsi="Arial"/>
                <w:sz w:val="14"/>
                <w:szCs w:val="14"/>
                <w:b w:val="1"/>
                <w:bCs w:val="1"/>
                <w:color w:val="auto"/>
                <w:w w:val="98"/>
              </w:rPr>
              <w:t>Kelly Named a Top 100 Company for Hybrid</w:t>
            </w:r>
          </w:p>
        </w:tc>
        <w:tc>
          <w:tcPr>
            <w:tcW w:w="0" w:type="dxa"/>
            <w:vAlign w:val="bottom"/>
          </w:tcPr>
          <w:p>
            <w:pPr>
              <w:spacing w:after="0"/>
              <w:rPr>
                <w:sz w:val="1"/>
                <w:szCs w:val="1"/>
                <w:color w:val="auto"/>
              </w:rPr>
            </w:pPr>
          </w:p>
        </w:tc>
      </w:tr>
      <w:tr>
        <w:trPr>
          <w:trHeight w:val="156"/>
        </w:trPr>
        <w:tc>
          <w:tcPr>
            <w:tcW w:w="3240" w:type="dxa"/>
            <w:vAlign w:val="bottom"/>
          </w:tcPr>
          <w:p>
            <w:pPr>
              <w:jc w:val="center"/>
              <w:ind w:right="151"/>
              <w:spacing w:after="0" w:line="156" w:lineRule="exact"/>
              <w:rPr>
                <w:sz w:val="20"/>
                <w:szCs w:val="20"/>
                <w:color w:val="auto"/>
              </w:rPr>
            </w:pPr>
            <w:r>
              <w:rPr>
                <w:rFonts w:ascii="Arial" w:cs="Arial" w:eastAsia="Arial" w:hAnsi="Arial"/>
                <w:sz w:val="14"/>
                <w:szCs w:val="14"/>
                <w:b w:val="1"/>
                <w:bCs w:val="1"/>
                <w:color w:val="auto"/>
                <w:w w:val="98"/>
              </w:rPr>
              <w:t>Employer Designation</w:t>
            </w:r>
          </w:p>
        </w:tc>
        <w:tc>
          <w:tcPr>
            <w:tcW w:w="35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Award from Great Lakes Women’s Business</w:t>
            </w:r>
          </w:p>
        </w:tc>
        <w:tc>
          <w:tcPr>
            <w:tcW w:w="3380" w:type="dxa"/>
            <w:vAlign w:val="bottom"/>
          </w:tcPr>
          <w:p>
            <w:pPr>
              <w:jc w:val="center"/>
              <w:ind w:left="71"/>
              <w:spacing w:after="0" w:line="156" w:lineRule="exact"/>
              <w:rPr>
                <w:sz w:val="20"/>
                <w:szCs w:val="20"/>
                <w:color w:val="auto"/>
              </w:rPr>
            </w:pPr>
            <w:r>
              <w:rPr>
                <w:rFonts w:ascii="Arial" w:cs="Arial" w:eastAsia="Arial" w:hAnsi="Arial"/>
                <w:sz w:val="14"/>
                <w:szCs w:val="14"/>
                <w:b w:val="1"/>
                <w:bCs w:val="1"/>
                <w:color w:val="auto"/>
                <w:w w:val="98"/>
              </w:rPr>
              <w:t>Jobs by FlexJobs</w:t>
            </w:r>
          </w:p>
        </w:tc>
        <w:tc>
          <w:tcPr>
            <w:tcW w:w="0" w:type="dxa"/>
            <w:vAlign w:val="bottom"/>
          </w:tcPr>
          <w:p>
            <w:pPr>
              <w:spacing w:after="0"/>
              <w:rPr>
                <w:sz w:val="1"/>
                <w:szCs w:val="1"/>
                <w:color w:val="auto"/>
              </w:rPr>
            </w:pPr>
          </w:p>
        </w:tc>
      </w:tr>
      <w:tr>
        <w:trPr>
          <w:trHeight w:val="192"/>
        </w:trPr>
        <w:tc>
          <w:tcPr>
            <w:tcW w:w="3240" w:type="dxa"/>
            <w:vAlign w:val="bottom"/>
            <w:vMerge w:val="restart"/>
          </w:tcPr>
          <w:p>
            <w:pPr>
              <w:jc w:val="center"/>
              <w:ind w:right="131"/>
              <w:spacing w:after="0"/>
              <w:rPr>
                <w:sz w:val="20"/>
                <w:szCs w:val="20"/>
                <w:color w:val="auto"/>
              </w:rPr>
            </w:pPr>
            <w:r>
              <w:rPr>
                <w:rFonts w:ascii="Arial" w:cs="Arial" w:eastAsia="Arial" w:hAnsi="Arial"/>
                <w:sz w:val="14"/>
                <w:szCs w:val="14"/>
                <w:color w:val="auto"/>
                <w:w w:val="98"/>
              </w:rPr>
              <w:t>This marks the eighth year of recognition of the</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7"/>
              </w:rPr>
              <w:t>Council</w:t>
            </w:r>
          </w:p>
        </w:tc>
        <w:tc>
          <w:tcPr>
            <w:tcW w:w="3380" w:type="dxa"/>
            <w:vAlign w:val="bottom"/>
            <w:vMerge w:val="restart"/>
          </w:tcPr>
          <w:p>
            <w:pPr>
              <w:jc w:val="center"/>
              <w:ind w:left="71"/>
              <w:spacing w:after="0"/>
              <w:rPr>
                <w:sz w:val="20"/>
                <w:szCs w:val="20"/>
                <w:color w:val="auto"/>
              </w:rPr>
            </w:pPr>
            <w:r>
              <w:rPr>
                <w:rFonts w:ascii="Arial" w:cs="Arial" w:eastAsia="Arial" w:hAnsi="Arial"/>
                <w:sz w:val="14"/>
                <w:szCs w:val="14"/>
                <w:color w:val="auto"/>
                <w:w w:val="99"/>
              </w:rPr>
              <w:t>Based on an analysis of approximately 58,000</w:t>
            </w:r>
          </w:p>
        </w:tc>
        <w:tc>
          <w:tcPr>
            <w:tcW w:w="0" w:type="dxa"/>
            <w:vAlign w:val="bottom"/>
          </w:tcPr>
          <w:p>
            <w:pPr>
              <w:spacing w:after="0"/>
              <w:rPr>
                <w:sz w:val="1"/>
                <w:szCs w:val="1"/>
                <w:color w:val="auto"/>
              </w:rPr>
            </w:pPr>
          </w:p>
        </w:tc>
      </w:tr>
      <w:tr>
        <w:trPr>
          <w:trHeight w:val="82"/>
        </w:trPr>
        <w:tc>
          <w:tcPr>
            <w:tcW w:w="324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3240" w:type="dxa"/>
            <w:vAlign w:val="bottom"/>
          </w:tcPr>
          <w:p>
            <w:pPr>
              <w:jc w:val="center"/>
              <w:ind w:right="131"/>
              <w:spacing w:after="0" w:line="156" w:lineRule="exact"/>
              <w:rPr>
                <w:sz w:val="20"/>
                <w:szCs w:val="20"/>
                <w:color w:val="auto"/>
              </w:rPr>
            </w:pPr>
            <w:r>
              <w:rPr>
                <w:rFonts w:ascii="Arial" w:cs="Arial" w:eastAsia="Arial" w:hAnsi="Arial"/>
                <w:sz w:val="14"/>
                <w:szCs w:val="14"/>
                <w:color w:val="auto"/>
                <w:w w:val="98"/>
              </w:rPr>
              <w:t>workforce solutions provider for its commitment to</w:t>
            </w:r>
          </w:p>
        </w:tc>
        <w:tc>
          <w:tcPr>
            <w:tcW w:w="3500" w:type="dxa"/>
            <w:vAlign w:val="bottom"/>
          </w:tcPr>
          <w:p>
            <w:pPr>
              <w:jc w:val="center"/>
              <w:spacing w:after="0" w:line="156" w:lineRule="exact"/>
              <w:rPr>
                <w:sz w:val="20"/>
                <w:szCs w:val="20"/>
                <w:color w:val="auto"/>
              </w:rPr>
            </w:pPr>
            <w:r>
              <w:rPr>
                <w:rFonts w:ascii="Arial" w:cs="Arial" w:eastAsia="Arial" w:hAnsi="Arial"/>
                <w:sz w:val="14"/>
                <w:szCs w:val="14"/>
                <w:color w:val="auto"/>
                <w:w w:val="99"/>
              </w:rPr>
              <w:t>The award honors corporate members that have</w:t>
            </w:r>
          </w:p>
        </w:tc>
        <w:tc>
          <w:tcPr>
            <w:tcW w:w="3380" w:type="dxa"/>
            <w:vAlign w:val="bottom"/>
          </w:tcPr>
          <w:p>
            <w:pPr>
              <w:jc w:val="center"/>
              <w:ind w:left="71"/>
              <w:spacing w:after="0" w:line="156" w:lineRule="exact"/>
              <w:rPr>
                <w:sz w:val="20"/>
                <w:szCs w:val="20"/>
                <w:color w:val="auto"/>
              </w:rPr>
            </w:pPr>
            <w:r>
              <w:rPr>
                <w:rFonts w:ascii="Arial" w:cs="Arial" w:eastAsia="Arial" w:hAnsi="Arial"/>
                <w:sz w:val="14"/>
                <w:szCs w:val="14"/>
                <w:color w:val="auto"/>
                <w:w w:val="99"/>
              </w:rPr>
              <w:t>companies and their hybrid job posting histories in</w:t>
            </w:r>
          </w:p>
        </w:tc>
        <w:tc>
          <w:tcPr>
            <w:tcW w:w="0" w:type="dxa"/>
            <w:vAlign w:val="bottom"/>
          </w:tcPr>
          <w:p>
            <w:pPr>
              <w:spacing w:after="0"/>
              <w:rPr>
                <w:sz w:val="1"/>
                <w:szCs w:val="1"/>
                <w:color w:val="auto"/>
              </w:rPr>
            </w:pPr>
          </w:p>
        </w:tc>
      </w:tr>
      <w:tr>
        <w:trPr>
          <w:trHeight w:val="156"/>
        </w:trPr>
        <w:tc>
          <w:tcPr>
            <w:tcW w:w="3240" w:type="dxa"/>
            <w:vAlign w:val="bottom"/>
          </w:tcPr>
          <w:p>
            <w:pPr>
              <w:jc w:val="center"/>
              <w:ind w:right="131"/>
              <w:spacing w:after="0" w:line="156" w:lineRule="exact"/>
              <w:rPr>
                <w:sz w:val="20"/>
                <w:szCs w:val="20"/>
                <w:color w:val="auto"/>
              </w:rPr>
            </w:pPr>
            <w:r>
              <w:rPr>
                <w:rFonts w:ascii="Arial" w:cs="Arial" w:eastAsia="Arial" w:hAnsi="Arial"/>
                <w:sz w:val="14"/>
                <w:szCs w:val="14"/>
                <w:color w:val="auto"/>
                <w:w w:val="98"/>
              </w:rPr>
              <w:t>connecting veterans and their spouses to work in</w:t>
            </w:r>
          </w:p>
        </w:tc>
        <w:tc>
          <w:tcPr>
            <w:tcW w:w="3500" w:type="dxa"/>
            <w:vAlign w:val="bottom"/>
          </w:tcPr>
          <w:p>
            <w:pPr>
              <w:jc w:val="center"/>
              <w:spacing w:after="0" w:line="156" w:lineRule="exact"/>
              <w:rPr>
                <w:sz w:val="20"/>
                <w:szCs w:val="20"/>
                <w:color w:val="auto"/>
              </w:rPr>
            </w:pPr>
            <w:r>
              <w:rPr>
                <w:rFonts w:ascii="Arial" w:cs="Arial" w:eastAsia="Arial" w:hAnsi="Arial"/>
                <w:sz w:val="14"/>
                <w:szCs w:val="14"/>
                <w:color w:val="auto"/>
                <w:w w:val="99"/>
              </w:rPr>
              <w:t>successfully integrated supplier diversity and have</w:t>
            </w:r>
          </w:p>
        </w:tc>
        <w:tc>
          <w:tcPr>
            <w:tcW w:w="3380" w:type="dxa"/>
            <w:vAlign w:val="bottom"/>
          </w:tcPr>
          <w:p>
            <w:pPr>
              <w:jc w:val="center"/>
              <w:ind w:left="91"/>
              <w:spacing w:after="0" w:line="156" w:lineRule="exact"/>
              <w:rPr>
                <w:sz w:val="20"/>
                <w:szCs w:val="20"/>
                <w:color w:val="auto"/>
              </w:rPr>
            </w:pPr>
            <w:r>
              <w:rPr>
                <w:rFonts w:ascii="Arial" w:cs="Arial" w:eastAsia="Arial" w:hAnsi="Arial"/>
                <w:sz w:val="14"/>
                <w:szCs w:val="14"/>
                <w:color w:val="auto"/>
                <w:w w:val="99"/>
              </w:rPr>
              <w:t>the FlexJobs database between September 1, 2022,</w:t>
            </w:r>
          </w:p>
        </w:tc>
        <w:tc>
          <w:tcPr>
            <w:tcW w:w="0" w:type="dxa"/>
            <w:vAlign w:val="bottom"/>
          </w:tcPr>
          <w:p>
            <w:pPr>
              <w:spacing w:after="0"/>
              <w:rPr>
                <w:sz w:val="1"/>
                <w:szCs w:val="1"/>
                <w:color w:val="auto"/>
              </w:rPr>
            </w:pPr>
          </w:p>
        </w:tc>
      </w:tr>
      <w:tr>
        <w:trPr>
          <w:trHeight w:val="156"/>
        </w:trPr>
        <w:tc>
          <w:tcPr>
            <w:tcW w:w="3240" w:type="dxa"/>
            <w:vAlign w:val="bottom"/>
          </w:tcPr>
          <w:p>
            <w:pPr>
              <w:jc w:val="center"/>
              <w:ind w:right="151"/>
              <w:spacing w:after="0" w:line="156" w:lineRule="exact"/>
              <w:rPr>
                <w:sz w:val="20"/>
                <w:szCs w:val="20"/>
                <w:color w:val="auto"/>
              </w:rPr>
            </w:pPr>
            <w:r>
              <w:rPr>
                <w:rFonts w:ascii="Arial" w:cs="Arial" w:eastAsia="Arial" w:hAnsi="Arial"/>
                <w:sz w:val="14"/>
                <w:szCs w:val="14"/>
                <w:color w:val="auto"/>
                <w:w w:val="98"/>
              </w:rPr>
              <w:t>ways that enrich their lives.</w:t>
            </w:r>
          </w:p>
        </w:tc>
        <w:tc>
          <w:tcPr>
            <w:tcW w:w="3500" w:type="dxa"/>
            <w:vAlign w:val="bottom"/>
          </w:tcPr>
          <w:p>
            <w:pPr>
              <w:jc w:val="center"/>
              <w:spacing w:after="0" w:line="156" w:lineRule="exact"/>
              <w:rPr>
                <w:sz w:val="20"/>
                <w:szCs w:val="20"/>
                <w:color w:val="auto"/>
              </w:rPr>
            </w:pPr>
            <w:r>
              <w:rPr>
                <w:rFonts w:ascii="Arial" w:cs="Arial" w:eastAsia="Arial" w:hAnsi="Arial"/>
                <w:sz w:val="14"/>
                <w:szCs w:val="14"/>
                <w:color w:val="auto"/>
                <w:w w:val="98"/>
              </w:rPr>
              <w:t>meaningful results in certified Women Business</w:t>
            </w:r>
          </w:p>
        </w:tc>
        <w:tc>
          <w:tcPr>
            <w:tcW w:w="3380" w:type="dxa"/>
            <w:vAlign w:val="bottom"/>
          </w:tcPr>
          <w:p>
            <w:pPr>
              <w:jc w:val="center"/>
              <w:ind w:left="71"/>
              <w:spacing w:after="0" w:line="156" w:lineRule="exact"/>
              <w:rPr>
                <w:sz w:val="20"/>
                <w:szCs w:val="20"/>
                <w:color w:val="auto"/>
              </w:rPr>
            </w:pPr>
            <w:r>
              <w:rPr>
                <w:rFonts w:ascii="Arial" w:cs="Arial" w:eastAsia="Arial" w:hAnsi="Arial"/>
                <w:sz w:val="14"/>
                <w:szCs w:val="14"/>
                <w:color w:val="auto"/>
                <w:w w:val="99"/>
              </w:rPr>
              <w:t>and August 31, 2023.</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5"/>
                <w:szCs w:val="15"/>
                <w:color w:val="auto"/>
              </w:rPr>
            </w:pPr>
          </w:p>
        </w:tc>
        <w:tc>
          <w:tcPr>
            <w:tcW w:w="3500" w:type="dxa"/>
            <w:vAlign w:val="bottom"/>
          </w:tcPr>
          <w:p>
            <w:pPr>
              <w:jc w:val="center"/>
              <w:spacing w:after="0"/>
              <w:rPr>
                <w:sz w:val="20"/>
                <w:szCs w:val="20"/>
                <w:color w:val="auto"/>
              </w:rPr>
            </w:pPr>
            <w:r>
              <w:rPr>
                <w:rFonts w:ascii="Arial" w:cs="Arial" w:eastAsia="Arial" w:hAnsi="Arial"/>
                <w:sz w:val="14"/>
                <w:szCs w:val="14"/>
                <w:color w:val="auto"/>
                <w:w w:val="99"/>
              </w:rPr>
              <w:t>Enterprise (WBE) spend.</w:t>
            </w: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tcPr>
          <w:p>
            <w:pPr>
              <w:jc w:val="center"/>
              <w:ind w:right="71"/>
              <w:spacing w:after="0"/>
              <w:rPr>
                <w:sz w:val="20"/>
                <w:szCs w:val="20"/>
                <w:color w:val="auto"/>
              </w:rPr>
            </w:pPr>
            <w:r>
              <w:rPr>
                <w:rFonts w:ascii="Arial" w:cs="Arial" w:eastAsia="Arial" w:hAnsi="Arial"/>
                <w:sz w:val="14"/>
                <w:szCs w:val="14"/>
                <w:b w:val="1"/>
                <w:bCs w:val="1"/>
                <w:color w:val="auto"/>
                <w:w w:val="98"/>
              </w:rPr>
              <w:t>Kelly Named One of the World’s Best</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8"/>
              </w:rPr>
              <w:t>Kelly Named a 2023 MMSDC ACE Award Recipient</w:t>
            </w:r>
          </w:p>
        </w:tc>
        <w:tc>
          <w:tcPr>
            <w:tcW w:w="3260" w:type="dxa"/>
            <w:vAlign w:val="bottom"/>
          </w:tcPr>
          <w:p>
            <w:pPr>
              <w:jc w:val="center"/>
              <w:ind w:left="91"/>
              <w:spacing w:after="0"/>
              <w:rPr>
                <w:sz w:val="20"/>
                <w:szCs w:val="20"/>
                <w:color w:val="auto"/>
              </w:rPr>
            </w:pPr>
            <w:r>
              <w:rPr>
                <w:rFonts w:ascii="Arial" w:cs="Arial" w:eastAsia="Arial" w:hAnsi="Arial"/>
                <w:sz w:val="14"/>
                <w:szCs w:val="14"/>
                <w:b w:val="1"/>
                <w:bCs w:val="1"/>
                <w:color w:val="auto"/>
                <w:w w:val="98"/>
              </w:rPr>
              <w:t>KellyOCG Named to HRO Today’s EMEA RPO</w:t>
            </w:r>
          </w:p>
        </w:tc>
      </w:tr>
      <w:tr>
        <w:trPr>
          <w:trHeight w:val="192"/>
        </w:trPr>
        <w:tc>
          <w:tcPr>
            <w:tcW w:w="3260" w:type="dxa"/>
            <w:vAlign w:val="bottom"/>
          </w:tcPr>
          <w:p>
            <w:pPr>
              <w:jc w:val="center"/>
              <w:ind w:right="91"/>
              <w:spacing w:after="0"/>
              <w:rPr>
                <w:sz w:val="20"/>
                <w:szCs w:val="20"/>
                <w:color w:val="auto"/>
              </w:rPr>
            </w:pPr>
            <w:r>
              <w:rPr>
                <w:rFonts w:ascii="Arial" w:cs="Arial" w:eastAsia="Arial" w:hAnsi="Arial"/>
                <w:sz w:val="14"/>
                <w:szCs w:val="14"/>
                <w:b w:val="1"/>
                <w:bCs w:val="1"/>
                <w:color w:val="auto"/>
                <w:w w:val="99"/>
              </w:rPr>
              <w:t>Companies by TIME Magazine</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8"/>
              </w:rPr>
              <w:t>for Professional Services &amp; Staffing</w:t>
            </w:r>
          </w:p>
        </w:tc>
        <w:tc>
          <w:tcPr>
            <w:tcW w:w="3260" w:type="dxa"/>
            <w:vAlign w:val="bottom"/>
          </w:tcPr>
          <w:p>
            <w:pPr>
              <w:jc w:val="center"/>
              <w:ind w:left="91"/>
              <w:spacing w:after="0"/>
              <w:rPr>
                <w:sz w:val="20"/>
                <w:szCs w:val="20"/>
                <w:color w:val="auto"/>
              </w:rPr>
            </w:pPr>
            <w:r>
              <w:rPr>
                <w:rFonts w:ascii="Arial" w:cs="Arial" w:eastAsia="Arial" w:hAnsi="Arial"/>
                <w:sz w:val="14"/>
                <w:szCs w:val="14"/>
                <w:b w:val="1"/>
                <w:bCs w:val="1"/>
                <w:color w:val="auto"/>
                <w:w w:val="98"/>
              </w:rPr>
              <w:t>Baker’s Dozen List 2023</w:t>
            </w:r>
          </w:p>
        </w:tc>
      </w:tr>
      <w:tr>
        <w:trPr>
          <w:trHeight w:val="238"/>
        </w:trPr>
        <w:tc>
          <w:tcPr>
            <w:tcW w:w="3260" w:type="dxa"/>
            <w:vAlign w:val="bottom"/>
          </w:tcPr>
          <w:p>
            <w:pPr>
              <w:jc w:val="center"/>
              <w:ind w:right="91"/>
              <w:spacing w:after="0"/>
              <w:rPr>
                <w:sz w:val="20"/>
                <w:szCs w:val="20"/>
                <w:color w:val="auto"/>
              </w:rPr>
            </w:pPr>
            <w:r>
              <w:rPr>
                <w:rFonts w:ascii="Arial" w:cs="Arial" w:eastAsia="Arial" w:hAnsi="Arial"/>
                <w:sz w:val="14"/>
                <w:szCs w:val="14"/>
                <w:color w:val="auto"/>
                <w:w w:val="99"/>
              </w:rPr>
              <w:t>TIME and Statista named the 750 companies</w:t>
            </w:r>
          </w:p>
        </w:tc>
        <w:tc>
          <w:tcPr>
            <w:tcW w:w="3580" w:type="dxa"/>
            <w:vAlign w:val="bottom"/>
          </w:tcPr>
          <w:p>
            <w:pPr>
              <w:jc w:val="center"/>
              <w:spacing w:after="0"/>
              <w:rPr>
                <w:sz w:val="20"/>
                <w:szCs w:val="20"/>
                <w:color w:val="auto"/>
              </w:rPr>
            </w:pPr>
            <w:r>
              <w:rPr>
                <w:rFonts w:ascii="Arial" w:cs="Arial" w:eastAsia="Arial" w:hAnsi="Arial"/>
                <w:sz w:val="14"/>
                <w:szCs w:val="14"/>
                <w:color w:val="auto"/>
                <w:w w:val="98"/>
              </w:rPr>
              <w:t>The Michigan Minority Supplier Diversity Council’s</w:t>
            </w:r>
          </w:p>
        </w:tc>
        <w:tc>
          <w:tcPr>
            <w:tcW w:w="3260" w:type="dxa"/>
            <w:vAlign w:val="bottom"/>
          </w:tcPr>
          <w:p>
            <w:pPr>
              <w:jc w:val="center"/>
              <w:ind w:left="91"/>
              <w:spacing w:after="0"/>
              <w:rPr>
                <w:sz w:val="20"/>
                <w:szCs w:val="20"/>
                <w:color w:val="auto"/>
              </w:rPr>
            </w:pPr>
            <w:r>
              <w:rPr>
                <w:rFonts w:ascii="Arial" w:cs="Arial" w:eastAsia="Arial" w:hAnsi="Arial"/>
                <w:sz w:val="14"/>
                <w:szCs w:val="14"/>
                <w:color w:val="auto"/>
                <w:w w:val="98"/>
              </w:rPr>
              <w:t>KellyOCG named to HRO Today’s EMEA RPO</w:t>
            </w:r>
          </w:p>
        </w:tc>
      </w:tr>
      <w:tr>
        <w:trPr>
          <w:trHeight w:val="156"/>
        </w:trPr>
        <w:tc>
          <w:tcPr>
            <w:tcW w:w="3260" w:type="dxa"/>
            <w:vAlign w:val="bottom"/>
          </w:tcPr>
          <w:p>
            <w:pPr>
              <w:jc w:val="center"/>
              <w:ind w:right="71"/>
              <w:spacing w:after="0" w:line="156" w:lineRule="exact"/>
              <w:rPr>
                <w:sz w:val="20"/>
                <w:szCs w:val="20"/>
                <w:color w:val="auto"/>
              </w:rPr>
            </w:pPr>
            <w:r>
              <w:rPr>
                <w:rFonts w:ascii="Arial" w:cs="Arial" w:eastAsia="Arial" w:hAnsi="Arial"/>
                <w:sz w:val="14"/>
                <w:szCs w:val="14"/>
                <w:color w:val="auto"/>
                <w:w w:val="98"/>
              </w:rPr>
              <w:t>changing the world, based on a formula of revenue</w:t>
            </w:r>
          </w:p>
        </w:tc>
        <w:tc>
          <w:tcPr>
            <w:tcW w:w="3580" w:type="dxa"/>
            <w:vAlign w:val="bottom"/>
          </w:tcPr>
          <w:p>
            <w:pPr>
              <w:jc w:val="center"/>
              <w:spacing w:after="0" w:line="156" w:lineRule="exact"/>
              <w:rPr>
                <w:sz w:val="20"/>
                <w:szCs w:val="20"/>
                <w:color w:val="auto"/>
              </w:rPr>
            </w:pPr>
            <w:r>
              <w:rPr>
                <w:rFonts w:ascii="Arial" w:cs="Arial" w:eastAsia="Arial" w:hAnsi="Arial"/>
                <w:sz w:val="14"/>
                <w:szCs w:val="14"/>
                <w:color w:val="auto"/>
                <w:w w:val="99"/>
              </w:rPr>
              <w:t>ACE awards recognize the best of the minority</w:t>
            </w:r>
          </w:p>
        </w:tc>
        <w:tc>
          <w:tcPr>
            <w:tcW w:w="3260" w:type="dxa"/>
            <w:vAlign w:val="bottom"/>
          </w:tcPr>
          <w:p>
            <w:pPr>
              <w:jc w:val="center"/>
              <w:ind w:left="71"/>
              <w:spacing w:after="0" w:line="156" w:lineRule="exact"/>
              <w:rPr>
                <w:sz w:val="20"/>
                <w:szCs w:val="20"/>
                <w:color w:val="auto"/>
              </w:rPr>
            </w:pPr>
            <w:r>
              <w:rPr>
                <w:rFonts w:ascii="Arial" w:cs="Arial" w:eastAsia="Arial" w:hAnsi="Arial"/>
                <w:sz w:val="14"/>
                <w:szCs w:val="14"/>
                <w:color w:val="auto"/>
                <w:w w:val="99"/>
              </w:rPr>
              <w:t>Baker’s Dozen list for the third year in a row. The</w:t>
            </w:r>
          </w:p>
        </w:tc>
      </w:tr>
      <w:tr>
        <w:trPr>
          <w:trHeight w:val="156"/>
        </w:trPr>
        <w:tc>
          <w:tcPr>
            <w:tcW w:w="3260" w:type="dxa"/>
            <w:vAlign w:val="bottom"/>
          </w:tcPr>
          <w:p>
            <w:pPr>
              <w:jc w:val="center"/>
              <w:ind w:right="71"/>
              <w:spacing w:after="0" w:line="156" w:lineRule="exact"/>
              <w:rPr>
                <w:sz w:val="20"/>
                <w:szCs w:val="20"/>
                <w:color w:val="auto"/>
              </w:rPr>
            </w:pPr>
            <w:r>
              <w:rPr>
                <w:rFonts w:ascii="Arial" w:cs="Arial" w:eastAsia="Arial" w:hAnsi="Arial"/>
                <w:sz w:val="14"/>
                <w:szCs w:val="14"/>
                <w:color w:val="auto"/>
                <w:w w:val="99"/>
              </w:rPr>
              <w:t>growth, employee-satisfaction surveys, and ESG</w:t>
            </w:r>
          </w:p>
        </w:tc>
        <w:tc>
          <w:tcPr>
            <w:tcW w:w="3580" w:type="dxa"/>
            <w:vAlign w:val="bottom"/>
          </w:tcPr>
          <w:p>
            <w:pPr>
              <w:jc w:val="center"/>
              <w:spacing w:after="0" w:line="156" w:lineRule="exact"/>
              <w:rPr>
                <w:sz w:val="20"/>
                <w:szCs w:val="20"/>
                <w:color w:val="auto"/>
              </w:rPr>
            </w:pPr>
            <w:r>
              <w:rPr>
                <w:rFonts w:ascii="Arial" w:cs="Arial" w:eastAsia="Arial" w:hAnsi="Arial"/>
                <w:sz w:val="14"/>
                <w:szCs w:val="14"/>
                <w:color w:val="auto"/>
                <w:w w:val="99"/>
              </w:rPr>
              <w:t>business community as well as the corporations that</w:t>
            </w:r>
          </w:p>
        </w:tc>
        <w:tc>
          <w:tcPr>
            <w:tcW w:w="3260" w:type="dxa"/>
            <w:vAlign w:val="bottom"/>
          </w:tcPr>
          <w:p>
            <w:pPr>
              <w:jc w:val="center"/>
              <w:ind w:left="91"/>
              <w:spacing w:after="0" w:line="156" w:lineRule="exact"/>
              <w:rPr>
                <w:sz w:val="20"/>
                <w:szCs w:val="20"/>
                <w:color w:val="auto"/>
              </w:rPr>
            </w:pPr>
            <w:r>
              <w:rPr>
                <w:rFonts w:ascii="Arial" w:cs="Arial" w:eastAsia="Arial" w:hAnsi="Arial"/>
                <w:sz w:val="14"/>
                <w:szCs w:val="14"/>
                <w:color w:val="auto"/>
                <w:w w:val="98"/>
              </w:rPr>
              <w:t>Customer Satisfaction Ratings are based solely on</w:t>
            </w:r>
          </w:p>
        </w:tc>
      </w:tr>
      <w:tr>
        <w:trPr>
          <w:trHeight w:val="184"/>
        </w:trPr>
        <w:tc>
          <w:tcPr>
            <w:tcW w:w="3260" w:type="dxa"/>
            <w:vAlign w:val="bottom"/>
          </w:tcPr>
          <w:p>
            <w:pPr>
              <w:jc w:val="center"/>
              <w:ind w:right="71"/>
              <w:spacing w:after="0"/>
              <w:rPr>
                <w:sz w:val="20"/>
                <w:szCs w:val="20"/>
                <w:color w:val="auto"/>
              </w:rPr>
            </w:pPr>
            <w:r>
              <w:rPr>
                <w:rFonts w:ascii="Arial" w:cs="Arial" w:eastAsia="Arial" w:hAnsi="Arial"/>
                <w:sz w:val="14"/>
                <w:szCs w:val="14"/>
                <w:color w:val="auto"/>
                <w:w w:val="98"/>
              </w:rPr>
              <w:t>data, and Kelly is on the list.</w:t>
            </w:r>
          </w:p>
        </w:tc>
        <w:tc>
          <w:tcPr>
            <w:tcW w:w="3580" w:type="dxa"/>
            <w:vAlign w:val="bottom"/>
          </w:tcPr>
          <w:p>
            <w:pPr>
              <w:jc w:val="center"/>
              <w:spacing w:after="0"/>
              <w:rPr>
                <w:sz w:val="20"/>
                <w:szCs w:val="20"/>
                <w:color w:val="auto"/>
              </w:rPr>
            </w:pPr>
            <w:r>
              <w:rPr>
                <w:rFonts w:ascii="Arial" w:cs="Arial" w:eastAsia="Arial" w:hAnsi="Arial"/>
                <w:sz w:val="14"/>
                <w:szCs w:val="14"/>
                <w:color w:val="auto"/>
                <w:w w:val="98"/>
              </w:rPr>
              <w:t>advocate and contract with them.</w:t>
            </w:r>
          </w:p>
        </w:tc>
        <w:tc>
          <w:tcPr>
            <w:tcW w:w="3260" w:type="dxa"/>
            <w:vAlign w:val="bottom"/>
          </w:tcPr>
          <w:p>
            <w:pPr>
              <w:jc w:val="center"/>
              <w:ind w:left="91"/>
              <w:spacing w:after="0"/>
              <w:rPr>
                <w:sz w:val="20"/>
                <w:szCs w:val="20"/>
                <w:color w:val="auto"/>
              </w:rPr>
            </w:pPr>
            <w:r>
              <w:rPr>
                <w:rFonts w:ascii="Arial" w:cs="Arial" w:eastAsia="Arial" w:hAnsi="Arial"/>
                <w:sz w:val="14"/>
                <w:szCs w:val="14"/>
                <w:color w:val="auto"/>
                <w:w w:val="99"/>
              </w:rPr>
              <w:t>feedback from buyers of the rated services.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97"/>
              </w:rPr>
              <w:t>KellyOCG Named to HRO Today’s APAC RPO</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9"/>
              </w:rPr>
              <w:t>KellyOCG Named to HRO Today Enterprise RPO</w:t>
            </w:r>
          </w:p>
        </w:tc>
        <w:tc>
          <w:tcPr>
            <w:tcW w:w="3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Kelly Named a Global Champion for Supplier</w:t>
            </w:r>
          </w:p>
        </w:tc>
        <w:tc>
          <w:tcPr>
            <w:tcW w:w="0" w:type="dxa"/>
            <w:vAlign w:val="bottom"/>
          </w:tcPr>
          <w:p>
            <w:pPr>
              <w:spacing w:after="0"/>
              <w:rPr>
                <w:sz w:val="1"/>
                <w:szCs w:val="1"/>
                <w:color w:val="auto"/>
              </w:rPr>
            </w:pPr>
          </w:p>
        </w:tc>
      </w:tr>
      <w:tr>
        <w:trPr>
          <w:trHeight w:val="192"/>
        </w:trPr>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98"/>
              </w:rPr>
              <w:t>Baker’s Dozen List 2023</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8"/>
              </w:rPr>
              <w:t>Baker’s Dozen List 2023</w:t>
            </w:r>
          </w:p>
        </w:tc>
        <w:tc>
          <w:tcPr>
            <w:tcW w:w="2500" w:type="dxa"/>
            <w:vAlign w:val="bottom"/>
          </w:tcPr>
          <w:p>
            <w:pPr>
              <w:jc w:val="center"/>
              <w:ind w:left="895"/>
              <w:spacing w:after="0"/>
              <w:rPr>
                <w:sz w:val="20"/>
                <w:szCs w:val="20"/>
                <w:color w:val="auto"/>
              </w:rPr>
            </w:pPr>
            <w:r>
              <w:rPr>
                <w:rFonts w:ascii="Arial" w:cs="Arial" w:eastAsia="Arial" w:hAnsi="Arial"/>
                <w:sz w:val="14"/>
                <w:szCs w:val="14"/>
                <w:b w:val="1"/>
                <w:bCs w:val="1"/>
                <w:color w:val="auto"/>
                <w:w w:val="99"/>
              </w:rPr>
              <w:t>Diversity &amp; Inclusion</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80" w:type="dxa"/>
            <w:vAlign w:val="bottom"/>
          </w:tcPr>
          <w:p>
            <w:pPr>
              <w:jc w:val="center"/>
              <w:spacing w:after="0"/>
              <w:rPr>
                <w:sz w:val="20"/>
                <w:szCs w:val="20"/>
                <w:color w:val="auto"/>
              </w:rPr>
            </w:pPr>
            <w:r>
              <w:rPr>
                <w:rFonts w:ascii="Arial" w:cs="Arial" w:eastAsia="Arial" w:hAnsi="Arial"/>
                <w:sz w:val="14"/>
                <w:szCs w:val="14"/>
                <w:color w:val="auto"/>
                <w:w w:val="98"/>
              </w:rPr>
              <w:t>KellyOCG named to HRO Today’s EMEA RPO</w:t>
            </w:r>
          </w:p>
        </w:tc>
        <w:tc>
          <w:tcPr>
            <w:tcW w:w="3540" w:type="dxa"/>
            <w:vAlign w:val="bottom"/>
          </w:tcPr>
          <w:p>
            <w:pPr>
              <w:jc w:val="center"/>
              <w:spacing w:after="0"/>
              <w:rPr>
                <w:sz w:val="20"/>
                <w:szCs w:val="20"/>
                <w:color w:val="auto"/>
              </w:rPr>
            </w:pPr>
            <w:r>
              <w:rPr>
                <w:rFonts w:ascii="Arial" w:cs="Arial" w:eastAsia="Arial" w:hAnsi="Arial"/>
                <w:sz w:val="14"/>
                <w:szCs w:val="14"/>
                <w:color w:val="auto"/>
                <w:w w:val="98"/>
              </w:rPr>
              <w:t>HRO Today is the premier global HR network and</w:t>
            </w:r>
          </w:p>
        </w:tc>
        <w:tc>
          <w:tcPr>
            <w:tcW w:w="3500" w:type="dxa"/>
            <w:vAlign w:val="bottom"/>
            <w:gridSpan w:val="4"/>
          </w:tcPr>
          <w:p>
            <w:pPr>
              <w:jc w:val="center"/>
              <w:spacing w:after="0"/>
              <w:rPr>
                <w:sz w:val="20"/>
                <w:szCs w:val="20"/>
                <w:color w:val="auto"/>
              </w:rPr>
            </w:pPr>
            <w:r>
              <w:rPr>
                <w:rFonts w:ascii="Arial" w:cs="Arial" w:eastAsia="Arial" w:hAnsi="Arial"/>
                <w:sz w:val="14"/>
                <w:szCs w:val="14"/>
                <w:color w:val="auto"/>
                <w:w w:val="99"/>
              </w:rPr>
              <w:t>Kelly received the highest level of recognition –</w:t>
            </w:r>
          </w:p>
        </w:tc>
        <w:tc>
          <w:tcPr>
            <w:tcW w:w="0" w:type="dxa"/>
            <w:vAlign w:val="bottom"/>
          </w:tcPr>
          <w:p>
            <w:pPr>
              <w:spacing w:after="0"/>
              <w:rPr>
                <w:sz w:val="1"/>
                <w:szCs w:val="1"/>
                <w:color w:val="auto"/>
              </w:rPr>
            </w:pPr>
          </w:p>
        </w:tc>
      </w:tr>
      <w:tr>
        <w:trPr>
          <w:trHeight w:val="156"/>
        </w:trPr>
        <w:tc>
          <w:tcPr>
            <w:tcW w:w="3480" w:type="dxa"/>
            <w:vAlign w:val="bottom"/>
          </w:tcPr>
          <w:p>
            <w:pPr>
              <w:jc w:val="center"/>
              <w:spacing w:after="0" w:line="156" w:lineRule="exact"/>
              <w:rPr>
                <w:sz w:val="20"/>
                <w:szCs w:val="20"/>
                <w:color w:val="auto"/>
              </w:rPr>
            </w:pPr>
            <w:r>
              <w:rPr>
                <w:rFonts w:ascii="Arial" w:cs="Arial" w:eastAsia="Arial" w:hAnsi="Arial"/>
                <w:sz w:val="14"/>
                <w:szCs w:val="14"/>
                <w:color w:val="auto"/>
                <w:w w:val="99"/>
              </w:rPr>
              <w:t>Baker’s Dozen list for the third year in a row. The</w:t>
            </w:r>
          </w:p>
        </w:tc>
        <w:tc>
          <w:tcPr>
            <w:tcW w:w="3540" w:type="dxa"/>
            <w:vAlign w:val="bottom"/>
          </w:tcPr>
          <w:p>
            <w:pPr>
              <w:jc w:val="center"/>
              <w:spacing w:after="0" w:line="156" w:lineRule="exact"/>
              <w:rPr>
                <w:sz w:val="20"/>
                <w:szCs w:val="20"/>
                <w:color w:val="auto"/>
              </w:rPr>
            </w:pPr>
            <w:r>
              <w:rPr>
                <w:rFonts w:ascii="Arial" w:cs="Arial" w:eastAsia="Arial" w:hAnsi="Arial"/>
                <w:sz w:val="14"/>
                <w:szCs w:val="14"/>
                <w:color w:val="auto"/>
                <w:w w:val="99"/>
              </w:rPr>
              <w:t>content community. The Baker’s Dozen Customer</w:t>
            </w:r>
          </w:p>
        </w:tc>
        <w:tc>
          <w:tcPr>
            <w:tcW w:w="3500" w:type="dxa"/>
            <w:vAlign w:val="bottom"/>
            <w:gridSpan w:val="4"/>
          </w:tcPr>
          <w:p>
            <w:pPr>
              <w:jc w:val="center"/>
              <w:spacing w:after="0" w:line="156" w:lineRule="exact"/>
              <w:rPr>
                <w:sz w:val="20"/>
                <w:szCs w:val="20"/>
                <w:color w:val="auto"/>
              </w:rPr>
            </w:pPr>
            <w:r>
              <w:rPr>
                <w:rFonts w:ascii="Arial" w:cs="Arial" w:eastAsia="Arial" w:hAnsi="Arial"/>
                <w:sz w:val="14"/>
                <w:szCs w:val="14"/>
                <w:color w:val="auto"/>
                <w:w w:val="99"/>
              </w:rPr>
              <w:t>platinum – for its commitment to inclusive supplier</w:t>
            </w:r>
          </w:p>
        </w:tc>
        <w:tc>
          <w:tcPr>
            <w:tcW w:w="0" w:type="dxa"/>
            <w:vAlign w:val="bottom"/>
          </w:tcPr>
          <w:p>
            <w:pPr>
              <w:spacing w:after="0"/>
              <w:rPr>
                <w:sz w:val="1"/>
                <w:szCs w:val="1"/>
                <w:color w:val="auto"/>
              </w:rPr>
            </w:pPr>
          </w:p>
        </w:tc>
      </w:tr>
      <w:tr>
        <w:trPr>
          <w:trHeight w:val="156"/>
        </w:trPr>
        <w:tc>
          <w:tcPr>
            <w:tcW w:w="3480" w:type="dxa"/>
            <w:vAlign w:val="bottom"/>
          </w:tcPr>
          <w:p>
            <w:pPr>
              <w:jc w:val="center"/>
              <w:spacing w:after="0" w:line="156" w:lineRule="exact"/>
              <w:rPr>
                <w:sz w:val="20"/>
                <w:szCs w:val="20"/>
                <w:color w:val="auto"/>
              </w:rPr>
            </w:pPr>
            <w:r>
              <w:rPr>
                <w:rFonts w:ascii="Arial" w:cs="Arial" w:eastAsia="Arial" w:hAnsi="Arial"/>
                <w:sz w:val="14"/>
                <w:szCs w:val="14"/>
                <w:color w:val="auto"/>
                <w:w w:val="98"/>
              </w:rPr>
              <w:t>Customer Satisfaction Ratings are based solely on</w:t>
            </w:r>
          </w:p>
        </w:tc>
        <w:tc>
          <w:tcPr>
            <w:tcW w:w="3540" w:type="dxa"/>
            <w:vAlign w:val="bottom"/>
          </w:tcPr>
          <w:p>
            <w:pPr>
              <w:jc w:val="center"/>
              <w:spacing w:after="0" w:line="156" w:lineRule="exact"/>
              <w:rPr>
                <w:sz w:val="20"/>
                <w:szCs w:val="20"/>
                <w:color w:val="auto"/>
              </w:rPr>
            </w:pPr>
            <w:r>
              <w:rPr>
                <w:rFonts w:ascii="Arial" w:cs="Arial" w:eastAsia="Arial" w:hAnsi="Arial"/>
                <w:sz w:val="14"/>
                <w:szCs w:val="14"/>
                <w:color w:val="auto"/>
                <w:w w:val="98"/>
              </w:rPr>
              <w:t>Satisfaction Ratings are based solely on feedback</w:t>
            </w:r>
          </w:p>
        </w:tc>
        <w:tc>
          <w:tcPr>
            <w:tcW w:w="3500" w:type="dxa"/>
            <w:vAlign w:val="bottom"/>
            <w:gridSpan w:val="4"/>
          </w:tcPr>
          <w:p>
            <w:pPr>
              <w:jc w:val="center"/>
              <w:spacing w:after="0" w:line="156" w:lineRule="exact"/>
              <w:rPr>
                <w:sz w:val="20"/>
                <w:szCs w:val="20"/>
                <w:color w:val="auto"/>
              </w:rPr>
            </w:pPr>
            <w:r>
              <w:rPr>
                <w:rFonts w:ascii="Arial" w:cs="Arial" w:eastAsia="Arial" w:hAnsi="Arial"/>
                <w:sz w:val="14"/>
                <w:szCs w:val="14"/>
                <w:color w:val="auto"/>
                <w:w w:val="99"/>
              </w:rPr>
              <w:t>spending, policies, and procedures for the fifth</w:t>
            </w:r>
          </w:p>
        </w:tc>
        <w:tc>
          <w:tcPr>
            <w:tcW w:w="0" w:type="dxa"/>
            <w:vAlign w:val="bottom"/>
          </w:tcPr>
          <w:p>
            <w:pPr>
              <w:spacing w:after="0"/>
              <w:rPr>
                <w:sz w:val="1"/>
                <w:szCs w:val="1"/>
                <w:color w:val="auto"/>
              </w:rPr>
            </w:pPr>
          </w:p>
        </w:tc>
      </w:tr>
      <w:tr>
        <w:trPr>
          <w:trHeight w:val="184"/>
        </w:trPr>
        <w:tc>
          <w:tcPr>
            <w:tcW w:w="3480" w:type="dxa"/>
            <w:vAlign w:val="bottom"/>
          </w:tcPr>
          <w:p>
            <w:pPr>
              <w:jc w:val="center"/>
              <w:spacing w:after="0"/>
              <w:rPr>
                <w:sz w:val="20"/>
                <w:szCs w:val="20"/>
                <w:color w:val="auto"/>
              </w:rPr>
            </w:pPr>
            <w:r>
              <w:rPr>
                <w:rFonts w:ascii="Arial" w:cs="Arial" w:eastAsia="Arial" w:hAnsi="Arial"/>
                <w:sz w:val="14"/>
                <w:szCs w:val="14"/>
                <w:color w:val="auto"/>
                <w:w w:val="99"/>
              </w:rPr>
              <w:t>feedback from buyers of the rated services.</w:t>
            </w:r>
          </w:p>
        </w:tc>
        <w:tc>
          <w:tcPr>
            <w:tcW w:w="3540" w:type="dxa"/>
            <w:vAlign w:val="bottom"/>
          </w:tcPr>
          <w:p>
            <w:pPr>
              <w:jc w:val="center"/>
              <w:spacing w:after="0"/>
              <w:rPr>
                <w:sz w:val="20"/>
                <w:szCs w:val="20"/>
                <w:color w:val="auto"/>
              </w:rPr>
            </w:pPr>
            <w:r>
              <w:rPr>
                <w:rFonts w:ascii="Arial" w:cs="Arial" w:eastAsia="Arial" w:hAnsi="Arial"/>
                <w:sz w:val="14"/>
                <w:szCs w:val="14"/>
                <w:color w:val="auto"/>
                <w:w w:val="99"/>
              </w:rPr>
              <w:t>from buyers of the rated services.</w:t>
            </w:r>
          </w:p>
        </w:tc>
        <w:tc>
          <w:tcPr>
            <w:tcW w:w="2500" w:type="dxa"/>
            <w:vAlign w:val="bottom"/>
          </w:tcPr>
          <w:p>
            <w:pPr>
              <w:jc w:val="center"/>
              <w:ind w:left="895"/>
              <w:spacing w:after="0"/>
              <w:rPr>
                <w:sz w:val="20"/>
                <w:szCs w:val="20"/>
                <w:color w:val="auto"/>
              </w:rPr>
            </w:pPr>
            <w:r>
              <w:rPr>
                <w:rFonts w:ascii="Arial" w:cs="Arial" w:eastAsia="Arial" w:hAnsi="Arial"/>
                <w:sz w:val="14"/>
                <w:szCs w:val="14"/>
                <w:color w:val="auto"/>
                <w:w w:val="97"/>
              </w:rPr>
              <w:t>consecutive year.</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3480" w:type="dxa"/>
            <w:vAlign w:val="bottom"/>
            <w:tcBorders>
              <w:bottom w:val="single" w:sz="8" w:color="0A9E50"/>
            </w:tcBorders>
          </w:tcPr>
          <w:p>
            <w:pPr>
              <w:spacing w:after="0"/>
              <w:rPr>
                <w:sz w:val="9"/>
                <w:szCs w:val="9"/>
                <w:color w:val="auto"/>
              </w:rPr>
            </w:pPr>
          </w:p>
        </w:tc>
        <w:tc>
          <w:tcPr>
            <w:tcW w:w="3540" w:type="dxa"/>
            <w:vAlign w:val="bottom"/>
            <w:tcBorders>
              <w:bottom w:val="single" w:sz="8" w:color="0A9E50"/>
            </w:tcBorders>
          </w:tcPr>
          <w:p>
            <w:pPr>
              <w:spacing w:after="0"/>
              <w:rPr>
                <w:sz w:val="9"/>
                <w:szCs w:val="9"/>
                <w:color w:val="auto"/>
              </w:rPr>
            </w:pPr>
          </w:p>
        </w:tc>
        <w:tc>
          <w:tcPr>
            <w:tcW w:w="2500" w:type="dxa"/>
            <w:vAlign w:val="bottom"/>
            <w:tcBorders>
              <w:bottom w:val="single" w:sz="8" w:color="0A9E50"/>
            </w:tcBorders>
          </w:tcPr>
          <w:p>
            <w:pPr>
              <w:spacing w:after="0"/>
              <w:rPr>
                <w:sz w:val="9"/>
                <w:szCs w:val="9"/>
                <w:color w:val="auto"/>
              </w:rPr>
            </w:pPr>
          </w:p>
        </w:tc>
        <w:tc>
          <w:tcPr>
            <w:tcW w:w="360" w:type="dxa"/>
            <w:vAlign w:val="bottom"/>
            <w:tcBorders>
              <w:bottom w:val="single" w:sz="8" w:color="0A9E50"/>
            </w:tcBorders>
          </w:tcPr>
          <w:p>
            <w:pPr>
              <w:spacing w:after="0"/>
              <w:rPr>
                <w:sz w:val="9"/>
                <w:szCs w:val="9"/>
                <w:color w:val="auto"/>
              </w:rPr>
            </w:pPr>
          </w:p>
        </w:tc>
        <w:tc>
          <w:tcPr>
            <w:tcW w:w="20" w:type="dxa"/>
            <w:vAlign w:val="bottom"/>
            <w:tcBorders>
              <w:bottom w:val="single" w:sz="8" w:color="0A9E50"/>
            </w:tcBorders>
          </w:tcPr>
          <w:p>
            <w:pPr>
              <w:spacing w:after="0"/>
              <w:rPr>
                <w:sz w:val="9"/>
                <w:szCs w:val="9"/>
                <w:color w:val="auto"/>
              </w:rPr>
            </w:pPr>
          </w:p>
        </w:tc>
        <w:tc>
          <w:tcPr>
            <w:tcW w:w="620" w:type="dxa"/>
            <w:vAlign w:val="bottom"/>
            <w:tcBorders>
              <w:bottom w:val="single" w:sz="8" w:color="0A9E50"/>
            </w:tcBorders>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4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500" w:type="dxa"/>
            <w:vAlign w:val="bottom"/>
            <w:vMerge w:val="restart"/>
          </w:tcPr>
          <w:p>
            <w:pPr>
              <w:jc w:val="center"/>
              <w:ind w:left="935"/>
              <w:spacing w:after="0"/>
              <w:rPr>
                <w:sz w:val="20"/>
                <w:szCs w:val="20"/>
                <w:color w:val="auto"/>
              </w:rPr>
            </w:pPr>
            <w:r>
              <w:rPr>
                <w:rFonts w:ascii="Arial" w:cs="Arial" w:eastAsia="Arial" w:hAnsi="Arial"/>
                <w:sz w:val="8"/>
                <w:szCs w:val="8"/>
                <w:color w:val="auto"/>
                <w:w w:val="74"/>
              </w:rPr>
              <w:t> </w:t>
            </w:r>
          </w:p>
        </w:tc>
        <w:tc>
          <w:tcPr>
            <w:tcW w:w="360" w:type="dxa"/>
            <w:vAlign w:val="bottom"/>
            <w:vMerge w:val="restart"/>
          </w:tcPr>
          <w:p>
            <w:pPr>
              <w:ind w:left="100"/>
              <w:spacing w:after="0"/>
              <w:rPr>
                <w:sz w:val="20"/>
                <w:szCs w:val="20"/>
                <w:color w:val="auto"/>
              </w:rPr>
            </w:pPr>
            <w:r>
              <w:rPr>
                <w:rFonts w:ascii="Arial" w:cs="Arial" w:eastAsia="Arial" w:hAnsi="Arial"/>
                <w:sz w:val="21"/>
                <w:szCs w:val="21"/>
                <w:color w:val="auto"/>
                <w:w w:val="89"/>
              </w:rPr>
              <w:t xml:space="preserve">  </w:t>
            </w:r>
          </w:p>
        </w:tc>
        <w:tc>
          <w:tcPr>
            <w:tcW w:w="20" w:type="dxa"/>
            <w:vAlign w:val="bottom"/>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21"/>
                <w:szCs w:val="21"/>
                <w:color w:val="auto"/>
                <w:w w:val="80"/>
              </w:rPr>
              <w:t>    11</w:t>
            </w:r>
          </w:p>
        </w:tc>
        <w:tc>
          <w:tcPr>
            <w:tcW w:w="0" w:type="dxa"/>
            <w:vAlign w:val="bottom"/>
          </w:tcPr>
          <w:p>
            <w:pPr>
              <w:spacing w:after="0"/>
              <w:rPr>
                <w:sz w:val="1"/>
                <w:szCs w:val="1"/>
                <w:color w:val="auto"/>
              </w:rPr>
            </w:pPr>
          </w:p>
        </w:tc>
      </w:tr>
      <w:tr>
        <w:trPr>
          <w:trHeight w:val="248"/>
        </w:trPr>
        <w:tc>
          <w:tcPr>
            <w:tcW w:w="34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500" w:type="dxa"/>
            <w:vAlign w:val="bottom"/>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3480" w:type="dxa"/>
            <w:vAlign w:val="bottom"/>
          </w:tcPr>
          <w:p>
            <w:pPr>
              <w:spacing w:after="0"/>
              <w:rPr>
                <w:sz w:val="8"/>
                <w:szCs w:val="8"/>
                <w:color w:val="auto"/>
              </w:rPr>
            </w:pPr>
          </w:p>
        </w:tc>
        <w:tc>
          <w:tcPr>
            <w:tcW w:w="3540" w:type="dxa"/>
            <w:vAlign w:val="bottom"/>
          </w:tcPr>
          <w:p>
            <w:pPr>
              <w:spacing w:after="0"/>
              <w:rPr>
                <w:sz w:val="8"/>
                <w:szCs w:val="8"/>
                <w:color w:val="auto"/>
              </w:rPr>
            </w:pPr>
          </w:p>
        </w:tc>
        <w:tc>
          <w:tcPr>
            <w:tcW w:w="250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5958840</wp:posOffset>
            </wp:positionH>
            <wp:positionV relativeFrom="paragraph">
              <wp:posOffset>-222250</wp:posOffset>
            </wp:positionV>
            <wp:extent cx="396240" cy="189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96240" cy="18986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5"/>
        </w:trPr>
        <w:tc>
          <w:tcPr>
            <w:tcW w:w="3880" w:type="dxa"/>
            <w:vAlign w:val="bottom"/>
            <w:gridSpan w:val="3"/>
          </w:tcPr>
          <w:p>
            <w:pPr>
              <w:jc w:val="right"/>
              <w:ind w:right="2511"/>
              <w:spacing w:after="0"/>
              <w:rPr>
                <w:sz w:val="20"/>
                <w:szCs w:val="20"/>
                <w:color w:val="auto"/>
              </w:rPr>
            </w:pPr>
            <w:r>
              <w:rPr>
                <w:rFonts w:ascii="Times New Roman" w:cs="Times New Roman" w:eastAsia="Times New Roman" w:hAnsi="Times New Roman"/>
                <w:sz w:val="17"/>
                <w:szCs w:val="17"/>
                <w:b w:val="1"/>
                <w:bCs w:val="1"/>
                <w:color w:val="0000EE"/>
                <w:w w:val="98"/>
              </w:rPr>
              <w:t>Table of Contents</w:t>
            </w:r>
          </w:p>
        </w:tc>
        <w:tc>
          <w:tcPr>
            <w:tcW w:w="35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2"/>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3880" w:type="dxa"/>
            <w:vAlign w:val="bottom"/>
            <w:gridSpan w:val="3"/>
          </w:tcPr>
          <w:p>
            <w:pPr>
              <w:jc w:val="right"/>
              <w:ind w:right="2511"/>
              <w:spacing w:after="0"/>
              <w:rPr>
                <w:sz w:val="20"/>
                <w:szCs w:val="20"/>
                <w:color w:val="auto"/>
              </w:rPr>
            </w:pPr>
            <w:r>
              <w:rPr>
                <w:rFonts w:ascii="Arial" w:cs="Arial" w:eastAsia="Arial" w:hAnsi="Arial"/>
                <w:sz w:val="13"/>
                <w:szCs w:val="13"/>
                <w:b w:val="1"/>
                <w:bCs w:val="1"/>
                <w:color w:val="auto"/>
              </w:rPr>
              <w:t>Proxy Summary</w:t>
            </w:r>
          </w:p>
        </w:tc>
        <w:tc>
          <w:tcPr>
            <w:tcW w:w="35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900" w:type="dxa"/>
            <w:vAlign w:val="bottom"/>
            <w:tcBorders>
              <w:bottom w:val="single" w:sz="8" w:color="0A9E50"/>
            </w:tcBorders>
          </w:tcPr>
          <w:p>
            <w:pPr>
              <w:spacing w:after="0"/>
              <w:rPr>
                <w:sz w:val="10"/>
                <w:szCs w:val="10"/>
                <w:color w:val="auto"/>
              </w:rPr>
            </w:pPr>
          </w:p>
        </w:tc>
        <w:tc>
          <w:tcPr>
            <w:tcW w:w="2580" w:type="dxa"/>
            <w:vAlign w:val="bottom"/>
            <w:tcBorders>
              <w:bottom w:val="single" w:sz="8" w:color="0A9E50"/>
            </w:tcBorders>
          </w:tcPr>
          <w:p>
            <w:pPr>
              <w:spacing w:after="0"/>
              <w:rPr>
                <w:sz w:val="10"/>
                <w:szCs w:val="10"/>
                <w:color w:val="auto"/>
              </w:rPr>
            </w:pPr>
          </w:p>
        </w:tc>
        <w:tc>
          <w:tcPr>
            <w:tcW w:w="3560" w:type="dxa"/>
            <w:vAlign w:val="bottom"/>
            <w:tcBorders>
              <w:bottom w:val="single" w:sz="8" w:color="0A9E50"/>
            </w:tcBorders>
          </w:tcPr>
          <w:p>
            <w:pPr>
              <w:spacing w:after="0"/>
              <w:rPr>
                <w:sz w:val="10"/>
                <w:szCs w:val="10"/>
                <w:color w:val="auto"/>
              </w:rPr>
            </w:pPr>
          </w:p>
        </w:tc>
        <w:tc>
          <w:tcPr>
            <w:tcW w:w="3460" w:type="dxa"/>
            <w:vAlign w:val="bottom"/>
            <w:tcBorders>
              <w:bottom w:val="single" w:sz="8" w:color="0A9E50"/>
            </w:tcBorders>
          </w:tcPr>
          <w:p>
            <w:pPr>
              <w:spacing w:after="0"/>
              <w:rPr>
                <w:sz w:val="10"/>
                <w:szCs w:val="10"/>
                <w:color w:val="auto"/>
              </w:rPr>
            </w:pPr>
          </w:p>
        </w:tc>
        <w:tc>
          <w:tcPr>
            <w:tcW w:w="0" w:type="dxa"/>
            <w:vAlign w:val="bottom"/>
          </w:tcPr>
          <w:p>
            <w:pPr>
              <w:spacing w:after="0"/>
              <w:rPr>
                <w:sz w:val="1"/>
                <w:szCs w:val="1"/>
                <w:color w:val="auto"/>
              </w:rPr>
            </w:pPr>
          </w:p>
        </w:tc>
      </w:tr>
      <w:tr>
        <w:trPr>
          <w:trHeight w:val="1102"/>
        </w:trPr>
        <w:tc>
          <w:tcPr>
            <w:tcW w:w="400" w:type="dxa"/>
            <w:vAlign w:val="bottom"/>
            <w:tcBorders>
              <w:right w:val="single" w:sz="8" w:color="0A9E50"/>
            </w:tcBorders>
          </w:tcPr>
          <w:p>
            <w:pPr>
              <w:spacing w:after="0"/>
              <w:rPr>
                <w:sz w:val="24"/>
                <w:szCs w:val="24"/>
                <w:color w:val="auto"/>
              </w:rPr>
            </w:pPr>
          </w:p>
        </w:tc>
        <w:tc>
          <w:tcPr>
            <w:tcW w:w="3480" w:type="dxa"/>
            <w:vAlign w:val="bottom"/>
            <w:tcBorders>
              <w:right w:val="single" w:sz="8" w:color="0A9E50"/>
            </w:tcBorders>
            <w:gridSpan w:val="2"/>
          </w:tcPr>
          <w:p>
            <w:pPr>
              <w:jc w:val="center"/>
              <w:spacing w:after="0"/>
              <w:rPr>
                <w:sz w:val="20"/>
                <w:szCs w:val="20"/>
                <w:color w:val="auto"/>
              </w:rPr>
            </w:pPr>
            <w:r>
              <w:rPr>
                <w:rFonts w:ascii="Arial" w:cs="Arial" w:eastAsia="Arial" w:hAnsi="Arial"/>
                <w:sz w:val="14"/>
                <w:szCs w:val="14"/>
                <w:b w:val="1"/>
                <w:bCs w:val="1"/>
                <w:color w:val="auto"/>
                <w:w w:val="99"/>
              </w:rPr>
              <w:t>Kelly Professional &amp; Industrial Named a</w:t>
            </w:r>
          </w:p>
        </w:tc>
        <w:tc>
          <w:tcPr>
            <w:tcW w:w="3560" w:type="dxa"/>
            <w:vAlign w:val="bottom"/>
            <w:tcBorders>
              <w:right w:val="single" w:sz="8" w:color="0A9E50"/>
            </w:tcBorders>
          </w:tcPr>
          <w:p>
            <w:pPr>
              <w:jc w:val="center"/>
              <w:spacing w:after="0"/>
              <w:rPr>
                <w:sz w:val="20"/>
                <w:szCs w:val="20"/>
                <w:color w:val="auto"/>
              </w:rPr>
            </w:pPr>
            <w:r>
              <w:rPr>
                <w:rFonts w:ascii="Arial" w:cs="Arial" w:eastAsia="Arial" w:hAnsi="Arial"/>
                <w:sz w:val="14"/>
                <w:szCs w:val="14"/>
                <w:b w:val="1"/>
                <w:bCs w:val="1"/>
                <w:color w:val="auto"/>
                <w:w w:val="98"/>
              </w:rPr>
              <w:t>Kelly Engineering Named a Contingent Staffing</w:t>
            </w:r>
          </w:p>
        </w:tc>
        <w:tc>
          <w:tcPr>
            <w:tcW w:w="3460" w:type="dxa"/>
            <w:vAlign w:val="bottom"/>
            <w:tcBorders>
              <w:right w:val="single" w:sz="8" w:color="0A9E50"/>
            </w:tcBorders>
          </w:tcPr>
          <w:p>
            <w:pPr>
              <w:jc w:val="center"/>
              <w:ind w:right="31"/>
              <w:spacing w:after="0"/>
              <w:rPr>
                <w:sz w:val="20"/>
                <w:szCs w:val="20"/>
                <w:color w:val="auto"/>
              </w:rPr>
            </w:pPr>
            <w:r>
              <w:rPr>
                <w:rFonts w:ascii="Arial" w:cs="Arial" w:eastAsia="Arial" w:hAnsi="Arial"/>
                <w:sz w:val="14"/>
                <w:szCs w:val="14"/>
                <w:b w:val="1"/>
                <w:bCs w:val="1"/>
                <w:color w:val="auto"/>
                <w:w w:val="98"/>
              </w:rPr>
              <w:t>Kelly Technology Named US IT Contingent</w:t>
            </w:r>
          </w:p>
        </w:tc>
        <w:tc>
          <w:tcPr>
            <w:tcW w:w="0" w:type="dxa"/>
            <w:vAlign w:val="bottom"/>
          </w:tcPr>
          <w:p>
            <w:pPr>
              <w:spacing w:after="0"/>
              <w:rPr>
                <w:sz w:val="1"/>
                <w:szCs w:val="1"/>
                <w:color w:val="auto"/>
              </w:rPr>
            </w:pPr>
          </w:p>
        </w:tc>
      </w:tr>
      <w:tr>
        <w:trPr>
          <w:trHeight w:val="156"/>
        </w:trPr>
        <w:tc>
          <w:tcPr>
            <w:tcW w:w="400" w:type="dxa"/>
            <w:vAlign w:val="bottom"/>
            <w:tcBorders>
              <w:right w:val="single" w:sz="8" w:color="0A9E50"/>
            </w:tcBorders>
          </w:tcPr>
          <w:p>
            <w:pPr>
              <w:spacing w:after="0"/>
              <w:rPr>
                <w:sz w:val="13"/>
                <w:szCs w:val="13"/>
                <w:color w:val="auto"/>
              </w:rPr>
            </w:pPr>
          </w:p>
        </w:tc>
        <w:tc>
          <w:tcPr>
            <w:tcW w:w="3480" w:type="dxa"/>
            <w:vAlign w:val="bottom"/>
            <w:tcBorders>
              <w:right w:val="single" w:sz="8" w:color="0A9E50"/>
            </w:tcBorders>
            <w:gridSpan w:val="2"/>
          </w:tcPr>
          <w:p>
            <w:pPr>
              <w:jc w:val="center"/>
              <w:spacing w:after="0" w:line="156" w:lineRule="exact"/>
              <w:rPr>
                <w:sz w:val="20"/>
                <w:szCs w:val="20"/>
                <w:color w:val="auto"/>
              </w:rPr>
            </w:pPr>
            <w:r>
              <w:rPr>
                <w:rFonts w:ascii="Arial" w:cs="Arial" w:eastAsia="Arial" w:hAnsi="Arial"/>
                <w:sz w:val="14"/>
                <w:szCs w:val="14"/>
                <w:b w:val="1"/>
                <w:bCs w:val="1"/>
                <w:color w:val="auto"/>
                <w:w w:val="99"/>
              </w:rPr>
              <w:t>Contingent Staffing Leader by Everest Group</w:t>
            </w:r>
          </w:p>
        </w:tc>
        <w:tc>
          <w:tcPr>
            <w:tcW w:w="3560" w:type="dxa"/>
            <w:vAlign w:val="bottom"/>
            <w:tcBorders>
              <w:right w:val="single" w:sz="8" w:color="0A9E50"/>
            </w:tcBorders>
          </w:tcPr>
          <w:p>
            <w:pPr>
              <w:jc w:val="center"/>
              <w:spacing w:after="0" w:line="156" w:lineRule="exact"/>
              <w:rPr>
                <w:sz w:val="20"/>
                <w:szCs w:val="20"/>
                <w:color w:val="auto"/>
              </w:rPr>
            </w:pPr>
            <w:r>
              <w:rPr>
                <w:rFonts w:ascii="Arial" w:cs="Arial" w:eastAsia="Arial" w:hAnsi="Arial"/>
                <w:sz w:val="14"/>
                <w:szCs w:val="14"/>
                <w:b w:val="1"/>
                <w:bCs w:val="1"/>
                <w:color w:val="auto"/>
                <w:w w:val="99"/>
              </w:rPr>
              <w:t>Leader by Everest Group</w:t>
            </w:r>
          </w:p>
        </w:tc>
        <w:tc>
          <w:tcPr>
            <w:tcW w:w="3460" w:type="dxa"/>
            <w:vAlign w:val="bottom"/>
            <w:tcBorders>
              <w:right w:val="single" w:sz="8" w:color="0A9E50"/>
            </w:tcBorders>
          </w:tcPr>
          <w:p>
            <w:pPr>
              <w:jc w:val="center"/>
              <w:ind w:right="31"/>
              <w:spacing w:after="0" w:line="156" w:lineRule="exact"/>
              <w:rPr>
                <w:sz w:val="20"/>
                <w:szCs w:val="20"/>
                <w:color w:val="auto"/>
              </w:rPr>
            </w:pPr>
            <w:r>
              <w:rPr>
                <w:rFonts w:ascii="Arial" w:cs="Arial" w:eastAsia="Arial" w:hAnsi="Arial"/>
                <w:sz w:val="14"/>
                <w:szCs w:val="14"/>
                <w:b w:val="1"/>
                <w:bCs w:val="1"/>
                <w:color w:val="auto"/>
                <w:w w:val="98"/>
              </w:rPr>
              <w:t>Staffing Services Major Contender by Everest</w:t>
            </w:r>
          </w:p>
        </w:tc>
        <w:tc>
          <w:tcPr>
            <w:tcW w:w="0" w:type="dxa"/>
            <w:vAlign w:val="bottom"/>
          </w:tcPr>
          <w:p>
            <w:pPr>
              <w:spacing w:after="0"/>
              <w:rPr>
                <w:sz w:val="1"/>
                <w:szCs w:val="1"/>
                <w:color w:val="auto"/>
              </w:rPr>
            </w:pPr>
          </w:p>
        </w:tc>
      </w:tr>
      <w:tr>
        <w:trPr>
          <w:trHeight w:val="192"/>
        </w:trPr>
        <w:tc>
          <w:tcPr>
            <w:tcW w:w="400" w:type="dxa"/>
            <w:vAlign w:val="bottom"/>
            <w:tcBorders>
              <w:right w:val="single" w:sz="8" w:color="0A9E50"/>
            </w:tcBorders>
          </w:tcPr>
          <w:p>
            <w:pPr>
              <w:spacing w:after="0"/>
              <w:rPr>
                <w:sz w:val="16"/>
                <w:szCs w:val="16"/>
                <w:color w:val="auto"/>
              </w:rPr>
            </w:pPr>
          </w:p>
        </w:tc>
        <w:tc>
          <w:tcPr>
            <w:tcW w:w="3480" w:type="dxa"/>
            <w:vAlign w:val="bottom"/>
            <w:tcBorders>
              <w:right w:val="single" w:sz="8" w:color="0A9E50"/>
            </w:tcBorders>
            <w:gridSpan w:val="2"/>
            <w:vMerge w:val="restart"/>
          </w:tcPr>
          <w:p>
            <w:pPr>
              <w:jc w:val="center"/>
              <w:spacing w:after="0"/>
              <w:rPr>
                <w:sz w:val="20"/>
                <w:szCs w:val="20"/>
                <w:color w:val="auto"/>
              </w:rPr>
            </w:pPr>
            <w:r>
              <w:rPr>
                <w:rFonts w:ascii="Arial" w:cs="Arial" w:eastAsia="Arial" w:hAnsi="Arial"/>
                <w:sz w:val="14"/>
                <w:szCs w:val="14"/>
                <w:color w:val="auto"/>
                <w:w w:val="99"/>
              </w:rPr>
              <w:t>Among the business &amp; professional staffing</w:t>
            </w:r>
          </w:p>
        </w:tc>
        <w:tc>
          <w:tcPr>
            <w:tcW w:w="3560" w:type="dxa"/>
            <w:vAlign w:val="bottom"/>
            <w:tcBorders>
              <w:right w:val="single" w:sz="8" w:color="0A9E50"/>
            </w:tcBorders>
            <w:vMerge w:val="restart"/>
          </w:tcPr>
          <w:p>
            <w:pPr>
              <w:jc w:val="center"/>
              <w:spacing w:after="0"/>
              <w:rPr>
                <w:sz w:val="20"/>
                <w:szCs w:val="20"/>
                <w:color w:val="auto"/>
              </w:rPr>
            </w:pPr>
            <w:r>
              <w:rPr>
                <w:rFonts w:ascii="Arial" w:cs="Arial" w:eastAsia="Arial" w:hAnsi="Arial"/>
                <w:sz w:val="14"/>
                <w:szCs w:val="14"/>
                <w:color w:val="auto"/>
                <w:w w:val="98"/>
              </w:rPr>
              <w:t>Among the engineering staffing providers assessed,</w:t>
            </w:r>
          </w:p>
        </w:tc>
        <w:tc>
          <w:tcPr>
            <w:tcW w:w="3460" w:type="dxa"/>
            <w:vAlign w:val="bottom"/>
            <w:tcBorders>
              <w:right w:val="single" w:sz="8" w:color="0A9E50"/>
            </w:tcBorders>
          </w:tcPr>
          <w:p>
            <w:pPr>
              <w:jc w:val="center"/>
              <w:ind w:right="11"/>
              <w:spacing w:after="0"/>
              <w:rPr>
                <w:sz w:val="20"/>
                <w:szCs w:val="20"/>
                <w:color w:val="auto"/>
              </w:rPr>
            </w:pPr>
            <w:r>
              <w:rPr>
                <w:rFonts w:ascii="Arial" w:cs="Arial" w:eastAsia="Arial" w:hAnsi="Arial"/>
                <w:sz w:val="14"/>
                <w:szCs w:val="14"/>
                <w:b w:val="1"/>
                <w:bCs w:val="1"/>
                <w:color w:val="auto"/>
                <w:w w:val="99"/>
              </w:rPr>
              <w:t>Group</w:t>
            </w:r>
          </w:p>
        </w:tc>
        <w:tc>
          <w:tcPr>
            <w:tcW w:w="0" w:type="dxa"/>
            <w:vAlign w:val="bottom"/>
          </w:tcPr>
          <w:p>
            <w:pPr>
              <w:spacing w:after="0"/>
              <w:rPr>
                <w:sz w:val="1"/>
                <w:szCs w:val="1"/>
                <w:color w:val="auto"/>
              </w:rPr>
            </w:pPr>
          </w:p>
        </w:tc>
      </w:tr>
      <w:tr>
        <w:trPr>
          <w:trHeight w:val="82"/>
        </w:trPr>
        <w:tc>
          <w:tcPr>
            <w:tcW w:w="400" w:type="dxa"/>
            <w:vAlign w:val="bottom"/>
            <w:tcBorders>
              <w:right w:val="single" w:sz="8" w:color="0A9E50"/>
            </w:tcBorders>
          </w:tcPr>
          <w:p>
            <w:pPr>
              <w:spacing w:after="0"/>
              <w:rPr>
                <w:sz w:val="7"/>
                <w:szCs w:val="7"/>
                <w:color w:val="auto"/>
              </w:rPr>
            </w:pPr>
          </w:p>
        </w:tc>
        <w:tc>
          <w:tcPr>
            <w:tcW w:w="3480" w:type="dxa"/>
            <w:vAlign w:val="bottom"/>
            <w:tcBorders>
              <w:right w:val="single" w:sz="8" w:color="0A9E50"/>
            </w:tcBorders>
            <w:gridSpan w:val="2"/>
            <w:vMerge w:val="continue"/>
          </w:tcPr>
          <w:p>
            <w:pPr>
              <w:spacing w:after="0"/>
              <w:rPr>
                <w:sz w:val="7"/>
                <w:szCs w:val="7"/>
                <w:color w:val="auto"/>
              </w:rPr>
            </w:pPr>
          </w:p>
        </w:tc>
        <w:tc>
          <w:tcPr>
            <w:tcW w:w="3560" w:type="dxa"/>
            <w:vAlign w:val="bottom"/>
            <w:tcBorders>
              <w:right w:val="single" w:sz="8" w:color="0A9E50"/>
            </w:tcBorders>
            <w:vMerge w:val="continue"/>
          </w:tcPr>
          <w:p>
            <w:pPr>
              <w:spacing w:after="0"/>
              <w:rPr>
                <w:sz w:val="7"/>
                <w:szCs w:val="7"/>
                <w:color w:val="auto"/>
              </w:rPr>
            </w:pPr>
          </w:p>
        </w:tc>
        <w:tc>
          <w:tcPr>
            <w:tcW w:w="3460" w:type="dxa"/>
            <w:vAlign w:val="bottom"/>
            <w:tcBorders>
              <w:right w:val="single" w:sz="8" w:color="0A9E50"/>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400" w:type="dxa"/>
            <w:vAlign w:val="bottom"/>
            <w:tcBorders>
              <w:right w:val="single" w:sz="8" w:color="0A9E50"/>
            </w:tcBorders>
          </w:tcPr>
          <w:p>
            <w:pPr>
              <w:spacing w:after="0"/>
              <w:rPr>
                <w:sz w:val="13"/>
                <w:szCs w:val="13"/>
                <w:color w:val="auto"/>
              </w:rPr>
            </w:pPr>
          </w:p>
        </w:tc>
        <w:tc>
          <w:tcPr>
            <w:tcW w:w="3480" w:type="dxa"/>
            <w:vAlign w:val="bottom"/>
            <w:tcBorders>
              <w:right w:val="single" w:sz="8" w:color="0A9E50"/>
            </w:tcBorders>
            <w:gridSpan w:val="2"/>
          </w:tcPr>
          <w:p>
            <w:pPr>
              <w:jc w:val="center"/>
              <w:spacing w:after="0" w:line="156" w:lineRule="exact"/>
              <w:rPr>
                <w:sz w:val="20"/>
                <w:szCs w:val="20"/>
                <w:color w:val="auto"/>
              </w:rPr>
            </w:pPr>
            <w:r>
              <w:rPr>
                <w:rFonts w:ascii="Arial" w:cs="Arial" w:eastAsia="Arial" w:hAnsi="Arial"/>
                <w:sz w:val="14"/>
                <w:szCs w:val="14"/>
                <w:color w:val="auto"/>
                <w:w w:val="98"/>
              </w:rPr>
              <w:t>providers, Kelly earned the highest marks for vision</w:t>
            </w:r>
          </w:p>
        </w:tc>
        <w:tc>
          <w:tcPr>
            <w:tcW w:w="3560" w:type="dxa"/>
            <w:vAlign w:val="bottom"/>
            <w:tcBorders>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9"/>
              </w:rPr>
              <w:t>Kelly earned the highest marks for vision and</w:t>
            </w:r>
          </w:p>
        </w:tc>
        <w:tc>
          <w:tcPr>
            <w:tcW w:w="3460" w:type="dxa"/>
            <w:vAlign w:val="bottom"/>
            <w:tcBorders>
              <w:right w:val="single" w:sz="8" w:color="0A9E50"/>
            </w:tcBorders>
          </w:tcPr>
          <w:p>
            <w:pPr>
              <w:jc w:val="center"/>
              <w:ind w:right="31"/>
              <w:spacing w:after="0" w:line="156" w:lineRule="exact"/>
              <w:rPr>
                <w:sz w:val="20"/>
                <w:szCs w:val="20"/>
                <w:color w:val="auto"/>
              </w:rPr>
            </w:pPr>
            <w:r>
              <w:rPr>
                <w:rFonts w:ascii="Arial" w:cs="Arial" w:eastAsia="Arial" w:hAnsi="Arial"/>
                <w:sz w:val="14"/>
                <w:szCs w:val="14"/>
                <w:color w:val="auto"/>
                <w:w w:val="98"/>
              </w:rPr>
              <w:t>Kelly Technology’s strong capabilities in sourcing IT</w:t>
            </w:r>
          </w:p>
        </w:tc>
        <w:tc>
          <w:tcPr>
            <w:tcW w:w="0" w:type="dxa"/>
            <w:vAlign w:val="bottom"/>
          </w:tcPr>
          <w:p>
            <w:pPr>
              <w:spacing w:after="0"/>
              <w:rPr>
                <w:sz w:val="1"/>
                <w:szCs w:val="1"/>
                <w:color w:val="auto"/>
              </w:rPr>
            </w:pPr>
          </w:p>
        </w:tc>
      </w:tr>
      <w:tr>
        <w:trPr>
          <w:trHeight w:val="156"/>
        </w:trPr>
        <w:tc>
          <w:tcPr>
            <w:tcW w:w="400" w:type="dxa"/>
            <w:vAlign w:val="bottom"/>
            <w:tcBorders>
              <w:right w:val="single" w:sz="8" w:color="0A9E50"/>
            </w:tcBorders>
          </w:tcPr>
          <w:p>
            <w:pPr>
              <w:spacing w:after="0"/>
              <w:rPr>
                <w:sz w:val="13"/>
                <w:szCs w:val="13"/>
                <w:color w:val="auto"/>
              </w:rPr>
            </w:pPr>
          </w:p>
        </w:tc>
        <w:tc>
          <w:tcPr>
            <w:tcW w:w="3480" w:type="dxa"/>
            <w:vAlign w:val="bottom"/>
            <w:tcBorders>
              <w:right w:val="single" w:sz="8" w:color="0A9E50"/>
            </w:tcBorders>
            <w:gridSpan w:val="2"/>
          </w:tcPr>
          <w:p>
            <w:pPr>
              <w:jc w:val="center"/>
              <w:spacing w:after="0" w:line="156" w:lineRule="exact"/>
              <w:rPr>
                <w:sz w:val="20"/>
                <w:szCs w:val="20"/>
                <w:color w:val="auto"/>
              </w:rPr>
            </w:pPr>
            <w:r>
              <w:rPr>
                <w:rFonts w:ascii="Arial" w:cs="Arial" w:eastAsia="Arial" w:hAnsi="Arial"/>
                <w:sz w:val="14"/>
                <w:szCs w:val="14"/>
                <w:color w:val="auto"/>
                <w:w w:val="98"/>
              </w:rPr>
              <w:t>and capability, which measure its ability to deliver</w:t>
            </w:r>
          </w:p>
        </w:tc>
        <w:tc>
          <w:tcPr>
            <w:tcW w:w="3560" w:type="dxa"/>
            <w:vAlign w:val="bottom"/>
            <w:tcBorders>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8"/>
              </w:rPr>
              <w:t>capability, which measure its ability to deliver services</w:t>
            </w:r>
          </w:p>
        </w:tc>
        <w:tc>
          <w:tcPr>
            <w:tcW w:w="3460" w:type="dxa"/>
            <w:vAlign w:val="bottom"/>
            <w:tcBorders>
              <w:right w:val="single" w:sz="8" w:color="0A9E50"/>
            </w:tcBorders>
          </w:tcPr>
          <w:p>
            <w:pPr>
              <w:jc w:val="center"/>
              <w:ind w:right="31"/>
              <w:spacing w:after="0" w:line="156" w:lineRule="exact"/>
              <w:rPr>
                <w:sz w:val="20"/>
                <w:szCs w:val="20"/>
                <w:color w:val="auto"/>
              </w:rPr>
            </w:pPr>
            <w:r>
              <w:rPr>
                <w:rFonts w:ascii="Arial" w:cs="Arial" w:eastAsia="Arial" w:hAnsi="Arial"/>
                <w:sz w:val="14"/>
                <w:szCs w:val="14"/>
                <w:color w:val="auto"/>
                <w:w w:val="99"/>
              </w:rPr>
              <w:t>skills, combined with a diverse industry portfolio,</w:t>
            </w:r>
          </w:p>
        </w:tc>
        <w:tc>
          <w:tcPr>
            <w:tcW w:w="0" w:type="dxa"/>
            <w:vAlign w:val="bottom"/>
          </w:tcPr>
          <w:p>
            <w:pPr>
              <w:spacing w:after="0"/>
              <w:rPr>
                <w:sz w:val="1"/>
                <w:szCs w:val="1"/>
                <w:color w:val="auto"/>
              </w:rPr>
            </w:pPr>
          </w:p>
        </w:tc>
      </w:tr>
      <w:tr>
        <w:trPr>
          <w:trHeight w:val="184"/>
        </w:trPr>
        <w:tc>
          <w:tcPr>
            <w:tcW w:w="400" w:type="dxa"/>
            <w:vAlign w:val="bottom"/>
            <w:tcBorders>
              <w:right w:val="single" w:sz="8" w:color="0A9E50"/>
            </w:tcBorders>
          </w:tcPr>
          <w:p>
            <w:pPr>
              <w:spacing w:after="0"/>
              <w:rPr>
                <w:sz w:val="15"/>
                <w:szCs w:val="15"/>
                <w:color w:val="auto"/>
              </w:rPr>
            </w:pPr>
          </w:p>
        </w:tc>
        <w:tc>
          <w:tcPr>
            <w:tcW w:w="3480" w:type="dxa"/>
            <w:vAlign w:val="bottom"/>
            <w:tcBorders>
              <w:right w:val="single" w:sz="8" w:color="0A9E50"/>
            </w:tcBorders>
            <w:gridSpan w:val="2"/>
          </w:tcPr>
          <w:p>
            <w:pPr>
              <w:jc w:val="center"/>
              <w:spacing w:after="0"/>
              <w:rPr>
                <w:sz w:val="20"/>
                <w:szCs w:val="20"/>
                <w:color w:val="auto"/>
              </w:rPr>
            </w:pPr>
            <w:r>
              <w:rPr>
                <w:rFonts w:ascii="Arial" w:cs="Arial" w:eastAsia="Arial" w:hAnsi="Arial"/>
                <w:sz w:val="14"/>
                <w:szCs w:val="14"/>
                <w:color w:val="auto"/>
                <w:w w:val="98"/>
              </w:rPr>
              <w:t>services to clients successfully.</w:t>
            </w:r>
          </w:p>
        </w:tc>
        <w:tc>
          <w:tcPr>
            <w:tcW w:w="3560" w:type="dxa"/>
            <w:vAlign w:val="bottom"/>
            <w:tcBorders>
              <w:right w:val="single" w:sz="8" w:color="0A9E50"/>
            </w:tcBorders>
          </w:tcPr>
          <w:p>
            <w:pPr>
              <w:jc w:val="center"/>
              <w:spacing w:after="0"/>
              <w:rPr>
                <w:sz w:val="20"/>
                <w:szCs w:val="20"/>
                <w:color w:val="auto"/>
              </w:rPr>
            </w:pPr>
            <w:r>
              <w:rPr>
                <w:rFonts w:ascii="Arial" w:cs="Arial" w:eastAsia="Arial" w:hAnsi="Arial"/>
                <w:sz w:val="14"/>
                <w:szCs w:val="14"/>
                <w:color w:val="auto"/>
                <w:w w:val="97"/>
              </w:rPr>
              <w:t>to clients.</w:t>
            </w:r>
          </w:p>
        </w:tc>
        <w:tc>
          <w:tcPr>
            <w:tcW w:w="3460" w:type="dxa"/>
            <w:vAlign w:val="bottom"/>
            <w:tcBorders>
              <w:right w:val="single" w:sz="8" w:color="0A9E50"/>
            </w:tcBorders>
          </w:tcPr>
          <w:p>
            <w:pPr>
              <w:jc w:val="center"/>
              <w:ind w:right="11"/>
              <w:spacing w:after="0"/>
              <w:rPr>
                <w:sz w:val="20"/>
                <w:szCs w:val="20"/>
                <w:color w:val="auto"/>
              </w:rPr>
            </w:pPr>
            <w:r>
              <w:rPr>
                <w:rFonts w:ascii="Arial" w:cs="Arial" w:eastAsia="Arial" w:hAnsi="Arial"/>
                <w:sz w:val="14"/>
                <w:szCs w:val="14"/>
                <w:color w:val="auto"/>
                <w:w w:val="99"/>
              </w:rPr>
              <w:t>helped to solidify its position as a Major Contender.</w:t>
            </w:r>
          </w:p>
        </w:tc>
        <w:tc>
          <w:tcPr>
            <w:tcW w:w="0" w:type="dxa"/>
            <w:vAlign w:val="bottom"/>
          </w:tcPr>
          <w:p>
            <w:pPr>
              <w:spacing w:after="0"/>
              <w:rPr>
                <w:sz w:val="1"/>
                <w:szCs w:val="1"/>
                <w:color w:val="auto"/>
              </w:rPr>
            </w:pPr>
          </w:p>
        </w:tc>
      </w:tr>
      <w:tr>
        <w:trPr>
          <w:trHeight w:val="112"/>
        </w:trPr>
        <w:tc>
          <w:tcPr>
            <w:tcW w:w="400" w:type="dxa"/>
            <w:vAlign w:val="bottom"/>
            <w:tcBorders>
              <w:right w:val="single" w:sz="8" w:color="0A9E50"/>
            </w:tcBorders>
          </w:tcPr>
          <w:p>
            <w:pPr>
              <w:spacing w:after="0"/>
              <w:rPr>
                <w:sz w:val="9"/>
                <w:szCs w:val="9"/>
                <w:color w:val="auto"/>
              </w:rPr>
            </w:pPr>
          </w:p>
        </w:tc>
        <w:tc>
          <w:tcPr>
            <w:tcW w:w="900" w:type="dxa"/>
            <w:vAlign w:val="bottom"/>
            <w:tcBorders>
              <w:bottom w:val="single" w:sz="8" w:color="0A9E50"/>
            </w:tcBorders>
          </w:tcPr>
          <w:p>
            <w:pPr>
              <w:spacing w:after="0"/>
              <w:rPr>
                <w:sz w:val="9"/>
                <w:szCs w:val="9"/>
                <w:color w:val="auto"/>
              </w:rPr>
            </w:pPr>
          </w:p>
        </w:tc>
        <w:tc>
          <w:tcPr>
            <w:tcW w:w="2580" w:type="dxa"/>
            <w:vAlign w:val="bottom"/>
            <w:tcBorders>
              <w:bottom w:val="single" w:sz="8" w:color="0A9E50"/>
              <w:right w:val="single" w:sz="8" w:color="0A9E50"/>
            </w:tcBorders>
          </w:tcPr>
          <w:p>
            <w:pPr>
              <w:spacing w:after="0"/>
              <w:rPr>
                <w:sz w:val="9"/>
                <w:szCs w:val="9"/>
                <w:color w:val="auto"/>
              </w:rPr>
            </w:pPr>
          </w:p>
        </w:tc>
        <w:tc>
          <w:tcPr>
            <w:tcW w:w="3560" w:type="dxa"/>
            <w:vAlign w:val="bottom"/>
            <w:tcBorders>
              <w:bottom w:val="single" w:sz="8" w:color="0A9E50"/>
              <w:right w:val="single" w:sz="8" w:color="0A9E50"/>
            </w:tcBorders>
          </w:tcPr>
          <w:p>
            <w:pPr>
              <w:spacing w:after="0"/>
              <w:rPr>
                <w:sz w:val="9"/>
                <w:szCs w:val="9"/>
                <w:color w:val="auto"/>
              </w:rPr>
            </w:pPr>
          </w:p>
        </w:tc>
        <w:tc>
          <w:tcPr>
            <w:tcW w:w="3460" w:type="dxa"/>
            <w:vAlign w:val="bottom"/>
            <w:tcBorders>
              <w:bottom w:val="single" w:sz="8" w:color="0A9E50"/>
              <w:right w:val="single" w:sz="8" w:color="0A9E50"/>
            </w:tcBorders>
          </w:tcPr>
          <w:p>
            <w:pPr>
              <w:spacing w:after="0"/>
              <w:rPr>
                <w:sz w:val="9"/>
                <w:szCs w:val="9"/>
                <w:color w:val="auto"/>
              </w:rPr>
            </w:pPr>
          </w:p>
        </w:tc>
        <w:tc>
          <w:tcPr>
            <w:tcW w:w="0" w:type="dxa"/>
            <w:vAlign w:val="bottom"/>
          </w:tcPr>
          <w:p>
            <w:pPr>
              <w:spacing w:after="0"/>
              <w:rPr>
                <w:sz w:val="1"/>
                <w:szCs w:val="1"/>
                <w:color w:val="auto"/>
              </w:rPr>
            </w:pPr>
          </w:p>
        </w:tc>
      </w:tr>
      <w:tr>
        <w:trPr>
          <w:trHeight w:val="1206"/>
        </w:trPr>
        <w:tc>
          <w:tcPr>
            <w:tcW w:w="400" w:type="dxa"/>
            <w:vAlign w:val="bottom"/>
            <w:tcBorders>
              <w:right w:val="single" w:sz="8" w:color="0A9E50"/>
            </w:tcBorders>
          </w:tcPr>
          <w:p>
            <w:pPr>
              <w:spacing w:after="0"/>
              <w:rPr>
                <w:sz w:val="24"/>
                <w:szCs w:val="24"/>
                <w:color w:val="auto"/>
              </w:rPr>
            </w:pPr>
          </w:p>
        </w:tc>
        <w:tc>
          <w:tcPr>
            <w:tcW w:w="3480" w:type="dxa"/>
            <w:vAlign w:val="bottom"/>
            <w:tcBorders>
              <w:right w:val="single" w:sz="8" w:color="0A9E50"/>
            </w:tcBorders>
            <w:gridSpan w:val="2"/>
          </w:tcPr>
          <w:p>
            <w:pPr>
              <w:jc w:val="center"/>
              <w:spacing w:after="0"/>
              <w:rPr>
                <w:sz w:val="20"/>
                <w:szCs w:val="20"/>
                <w:color w:val="auto"/>
              </w:rPr>
            </w:pPr>
            <w:r>
              <w:rPr>
                <w:rFonts w:ascii="Arial" w:cs="Arial" w:eastAsia="Arial" w:hAnsi="Arial"/>
                <w:sz w:val="14"/>
                <w:szCs w:val="14"/>
                <w:b w:val="1"/>
                <w:bCs w:val="1"/>
                <w:color w:val="auto"/>
                <w:w w:val="99"/>
              </w:rPr>
              <w:t>KellyOCG Named a Star Performer, Major</w:t>
            </w:r>
          </w:p>
        </w:tc>
        <w:tc>
          <w:tcPr>
            <w:tcW w:w="3560" w:type="dxa"/>
            <w:vAlign w:val="bottom"/>
            <w:tcBorders>
              <w:right w:val="single" w:sz="8" w:color="0A9E50"/>
            </w:tcBorders>
          </w:tcPr>
          <w:p>
            <w:pPr>
              <w:jc w:val="center"/>
              <w:spacing w:after="0"/>
              <w:rPr>
                <w:sz w:val="20"/>
                <w:szCs w:val="20"/>
                <w:color w:val="auto"/>
              </w:rPr>
            </w:pPr>
            <w:r>
              <w:rPr>
                <w:rFonts w:ascii="Arial" w:cs="Arial" w:eastAsia="Arial" w:hAnsi="Arial"/>
                <w:sz w:val="14"/>
                <w:szCs w:val="14"/>
                <w:b w:val="1"/>
                <w:bCs w:val="1"/>
                <w:color w:val="auto"/>
                <w:w w:val="98"/>
              </w:rPr>
              <w:t>KellyOCG Named Services Procurement Leader,</w:t>
            </w:r>
          </w:p>
        </w:tc>
        <w:tc>
          <w:tcPr>
            <w:tcW w:w="3460" w:type="dxa"/>
            <w:vAlign w:val="bottom"/>
            <w:tcBorders>
              <w:right w:val="single" w:sz="8" w:color="0A9E50"/>
            </w:tcBorders>
          </w:tcPr>
          <w:p>
            <w:pPr>
              <w:jc w:val="center"/>
              <w:ind w:right="31"/>
              <w:spacing w:after="0"/>
              <w:rPr>
                <w:sz w:val="20"/>
                <w:szCs w:val="20"/>
                <w:color w:val="auto"/>
              </w:rPr>
            </w:pPr>
            <w:r>
              <w:rPr>
                <w:rFonts w:ascii="Arial" w:cs="Arial" w:eastAsia="Arial" w:hAnsi="Arial"/>
                <w:sz w:val="14"/>
                <w:szCs w:val="14"/>
                <w:b w:val="1"/>
                <w:bCs w:val="1"/>
                <w:color w:val="auto"/>
                <w:w w:val="98"/>
              </w:rPr>
              <w:t>KellyOCG Named Contingent Workforce</w:t>
            </w:r>
          </w:p>
        </w:tc>
        <w:tc>
          <w:tcPr>
            <w:tcW w:w="0" w:type="dxa"/>
            <w:vAlign w:val="bottom"/>
          </w:tcPr>
          <w:p>
            <w:pPr>
              <w:spacing w:after="0"/>
              <w:rPr>
                <w:sz w:val="1"/>
                <w:szCs w:val="1"/>
                <w:color w:val="auto"/>
              </w:rPr>
            </w:pPr>
          </w:p>
        </w:tc>
      </w:tr>
      <w:tr>
        <w:trPr>
          <w:trHeight w:val="152"/>
        </w:trPr>
        <w:tc>
          <w:tcPr>
            <w:tcW w:w="400" w:type="dxa"/>
            <w:vAlign w:val="bottom"/>
            <w:tcBorders>
              <w:right w:val="single" w:sz="8" w:color="0A9E50"/>
            </w:tcBorders>
          </w:tcPr>
          <w:p>
            <w:pPr>
              <w:spacing w:after="0"/>
              <w:rPr>
                <w:sz w:val="13"/>
                <w:szCs w:val="13"/>
                <w:color w:val="auto"/>
              </w:rPr>
            </w:pPr>
          </w:p>
        </w:tc>
        <w:tc>
          <w:tcPr>
            <w:tcW w:w="3480" w:type="dxa"/>
            <w:vAlign w:val="bottom"/>
            <w:tcBorders>
              <w:right w:val="single" w:sz="8" w:color="0A9E50"/>
            </w:tcBorders>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Contender on Everest Group’s 2023 RPO PEAK</w:t>
            </w:r>
          </w:p>
        </w:tc>
        <w:tc>
          <w:tcPr>
            <w:tcW w:w="3560" w:type="dxa"/>
            <w:vAlign w:val="bottom"/>
            <w:tcBorders>
              <w:right w:val="single" w:sz="8" w:color="0A9E50"/>
            </w:tcBorders>
          </w:tcPr>
          <w:p>
            <w:pPr>
              <w:jc w:val="center"/>
              <w:spacing w:after="0" w:line="153" w:lineRule="exact"/>
              <w:rPr>
                <w:sz w:val="20"/>
                <w:szCs w:val="20"/>
                <w:color w:val="auto"/>
              </w:rPr>
            </w:pPr>
            <w:r>
              <w:rPr>
                <w:rFonts w:ascii="Arial" w:cs="Arial" w:eastAsia="Arial" w:hAnsi="Arial"/>
                <w:sz w:val="14"/>
                <w:szCs w:val="14"/>
                <w:b w:val="1"/>
                <w:bCs w:val="1"/>
                <w:color w:val="auto"/>
                <w:w w:val="99"/>
              </w:rPr>
              <w:t>Star Performer on Everest Group’s 2023 PEAK</w:t>
            </w:r>
          </w:p>
        </w:tc>
        <w:tc>
          <w:tcPr>
            <w:tcW w:w="3460" w:type="dxa"/>
            <w:vAlign w:val="bottom"/>
            <w:tcBorders>
              <w:right w:val="single" w:sz="8" w:color="0A9E50"/>
            </w:tcBorders>
          </w:tcPr>
          <w:p>
            <w:pPr>
              <w:jc w:val="center"/>
              <w:ind w:right="31"/>
              <w:spacing w:after="0" w:line="153" w:lineRule="exact"/>
              <w:rPr>
                <w:sz w:val="20"/>
                <w:szCs w:val="20"/>
                <w:color w:val="auto"/>
              </w:rPr>
            </w:pPr>
            <w:r>
              <w:rPr>
                <w:rFonts w:ascii="Arial" w:cs="Arial" w:eastAsia="Arial" w:hAnsi="Arial"/>
                <w:sz w:val="14"/>
                <w:szCs w:val="14"/>
                <w:b w:val="1"/>
                <w:bCs w:val="1"/>
                <w:color w:val="auto"/>
                <w:w w:val="98"/>
              </w:rPr>
              <w:t>Management Leader on Everest Group’s 2023</w:t>
            </w:r>
          </w:p>
        </w:tc>
        <w:tc>
          <w:tcPr>
            <w:tcW w:w="0" w:type="dxa"/>
            <w:vAlign w:val="bottom"/>
          </w:tcPr>
          <w:p>
            <w:pPr>
              <w:spacing w:after="0"/>
              <w:rPr>
                <w:sz w:val="1"/>
                <w:szCs w:val="1"/>
                <w:color w:val="auto"/>
              </w:rPr>
            </w:pPr>
          </w:p>
        </w:tc>
      </w:tr>
      <w:tr>
        <w:trPr>
          <w:trHeight w:val="277"/>
        </w:trPr>
        <w:tc>
          <w:tcPr>
            <w:tcW w:w="400" w:type="dxa"/>
            <w:vAlign w:val="bottom"/>
            <w:tcBorders>
              <w:right w:val="single" w:sz="8" w:color="0A9E50"/>
            </w:tcBorders>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tcBorders>
              <w:right w:val="single" w:sz="8" w:color="0A9E50"/>
            </w:tcBorders>
          </w:tcPr>
          <w:p>
            <w:pPr>
              <w:jc w:val="center"/>
              <w:ind w:right="831"/>
              <w:spacing w:after="0"/>
              <w:rPr>
                <w:sz w:val="20"/>
                <w:szCs w:val="20"/>
                <w:color w:val="auto"/>
              </w:rPr>
            </w:pPr>
            <w:r>
              <w:rPr>
                <w:rFonts w:ascii="Arial" w:cs="Arial" w:eastAsia="Arial" w:hAnsi="Arial"/>
                <w:sz w:val="14"/>
                <w:szCs w:val="14"/>
                <w:b w:val="1"/>
                <w:bCs w:val="1"/>
                <w:color w:val="auto"/>
                <w:w w:val="93"/>
              </w:rPr>
              <w:t>Matrix</w:t>
            </w:r>
            <w:r>
              <w:rPr>
                <w:rFonts w:ascii="Arial" w:cs="Arial" w:eastAsia="Arial" w:hAnsi="Arial"/>
                <w:sz w:val="20"/>
                <w:szCs w:val="20"/>
                <w:b w:val="1"/>
                <w:bCs w:val="1"/>
                <w:color w:val="auto"/>
                <w:w w:val="93"/>
                <w:vertAlign w:val="superscript"/>
              </w:rPr>
              <w:t>®</w:t>
            </w:r>
          </w:p>
        </w:tc>
        <w:tc>
          <w:tcPr>
            <w:tcW w:w="3560" w:type="dxa"/>
            <w:vAlign w:val="bottom"/>
            <w:tcBorders>
              <w:right w:val="single" w:sz="8" w:color="0A9E50"/>
            </w:tcBorders>
          </w:tcPr>
          <w:p>
            <w:pPr>
              <w:jc w:val="center"/>
              <w:spacing w:after="0"/>
              <w:rPr>
                <w:sz w:val="20"/>
                <w:szCs w:val="20"/>
                <w:color w:val="auto"/>
              </w:rPr>
            </w:pPr>
            <w:r>
              <w:rPr>
                <w:rFonts w:ascii="Arial" w:cs="Arial" w:eastAsia="Arial" w:hAnsi="Arial"/>
                <w:sz w:val="14"/>
                <w:szCs w:val="14"/>
                <w:b w:val="1"/>
                <w:bCs w:val="1"/>
                <w:color w:val="auto"/>
                <w:w w:val="97"/>
              </w:rPr>
              <w:t>Matrix</w:t>
            </w:r>
            <w:r>
              <w:rPr>
                <w:rFonts w:ascii="Arial" w:cs="Arial" w:eastAsia="Arial" w:hAnsi="Arial"/>
                <w:sz w:val="20"/>
                <w:szCs w:val="20"/>
                <w:b w:val="1"/>
                <w:bCs w:val="1"/>
                <w:color w:val="auto"/>
                <w:w w:val="97"/>
                <w:vertAlign w:val="superscript"/>
              </w:rPr>
              <w:t>®</w:t>
            </w:r>
          </w:p>
        </w:tc>
        <w:tc>
          <w:tcPr>
            <w:tcW w:w="3460" w:type="dxa"/>
            <w:vAlign w:val="bottom"/>
            <w:tcBorders>
              <w:right w:val="single" w:sz="8" w:color="0A9E50"/>
            </w:tcBorders>
          </w:tcPr>
          <w:p>
            <w:pPr>
              <w:jc w:val="center"/>
              <w:ind w:right="11"/>
              <w:spacing w:after="0"/>
              <w:rPr>
                <w:sz w:val="20"/>
                <w:szCs w:val="20"/>
                <w:color w:val="auto"/>
              </w:rPr>
            </w:pPr>
            <w:r>
              <w:rPr>
                <w:rFonts w:ascii="Arial" w:cs="Arial" w:eastAsia="Arial" w:hAnsi="Arial"/>
                <w:sz w:val="14"/>
                <w:szCs w:val="14"/>
                <w:b w:val="1"/>
                <w:bCs w:val="1"/>
                <w:color w:val="auto"/>
                <w:w w:val="95"/>
              </w:rPr>
              <w:t>PEAK Matrix</w:t>
            </w:r>
            <w:r>
              <w:rPr>
                <w:rFonts w:ascii="Arial" w:cs="Arial" w:eastAsia="Arial" w:hAnsi="Arial"/>
                <w:sz w:val="20"/>
                <w:szCs w:val="20"/>
                <w:b w:val="1"/>
                <w:bCs w:val="1"/>
                <w:color w:val="auto"/>
                <w:w w:val="95"/>
                <w:vertAlign w:val="superscript"/>
              </w:rPr>
              <w:t>®</w:t>
            </w:r>
          </w:p>
        </w:tc>
        <w:tc>
          <w:tcPr>
            <w:tcW w:w="0" w:type="dxa"/>
            <w:vAlign w:val="bottom"/>
          </w:tcPr>
          <w:p>
            <w:pPr>
              <w:spacing w:after="0"/>
              <w:rPr>
                <w:sz w:val="1"/>
                <w:szCs w:val="1"/>
                <w:color w:val="auto"/>
              </w:rPr>
            </w:pPr>
          </w:p>
        </w:tc>
      </w:tr>
      <w:tr>
        <w:trPr>
          <w:trHeight w:val="156"/>
        </w:trPr>
        <w:tc>
          <w:tcPr>
            <w:tcW w:w="400" w:type="dxa"/>
            <w:vAlign w:val="bottom"/>
            <w:tcBorders>
              <w:right w:val="single" w:sz="8" w:color="0A9E50"/>
            </w:tcBorders>
          </w:tcPr>
          <w:p>
            <w:pPr>
              <w:spacing w:after="0"/>
              <w:rPr>
                <w:sz w:val="13"/>
                <w:szCs w:val="13"/>
                <w:color w:val="auto"/>
              </w:rPr>
            </w:pPr>
          </w:p>
        </w:tc>
        <w:tc>
          <w:tcPr>
            <w:tcW w:w="3480" w:type="dxa"/>
            <w:vAlign w:val="bottom"/>
            <w:tcBorders>
              <w:right w:val="single" w:sz="8" w:color="0A9E50"/>
            </w:tcBorders>
            <w:gridSpan w:val="2"/>
          </w:tcPr>
          <w:p>
            <w:pPr>
              <w:jc w:val="center"/>
              <w:spacing w:after="0" w:line="156" w:lineRule="exact"/>
              <w:rPr>
                <w:sz w:val="20"/>
                <w:szCs w:val="20"/>
                <w:color w:val="auto"/>
              </w:rPr>
            </w:pPr>
            <w:r>
              <w:rPr>
                <w:rFonts w:ascii="Arial" w:cs="Arial" w:eastAsia="Arial" w:hAnsi="Arial"/>
                <w:sz w:val="14"/>
                <w:szCs w:val="14"/>
                <w:color w:val="auto"/>
                <w:w w:val="99"/>
              </w:rPr>
              <w:t>KellyOCG’s timely investments in improving its</w:t>
            </w:r>
          </w:p>
        </w:tc>
        <w:tc>
          <w:tcPr>
            <w:tcW w:w="3560" w:type="dxa"/>
            <w:vAlign w:val="bottom"/>
            <w:tcBorders>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9"/>
              </w:rPr>
              <w:t>KellyOCG’s services procurement portfolio sustained</w:t>
            </w:r>
          </w:p>
        </w:tc>
        <w:tc>
          <w:tcPr>
            <w:tcW w:w="3460" w:type="dxa"/>
            <w:vAlign w:val="bottom"/>
            <w:tcBorders>
              <w:right w:val="single" w:sz="8" w:color="0A9E50"/>
            </w:tcBorders>
          </w:tcPr>
          <w:p>
            <w:pPr>
              <w:jc w:val="center"/>
              <w:ind w:right="31"/>
              <w:spacing w:after="0" w:line="156" w:lineRule="exact"/>
              <w:rPr>
                <w:sz w:val="20"/>
                <w:szCs w:val="20"/>
                <w:color w:val="auto"/>
              </w:rPr>
            </w:pPr>
            <w:r>
              <w:rPr>
                <w:rFonts w:ascii="Arial" w:cs="Arial" w:eastAsia="Arial" w:hAnsi="Arial"/>
                <w:sz w:val="14"/>
                <w:szCs w:val="14"/>
                <w:color w:val="auto"/>
                <w:w w:val="99"/>
              </w:rPr>
              <w:t>KellyOCG continues to drive value for its clients</w:t>
            </w:r>
          </w:p>
        </w:tc>
        <w:tc>
          <w:tcPr>
            <w:tcW w:w="0" w:type="dxa"/>
            <w:vAlign w:val="bottom"/>
          </w:tcPr>
          <w:p>
            <w:pPr>
              <w:spacing w:after="0"/>
              <w:rPr>
                <w:sz w:val="1"/>
                <w:szCs w:val="1"/>
                <w:color w:val="auto"/>
              </w:rPr>
            </w:pPr>
          </w:p>
        </w:tc>
      </w:tr>
      <w:tr>
        <w:trPr>
          <w:trHeight w:val="156"/>
        </w:trPr>
        <w:tc>
          <w:tcPr>
            <w:tcW w:w="400" w:type="dxa"/>
            <w:vAlign w:val="bottom"/>
            <w:tcBorders>
              <w:right w:val="single" w:sz="8" w:color="0A9E50"/>
            </w:tcBorders>
          </w:tcPr>
          <w:p>
            <w:pPr>
              <w:spacing w:after="0"/>
              <w:rPr>
                <w:sz w:val="13"/>
                <w:szCs w:val="13"/>
                <w:color w:val="auto"/>
              </w:rPr>
            </w:pPr>
          </w:p>
        </w:tc>
        <w:tc>
          <w:tcPr>
            <w:tcW w:w="3480" w:type="dxa"/>
            <w:vAlign w:val="bottom"/>
            <w:tcBorders>
              <w:right w:val="single" w:sz="8" w:color="0A9E50"/>
            </w:tcBorders>
            <w:gridSpan w:val="2"/>
          </w:tcPr>
          <w:p>
            <w:pPr>
              <w:jc w:val="center"/>
              <w:spacing w:after="0" w:line="156" w:lineRule="exact"/>
              <w:rPr>
                <w:sz w:val="20"/>
                <w:szCs w:val="20"/>
                <w:color w:val="auto"/>
              </w:rPr>
            </w:pPr>
            <w:r>
              <w:rPr>
                <w:rFonts w:ascii="Arial" w:cs="Arial" w:eastAsia="Arial" w:hAnsi="Arial"/>
                <w:sz w:val="14"/>
                <w:szCs w:val="14"/>
                <w:color w:val="auto"/>
                <w:w w:val="98"/>
              </w:rPr>
              <w:t>regional coverage, technology capabilities and</w:t>
            </w:r>
          </w:p>
        </w:tc>
        <w:tc>
          <w:tcPr>
            <w:tcW w:w="3560" w:type="dxa"/>
            <w:vAlign w:val="bottom"/>
            <w:tcBorders>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8"/>
              </w:rPr>
              <w:t>its growth momentum on the back of its consistent</w:t>
            </w:r>
          </w:p>
        </w:tc>
        <w:tc>
          <w:tcPr>
            <w:tcW w:w="3460" w:type="dxa"/>
            <w:vAlign w:val="bottom"/>
            <w:tcBorders>
              <w:right w:val="single" w:sz="8" w:color="0A9E50"/>
            </w:tcBorders>
          </w:tcPr>
          <w:p>
            <w:pPr>
              <w:jc w:val="center"/>
              <w:ind w:right="31"/>
              <w:spacing w:after="0" w:line="156" w:lineRule="exact"/>
              <w:rPr>
                <w:sz w:val="20"/>
                <w:szCs w:val="20"/>
                <w:color w:val="auto"/>
              </w:rPr>
            </w:pPr>
            <w:r>
              <w:rPr>
                <w:rFonts w:ascii="Arial" w:cs="Arial" w:eastAsia="Arial" w:hAnsi="Arial"/>
                <w:sz w:val="14"/>
                <w:szCs w:val="14"/>
                <w:color w:val="auto"/>
                <w:w w:val="99"/>
              </w:rPr>
              <w:t>building on its strong global presence and expertise</w:t>
            </w:r>
          </w:p>
        </w:tc>
        <w:tc>
          <w:tcPr>
            <w:tcW w:w="0" w:type="dxa"/>
            <w:vAlign w:val="bottom"/>
          </w:tcPr>
          <w:p>
            <w:pPr>
              <w:spacing w:after="0"/>
              <w:rPr>
                <w:sz w:val="1"/>
                <w:szCs w:val="1"/>
                <w:color w:val="auto"/>
              </w:rPr>
            </w:pPr>
          </w:p>
        </w:tc>
      </w:tr>
      <w:tr>
        <w:trPr>
          <w:trHeight w:val="156"/>
        </w:trPr>
        <w:tc>
          <w:tcPr>
            <w:tcW w:w="400" w:type="dxa"/>
            <w:vAlign w:val="bottom"/>
            <w:tcBorders>
              <w:right w:val="single" w:sz="8" w:color="0A9E50"/>
            </w:tcBorders>
          </w:tcPr>
          <w:p>
            <w:pPr>
              <w:spacing w:after="0"/>
              <w:rPr>
                <w:sz w:val="13"/>
                <w:szCs w:val="13"/>
                <w:color w:val="auto"/>
              </w:rPr>
            </w:pPr>
          </w:p>
        </w:tc>
        <w:tc>
          <w:tcPr>
            <w:tcW w:w="3480" w:type="dxa"/>
            <w:vAlign w:val="bottom"/>
            <w:tcBorders>
              <w:right w:val="single" w:sz="8" w:color="0A9E50"/>
            </w:tcBorders>
            <w:gridSpan w:val="2"/>
          </w:tcPr>
          <w:p>
            <w:pPr>
              <w:jc w:val="center"/>
              <w:spacing w:after="0" w:line="156" w:lineRule="exact"/>
              <w:rPr>
                <w:sz w:val="20"/>
                <w:szCs w:val="20"/>
                <w:color w:val="auto"/>
              </w:rPr>
            </w:pPr>
            <w:r>
              <w:rPr>
                <w:rFonts w:ascii="Arial" w:cs="Arial" w:eastAsia="Arial" w:hAnsi="Arial"/>
                <w:sz w:val="14"/>
                <w:szCs w:val="14"/>
                <w:color w:val="auto"/>
                <w:w w:val="98"/>
              </w:rPr>
              <w:t>value-added strategic offerings creates a</w:t>
            </w:r>
          </w:p>
        </w:tc>
        <w:tc>
          <w:tcPr>
            <w:tcW w:w="3560" w:type="dxa"/>
            <w:vAlign w:val="bottom"/>
            <w:tcBorders>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8"/>
              </w:rPr>
              <w:t>efforts to build capabilities across the entire value</w:t>
            </w:r>
          </w:p>
        </w:tc>
        <w:tc>
          <w:tcPr>
            <w:tcW w:w="3460" w:type="dxa"/>
            <w:vAlign w:val="bottom"/>
            <w:tcBorders>
              <w:right w:val="single" w:sz="8" w:color="0A9E50"/>
            </w:tcBorders>
          </w:tcPr>
          <w:p>
            <w:pPr>
              <w:jc w:val="center"/>
              <w:ind w:right="11"/>
              <w:spacing w:after="0" w:line="156" w:lineRule="exact"/>
              <w:rPr>
                <w:sz w:val="20"/>
                <w:szCs w:val="20"/>
                <w:color w:val="auto"/>
              </w:rPr>
            </w:pPr>
            <w:r>
              <w:rPr>
                <w:rFonts w:ascii="Arial" w:cs="Arial" w:eastAsia="Arial" w:hAnsi="Arial"/>
                <w:sz w:val="14"/>
                <w:szCs w:val="14"/>
                <w:color w:val="auto"/>
                <w:w w:val="98"/>
              </w:rPr>
              <w:t>in catering to diverse client needs across</w:t>
            </w:r>
          </w:p>
        </w:tc>
        <w:tc>
          <w:tcPr>
            <w:tcW w:w="0" w:type="dxa"/>
            <w:vAlign w:val="bottom"/>
          </w:tcPr>
          <w:p>
            <w:pPr>
              <w:spacing w:after="0"/>
              <w:rPr>
                <w:sz w:val="1"/>
                <w:szCs w:val="1"/>
                <w:color w:val="auto"/>
              </w:rPr>
            </w:pPr>
          </w:p>
        </w:tc>
      </w:tr>
      <w:tr>
        <w:trPr>
          <w:trHeight w:val="184"/>
        </w:trPr>
        <w:tc>
          <w:tcPr>
            <w:tcW w:w="400" w:type="dxa"/>
            <w:vAlign w:val="bottom"/>
            <w:tcBorders>
              <w:right w:val="single" w:sz="8" w:color="0A9E50"/>
            </w:tcBorders>
          </w:tcPr>
          <w:p>
            <w:pPr>
              <w:spacing w:after="0"/>
              <w:rPr>
                <w:sz w:val="15"/>
                <w:szCs w:val="15"/>
                <w:color w:val="auto"/>
              </w:rPr>
            </w:pPr>
          </w:p>
        </w:tc>
        <w:tc>
          <w:tcPr>
            <w:tcW w:w="3480" w:type="dxa"/>
            <w:vAlign w:val="bottom"/>
            <w:tcBorders>
              <w:right w:val="single" w:sz="8" w:color="0A9E50"/>
            </w:tcBorders>
            <w:gridSpan w:val="2"/>
          </w:tcPr>
          <w:p>
            <w:pPr>
              <w:jc w:val="center"/>
              <w:spacing w:after="0"/>
              <w:rPr>
                <w:sz w:val="20"/>
                <w:szCs w:val="20"/>
                <w:color w:val="auto"/>
              </w:rPr>
            </w:pPr>
            <w:r>
              <w:rPr>
                <w:rFonts w:ascii="Arial" w:cs="Arial" w:eastAsia="Arial" w:hAnsi="Arial"/>
                <w:sz w:val="14"/>
                <w:szCs w:val="14"/>
                <w:color w:val="auto"/>
                <w:w w:val="99"/>
              </w:rPr>
              <w:t>comprehensive service offering.</w:t>
            </w:r>
          </w:p>
        </w:tc>
        <w:tc>
          <w:tcPr>
            <w:tcW w:w="3560" w:type="dxa"/>
            <w:vAlign w:val="bottom"/>
            <w:tcBorders>
              <w:right w:val="single" w:sz="8" w:color="0A9E50"/>
            </w:tcBorders>
          </w:tcPr>
          <w:p>
            <w:pPr>
              <w:jc w:val="center"/>
              <w:spacing w:after="0"/>
              <w:rPr>
                <w:sz w:val="20"/>
                <w:szCs w:val="20"/>
                <w:color w:val="auto"/>
              </w:rPr>
            </w:pPr>
            <w:r>
              <w:rPr>
                <w:rFonts w:ascii="Arial" w:cs="Arial" w:eastAsia="Arial" w:hAnsi="Arial"/>
                <w:sz w:val="14"/>
                <w:szCs w:val="14"/>
                <w:color w:val="auto"/>
              </w:rPr>
              <w:t>chain.</w:t>
            </w:r>
          </w:p>
        </w:tc>
        <w:tc>
          <w:tcPr>
            <w:tcW w:w="3460" w:type="dxa"/>
            <w:vAlign w:val="bottom"/>
            <w:tcBorders>
              <w:right w:val="single" w:sz="8" w:color="0A9E50"/>
            </w:tcBorders>
          </w:tcPr>
          <w:p>
            <w:pPr>
              <w:jc w:val="center"/>
              <w:ind w:right="31"/>
              <w:spacing w:after="0"/>
              <w:rPr>
                <w:sz w:val="20"/>
                <w:szCs w:val="20"/>
                <w:color w:val="auto"/>
              </w:rPr>
            </w:pPr>
            <w:r>
              <w:rPr>
                <w:rFonts w:ascii="Arial" w:cs="Arial" w:eastAsia="Arial" w:hAnsi="Arial"/>
                <w:sz w:val="14"/>
                <w:szCs w:val="14"/>
                <w:color w:val="auto"/>
                <w:w w:val="98"/>
              </w:rPr>
              <w:t>geographies, job categories, and industries.</w:t>
            </w:r>
          </w:p>
        </w:tc>
        <w:tc>
          <w:tcPr>
            <w:tcW w:w="0" w:type="dxa"/>
            <w:vAlign w:val="bottom"/>
          </w:tcPr>
          <w:p>
            <w:pPr>
              <w:spacing w:after="0"/>
              <w:rPr>
                <w:sz w:val="1"/>
                <w:szCs w:val="1"/>
                <w:color w:val="auto"/>
              </w:rPr>
            </w:pPr>
          </w:p>
        </w:tc>
      </w:tr>
      <w:tr>
        <w:trPr>
          <w:trHeight w:val="112"/>
        </w:trPr>
        <w:tc>
          <w:tcPr>
            <w:tcW w:w="400" w:type="dxa"/>
            <w:vAlign w:val="bottom"/>
            <w:tcBorders>
              <w:right w:val="single" w:sz="8" w:color="0A9E50"/>
            </w:tcBorders>
          </w:tcPr>
          <w:p>
            <w:pPr>
              <w:spacing w:after="0"/>
              <w:rPr>
                <w:sz w:val="9"/>
                <w:szCs w:val="9"/>
                <w:color w:val="auto"/>
              </w:rPr>
            </w:pPr>
          </w:p>
        </w:tc>
        <w:tc>
          <w:tcPr>
            <w:tcW w:w="900" w:type="dxa"/>
            <w:vAlign w:val="bottom"/>
            <w:tcBorders>
              <w:bottom w:val="single" w:sz="8" w:color="0A9E50"/>
            </w:tcBorders>
          </w:tcPr>
          <w:p>
            <w:pPr>
              <w:spacing w:after="0"/>
              <w:rPr>
                <w:sz w:val="9"/>
                <w:szCs w:val="9"/>
                <w:color w:val="auto"/>
              </w:rPr>
            </w:pPr>
          </w:p>
        </w:tc>
        <w:tc>
          <w:tcPr>
            <w:tcW w:w="2580" w:type="dxa"/>
            <w:vAlign w:val="bottom"/>
            <w:tcBorders>
              <w:bottom w:val="single" w:sz="8" w:color="0A9E50"/>
              <w:right w:val="single" w:sz="8" w:color="0A9E50"/>
            </w:tcBorders>
          </w:tcPr>
          <w:p>
            <w:pPr>
              <w:spacing w:after="0"/>
              <w:rPr>
                <w:sz w:val="9"/>
                <w:szCs w:val="9"/>
                <w:color w:val="auto"/>
              </w:rPr>
            </w:pPr>
          </w:p>
        </w:tc>
        <w:tc>
          <w:tcPr>
            <w:tcW w:w="3560" w:type="dxa"/>
            <w:vAlign w:val="bottom"/>
            <w:tcBorders>
              <w:bottom w:val="single" w:sz="8" w:color="0A9E50"/>
              <w:right w:val="single" w:sz="8" w:color="0A9E50"/>
            </w:tcBorders>
          </w:tcPr>
          <w:p>
            <w:pPr>
              <w:spacing w:after="0"/>
              <w:rPr>
                <w:sz w:val="9"/>
                <w:szCs w:val="9"/>
                <w:color w:val="auto"/>
              </w:rPr>
            </w:pPr>
          </w:p>
        </w:tc>
        <w:tc>
          <w:tcPr>
            <w:tcW w:w="3460" w:type="dxa"/>
            <w:vAlign w:val="bottom"/>
            <w:tcBorders>
              <w:bottom w:val="single" w:sz="8" w:color="0A9E50"/>
              <w:right w:val="single" w:sz="8" w:color="0A9E50"/>
            </w:tcBorders>
          </w:tcPr>
          <w:p>
            <w:pPr>
              <w:spacing w:after="0"/>
              <w:rPr>
                <w:sz w:val="9"/>
                <w:szCs w:val="9"/>
                <w:color w:val="auto"/>
              </w:rPr>
            </w:pPr>
          </w:p>
        </w:tc>
        <w:tc>
          <w:tcPr>
            <w:tcW w:w="0" w:type="dxa"/>
            <w:vAlign w:val="bottom"/>
          </w:tcPr>
          <w:p>
            <w:pPr>
              <w:spacing w:after="0"/>
              <w:rPr>
                <w:sz w:val="1"/>
                <w:szCs w:val="1"/>
                <w:color w:val="auto"/>
              </w:rPr>
            </w:pPr>
          </w:p>
        </w:tc>
      </w:tr>
      <w:tr>
        <w:trPr>
          <w:trHeight w:val="1141"/>
        </w:trPr>
        <w:tc>
          <w:tcPr>
            <w:tcW w:w="400" w:type="dxa"/>
            <w:vAlign w:val="bottom"/>
            <w:tcBorders>
              <w:right w:val="single" w:sz="8" w:color="0A9E50"/>
            </w:tcBorders>
          </w:tcPr>
          <w:p>
            <w:pPr>
              <w:spacing w:after="0"/>
              <w:rPr>
                <w:sz w:val="24"/>
                <w:szCs w:val="24"/>
                <w:color w:val="auto"/>
              </w:rPr>
            </w:pPr>
          </w:p>
        </w:tc>
        <w:tc>
          <w:tcPr>
            <w:tcW w:w="3480" w:type="dxa"/>
            <w:vAlign w:val="bottom"/>
            <w:tcBorders>
              <w:right w:val="single" w:sz="8" w:color="0A9E50"/>
            </w:tcBorders>
            <w:gridSpan w:val="2"/>
          </w:tcPr>
          <w:p>
            <w:pPr>
              <w:jc w:val="center"/>
              <w:spacing w:after="0"/>
              <w:rPr>
                <w:sz w:val="20"/>
                <w:szCs w:val="20"/>
                <w:color w:val="auto"/>
              </w:rPr>
            </w:pPr>
            <w:r>
              <w:rPr>
                <w:rFonts w:ascii="Arial" w:cs="Arial" w:eastAsia="Arial" w:hAnsi="Arial"/>
                <w:sz w:val="14"/>
                <w:szCs w:val="14"/>
                <w:b w:val="1"/>
                <w:bCs w:val="1"/>
                <w:color w:val="auto"/>
                <w:w w:val="98"/>
              </w:rPr>
              <w:t>Kelly Wins Global Impact Sourcing Award Given</w:t>
            </w:r>
          </w:p>
        </w:tc>
        <w:tc>
          <w:tcPr>
            <w:tcW w:w="3560" w:type="dxa"/>
            <w:vAlign w:val="bottom"/>
            <w:tcBorders>
              <w:right w:val="single" w:sz="8" w:color="0A9E50"/>
            </w:tcBorders>
          </w:tcPr>
          <w:p>
            <w:pPr>
              <w:jc w:val="center"/>
              <w:spacing w:after="0"/>
              <w:rPr>
                <w:sz w:val="20"/>
                <w:szCs w:val="20"/>
                <w:color w:val="auto"/>
              </w:rPr>
            </w:pPr>
            <w:r>
              <w:rPr>
                <w:rFonts w:ascii="Arial" w:cs="Arial" w:eastAsia="Arial" w:hAnsi="Arial"/>
                <w:sz w:val="14"/>
                <w:szCs w:val="14"/>
                <w:b w:val="1"/>
                <w:bCs w:val="1"/>
                <w:color w:val="auto"/>
                <w:w w:val="99"/>
              </w:rPr>
              <w:t>Kelly Named to 2023 IAOP Global Outsourcing 100</w:t>
            </w:r>
          </w:p>
        </w:tc>
        <w:tc>
          <w:tcPr>
            <w:tcW w:w="3460" w:type="dxa"/>
            <w:vAlign w:val="bottom"/>
            <w:tcBorders>
              <w:right w:val="single" w:sz="8" w:color="0A9E50"/>
            </w:tcBorders>
          </w:tcPr>
          <w:p>
            <w:pPr>
              <w:jc w:val="center"/>
              <w:ind w:right="11"/>
              <w:spacing w:after="0"/>
              <w:rPr>
                <w:sz w:val="20"/>
                <w:szCs w:val="20"/>
                <w:color w:val="auto"/>
              </w:rPr>
            </w:pPr>
            <w:r>
              <w:rPr>
                <w:rFonts w:ascii="Arial" w:cs="Arial" w:eastAsia="Arial" w:hAnsi="Arial"/>
                <w:sz w:val="14"/>
                <w:szCs w:val="14"/>
                <w:b w:val="1"/>
                <w:bCs w:val="1"/>
                <w:color w:val="auto"/>
                <w:w w:val="98"/>
              </w:rPr>
              <w:t>Kelly One of the Largest Staffing Firms Globally</w:t>
            </w:r>
          </w:p>
        </w:tc>
        <w:tc>
          <w:tcPr>
            <w:tcW w:w="0" w:type="dxa"/>
            <w:vAlign w:val="bottom"/>
          </w:tcPr>
          <w:p>
            <w:pPr>
              <w:spacing w:after="0"/>
              <w:rPr>
                <w:sz w:val="1"/>
                <w:szCs w:val="1"/>
                <w:color w:val="auto"/>
              </w:rPr>
            </w:pPr>
          </w:p>
        </w:tc>
      </w:tr>
      <w:tr>
        <w:trPr>
          <w:trHeight w:val="192"/>
        </w:trPr>
        <w:tc>
          <w:tcPr>
            <w:tcW w:w="400" w:type="dxa"/>
            <w:vAlign w:val="bottom"/>
            <w:tcBorders>
              <w:right w:val="single" w:sz="8" w:color="0A9E50"/>
            </w:tcBorders>
          </w:tcPr>
          <w:p>
            <w:pPr>
              <w:spacing w:after="0"/>
              <w:rPr>
                <w:sz w:val="16"/>
                <w:szCs w:val="16"/>
                <w:color w:val="auto"/>
              </w:rPr>
            </w:pPr>
          </w:p>
        </w:tc>
        <w:tc>
          <w:tcPr>
            <w:tcW w:w="900" w:type="dxa"/>
            <w:vAlign w:val="bottom"/>
          </w:tcPr>
          <w:p>
            <w:pPr>
              <w:spacing w:after="0"/>
              <w:rPr>
                <w:sz w:val="16"/>
                <w:szCs w:val="16"/>
                <w:color w:val="auto"/>
              </w:rPr>
            </w:pPr>
          </w:p>
        </w:tc>
        <w:tc>
          <w:tcPr>
            <w:tcW w:w="2580" w:type="dxa"/>
            <w:vAlign w:val="bottom"/>
            <w:tcBorders>
              <w:right w:val="single" w:sz="8" w:color="0A9E50"/>
            </w:tcBorders>
          </w:tcPr>
          <w:p>
            <w:pPr>
              <w:jc w:val="center"/>
              <w:ind w:right="851"/>
              <w:spacing w:after="0"/>
              <w:rPr>
                <w:sz w:val="20"/>
                <w:szCs w:val="20"/>
                <w:color w:val="auto"/>
              </w:rPr>
            </w:pPr>
            <w:r>
              <w:rPr>
                <w:rFonts w:ascii="Arial" w:cs="Arial" w:eastAsia="Arial" w:hAnsi="Arial"/>
                <w:sz w:val="14"/>
                <w:szCs w:val="14"/>
                <w:b w:val="1"/>
                <w:bCs w:val="1"/>
                <w:color w:val="auto"/>
                <w:w w:val="99"/>
              </w:rPr>
              <w:t>by IAOP</w:t>
            </w:r>
          </w:p>
        </w:tc>
        <w:tc>
          <w:tcPr>
            <w:tcW w:w="3560" w:type="dxa"/>
            <w:vAlign w:val="bottom"/>
            <w:tcBorders>
              <w:right w:val="single" w:sz="8" w:color="0A9E50"/>
            </w:tcBorders>
          </w:tcPr>
          <w:p>
            <w:pPr>
              <w:jc w:val="center"/>
              <w:spacing w:after="0"/>
              <w:rPr>
                <w:sz w:val="20"/>
                <w:szCs w:val="20"/>
                <w:color w:val="auto"/>
              </w:rPr>
            </w:pPr>
            <w:r>
              <w:rPr>
                <w:rFonts w:ascii="Arial" w:cs="Arial" w:eastAsia="Arial" w:hAnsi="Arial"/>
                <w:sz w:val="14"/>
                <w:szCs w:val="14"/>
                <w:b w:val="1"/>
                <w:bCs w:val="1"/>
                <w:color w:val="auto"/>
              </w:rPr>
              <w:t>List</w:t>
            </w:r>
          </w:p>
        </w:tc>
        <w:tc>
          <w:tcPr>
            <w:tcW w:w="3460" w:type="dxa"/>
            <w:vAlign w:val="bottom"/>
            <w:tcBorders>
              <w:right w:val="single" w:sz="8" w:color="0A9E50"/>
            </w:tcBorders>
            <w:vMerge w:val="restart"/>
          </w:tcPr>
          <w:p>
            <w:pPr>
              <w:jc w:val="center"/>
              <w:ind w:right="11"/>
              <w:spacing w:after="0"/>
              <w:rPr>
                <w:sz w:val="20"/>
                <w:szCs w:val="20"/>
                <w:color w:val="auto"/>
              </w:rPr>
            </w:pPr>
            <w:r>
              <w:rPr>
                <w:rFonts w:ascii="Arial" w:cs="Arial" w:eastAsia="Arial" w:hAnsi="Arial"/>
                <w:sz w:val="14"/>
                <w:szCs w:val="14"/>
                <w:color w:val="auto"/>
                <w:w w:val="98"/>
              </w:rPr>
              <w:t>Kelly is one of the largest staffing firms globally,</w:t>
            </w:r>
          </w:p>
        </w:tc>
        <w:tc>
          <w:tcPr>
            <w:tcW w:w="0" w:type="dxa"/>
            <w:vAlign w:val="bottom"/>
          </w:tcPr>
          <w:p>
            <w:pPr>
              <w:spacing w:after="0"/>
              <w:rPr>
                <w:sz w:val="1"/>
                <w:szCs w:val="1"/>
                <w:color w:val="auto"/>
              </w:rPr>
            </w:pPr>
          </w:p>
        </w:tc>
      </w:tr>
      <w:tr>
        <w:trPr>
          <w:trHeight w:val="82"/>
        </w:trPr>
        <w:tc>
          <w:tcPr>
            <w:tcW w:w="400" w:type="dxa"/>
            <w:vAlign w:val="bottom"/>
            <w:tcBorders>
              <w:right w:val="single" w:sz="8" w:color="0A9E50"/>
            </w:tcBorders>
          </w:tcPr>
          <w:p>
            <w:pPr>
              <w:spacing w:after="0"/>
              <w:rPr>
                <w:sz w:val="7"/>
                <w:szCs w:val="7"/>
                <w:color w:val="auto"/>
              </w:rPr>
            </w:pPr>
          </w:p>
        </w:tc>
        <w:tc>
          <w:tcPr>
            <w:tcW w:w="900" w:type="dxa"/>
            <w:vAlign w:val="bottom"/>
          </w:tcPr>
          <w:p>
            <w:pPr>
              <w:spacing w:after="0"/>
              <w:rPr>
                <w:sz w:val="7"/>
                <w:szCs w:val="7"/>
                <w:color w:val="auto"/>
              </w:rPr>
            </w:pPr>
          </w:p>
        </w:tc>
        <w:tc>
          <w:tcPr>
            <w:tcW w:w="2580" w:type="dxa"/>
            <w:vAlign w:val="bottom"/>
            <w:tcBorders>
              <w:right w:val="single" w:sz="8" w:color="0A9E50"/>
            </w:tcBorders>
          </w:tcPr>
          <w:p>
            <w:pPr>
              <w:spacing w:after="0"/>
              <w:rPr>
                <w:sz w:val="7"/>
                <w:szCs w:val="7"/>
                <w:color w:val="auto"/>
              </w:rPr>
            </w:pPr>
          </w:p>
        </w:tc>
        <w:tc>
          <w:tcPr>
            <w:tcW w:w="3560" w:type="dxa"/>
            <w:vAlign w:val="bottom"/>
            <w:tcBorders>
              <w:right w:val="single" w:sz="8" w:color="0A9E50"/>
            </w:tcBorders>
          </w:tcPr>
          <w:p>
            <w:pPr>
              <w:spacing w:after="0"/>
              <w:rPr>
                <w:sz w:val="7"/>
                <w:szCs w:val="7"/>
                <w:color w:val="auto"/>
              </w:rPr>
            </w:pPr>
          </w:p>
        </w:tc>
        <w:tc>
          <w:tcPr>
            <w:tcW w:w="3460" w:type="dxa"/>
            <w:vAlign w:val="bottom"/>
            <w:tcBorders>
              <w:right w:val="single" w:sz="8" w:color="0A9E5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400" w:type="dxa"/>
            <w:vAlign w:val="bottom"/>
            <w:tcBorders>
              <w:right w:val="single" w:sz="8" w:color="0A9E50"/>
            </w:tcBorders>
          </w:tcPr>
          <w:p>
            <w:pPr>
              <w:spacing w:after="0"/>
              <w:rPr>
                <w:sz w:val="13"/>
                <w:szCs w:val="13"/>
                <w:color w:val="auto"/>
              </w:rPr>
            </w:pPr>
          </w:p>
        </w:tc>
        <w:tc>
          <w:tcPr>
            <w:tcW w:w="3480" w:type="dxa"/>
            <w:vAlign w:val="bottom"/>
            <w:tcBorders>
              <w:right w:val="single" w:sz="8" w:color="0A9E50"/>
            </w:tcBorders>
            <w:gridSpan w:val="2"/>
          </w:tcPr>
          <w:p>
            <w:pPr>
              <w:jc w:val="center"/>
              <w:spacing w:after="0" w:line="156" w:lineRule="exact"/>
              <w:rPr>
                <w:sz w:val="20"/>
                <w:szCs w:val="20"/>
                <w:color w:val="auto"/>
              </w:rPr>
            </w:pPr>
            <w:r>
              <w:rPr>
                <w:rFonts w:ascii="Arial" w:cs="Arial" w:eastAsia="Arial" w:hAnsi="Arial"/>
                <w:sz w:val="14"/>
                <w:szCs w:val="14"/>
                <w:color w:val="auto"/>
                <w:w w:val="98"/>
              </w:rPr>
              <w:t>The prestigious award recognizes organizations that</w:t>
            </w:r>
          </w:p>
        </w:tc>
        <w:tc>
          <w:tcPr>
            <w:tcW w:w="3560" w:type="dxa"/>
            <w:vAlign w:val="bottom"/>
            <w:tcBorders>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9"/>
              </w:rPr>
              <w:t>The International Association of Outsourcing</w:t>
            </w:r>
          </w:p>
        </w:tc>
        <w:tc>
          <w:tcPr>
            <w:tcW w:w="3460" w:type="dxa"/>
            <w:vAlign w:val="bottom"/>
            <w:tcBorders>
              <w:right w:val="single" w:sz="8" w:color="0A9E50"/>
            </w:tcBorders>
          </w:tcPr>
          <w:p>
            <w:pPr>
              <w:jc w:val="center"/>
              <w:ind w:right="11"/>
              <w:spacing w:after="0" w:line="156" w:lineRule="exact"/>
              <w:rPr>
                <w:sz w:val="20"/>
                <w:szCs w:val="20"/>
                <w:color w:val="auto"/>
              </w:rPr>
            </w:pPr>
            <w:r>
              <w:rPr>
                <w:rFonts w:ascii="Arial" w:cs="Arial" w:eastAsia="Arial" w:hAnsi="Arial"/>
                <w:sz w:val="14"/>
                <w:szCs w:val="14"/>
                <w:color w:val="auto"/>
                <w:w w:val="99"/>
              </w:rPr>
              <w:t>according to the 2023 ranking by Staffing Industry</w:t>
            </w:r>
          </w:p>
        </w:tc>
        <w:tc>
          <w:tcPr>
            <w:tcW w:w="0" w:type="dxa"/>
            <w:vAlign w:val="bottom"/>
          </w:tcPr>
          <w:p>
            <w:pPr>
              <w:spacing w:after="0"/>
              <w:rPr>
                <w:sz w:val="1"/>
                <w:szCs w:val="1"/>
                <w:color w:val="auto"/>
              </w:rPr>
            </w:pPr>
          </w:p>
        </w:tc>
      </w:tr>
      <w:tr>
        <w:trPr>
          <w:trHeight w:val="156"/>
        </w:trPr>
        <w:tc>
          <w:tcPr>
            <w:tcW w:w="400" w:type="dxa"/>
            <w:vAlign w:val="bottom"/>
            <w:tcBorders>
              <w:right w:val="single" w:sz="8" w:color="0A9E50"/>
            </w:tcBorders>
          </w:tcPr>
          <w:p>
            <w:pPr>
              <w:spacing w:after="0"/>
              <w:rPr>
                <w:sz w:val="13"/>
                <w:szCs w:val="13"/>
                <w:color w:val="auto"/>
              </w:rPr>
            </w:pPr>
          </w:p>
        </w:tc>
        <w:tc>
          <w:tcPr>
            <w:tcW w:w="3480" w:type="dxa"/>
            <w:vAlign w:val="bottom"/>
            <w:tcBorders>
              <w:right w:val="single" w:sz="8" w:color="0A9E50"/>
            </w:tcBorders>
            <w:gridSpan w:val="2"/>
          </w:tcPr>
          <w:p>
            <w:pPr>
              <w:jc w:val="center"/>
              <w:spacing w:after="0" w:line="156" w:lineRule="exact"/>
              <w:rPr>
                <w:sz w:val="20"/>
                <w:szCs w:val="20"/>
                <w:color w:val="auto"/>
              </w:rPr>
            </w:pPr>
            <w:r>
              <w:rPr>
                <w:rFonts w:ascii="Arial" w:cs="Arial" w:eastAsia="Arial" w:hAnsi="Arial"/>
                <w:sz w:val="14"/>
                <w:szCs w:val="14"/>
                <w:color w:val="auto"/>
                <w:w w:val="98"/>
              </w:rPr>
              <w:t>made a significant impact through the practice of</w:t>
            </w:r>
          </w:p>
        </w:tc>
        <w:tc>
          <w:tcPr>
            <w:tcW w:w="3560" w:type="dxa"/>
            <w:vAlign w:val="bottom"/>
            <w:tcBorders>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9"/>
              </w:rPr>
              <w:t>Professionals (IAOP is the global standard-setting</w:t>
            </w:r>
          </w:p>
        </w:tc>
        <w:tc>
          <w:tcPr>
            <w:tcW w:w="3460" w:type="dxa"/>
            <w:vAlign w:val="bottom"/>
            <w:tcBorders>
              <w:right w:val="single" w:sz="8" w:color="0A9E50"/>
            </w:tcBorders>
          </w:tcPr>
          <w:p>
            <w:pPr>
              <w:jc w:val="center"/>
              <w:ind w:right="31"/>
              <w:spacing w:after="0" w:line="156" w:lineRule="exact"/>
              <w:rPr>
                <w:sz w:val="20"/>
                <w:szCs w:val="20"/>
                <w:color w:val="auto"/>
              </w:rPr>
            </w:pPr>
            <w:r>
              <w:rPr>
                <w:rFonts w:ascii="Arial" w:cs="Arial" w:eastAsia="Arial" w:hAnsi="Arial"/>
                <w:sz w:val="14"/>
                <w:szCs w:val="14"/>
                <w:color w:val="auto"/>
                <w:w w:val="99"/>
              </w:rPr>
              <w:t>Analysts (SIA).</w:t>
            </w:r>
          </w:p>
        </w:tc>
        <w:tc>
          <w:tcPr>
            <w:tcW w:w="0" w:type="dxa"/>
            <w:vAlign w:val="bottom"/>
          </w:tcPr>
          <w:p>
            <w:pPr>
              <w:spacing w:after="0"/>
              <w:rPr>
                <w:sz w:val="1"/>
                <w:szCs w:val="1"/>
                <w:color w:val="auto"/>
              </w:rPr>
            </w:pPr>
          </w:p>
        </w:tc>
      </w:tr>
      <w:tr>
        <w:trPr>
          <w:trHeight w:val="156"/>
        </w:trPr>
        <w:tc>
          <w:tcPr>
            <w:tcW w:w="400" w:type="dxa"/>
            <w:vAlign w:val="bottom"/>
            <w:tcBorders>
              <w:right w:val="single" w:sz="8" w:color="0A9E50"/>
            </w:tcBorders>
          </w:tcPr>
          <w:p>
            <w:pPr>
              <w:spacing w:after="0"/>
              <w:rPr>
                <w:sz w:val="13"/>
                <w:szCs w:val="13"/>
                <w:color w:val="auto"/>
              </w:rPr>
            </w:pPr>
          </w:p>
        </w:tc>
        <w:tc>
          <w:tcPr>
            <w:tcW w:w="3480" w:type="dxa"/>
            <w:vAlign w:val="bottom"/>
            <w:tcBorders>
              <w:right w:val="single" w:sz="8" w:color="0A9E50"/>
            </w:tcBorders>
            <w:gridSpan w:val="2"/>
          </w:tcPr>
          <w:p>
            <w:pPr>
              <w:jc w:val="center"/>
              <w:spacing w:after="0" w:line="156" w:lineRule="exact"/>
              <w:rPr>
                <w:sz w:val="20"/>
                <w:szCs w:val="20"/>
                <w:color w:val="auto"/>
              </w:rPr>
            </w:pPr>
            <w:r>
              <w:rPr>
                <w:rFonts w:ascii="Arial" w:cs="Arial" w:eastAsia="Arial" w:hAnsi="Arial"/>
                <w:sz w:val="14"/>
                <w:szCs w:val="14"/>
                <w:color w:val="auto"/>
                <w:w w:val="99"/>
              </w:rPr>
              <w:t>intentional employment of people from socio-</w:t>
            </w:r>
          </w:p>
        </w:tc>
        <w:tc>
          <w:tcPr>
            <w:tcW w:w="3560" w:type="dxa"/>
            <w:vAlign w:val="bottom"/>
            <w:tcBorders>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9"/>
              </w:rPr>
              <w:t>association and advocate for outsourcing</w:t>
            </w:r>
          </w:p>
        </w:tc>
        <w:tc>
          <w:tcPr>
            <w:tcW w:w="3460" w:type="dxa"/>
            <w:vAlign w:val="bottom"/>
            <w:tcBorders>
              <w:right w:val="single" w:sz="8" w:color="0A9E50"/>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0" w:type="dxa"/>
            <w:vAlign w:val="bottom"/>
            <w:tcBorders>
              <w:right w:val="single" w:sz="8" w:color="0A9E50"/>
            </w:tcBorders>
          </w:tcPr>
          <w:p>
            <w:pPr>
              <w:spacing w:after="0"/>
              <w:rPr>
                <w:sz w:val="15"/>
                <w:szCs w:val="15"/>
                <w:color w:val="auto"/>
              </w:rPr>
            </w:pPr>
          </w:p>
        </w:tc>
        <w:tc>
          <w:tcPr>
            <w:tcW w:w="3480" w:type="dxa"/>
            <w:vAlign w:val="bottom"/>
            <w:tcBorders>
              <w:right w:val="single" w:sz="8" w:color="0A9E50"/>
            </w:tcBorders>
            <w:gridSpan w:val="2"/>
          </w:tcPr>
          <w:p>
            <w:pPr>
              <w:jc w:val="center"/>
              <w:spacing w:after="0"/>
              <w:rPr>
                <w:sz w:val="20"/>
                <w:szCs w:val="20"/>
                <w:color w:val="auto"/>
              </w:rPr>
            </w:pPr>
            <w:r>
              <w:rPr>
                <w:rFonts w:ascii="Arial" w:cs="Arial" w:eastAsia="Arial" w:hAnsi="Arial"/>
                <w:sz w:val="14"/>
                <w:szCs w:val="14"/>
                <w:color w:val="auto"/>
                <w:w w:val="99"/>
              </w:rPr>
              <w:t>economically disadvantaged backgrounds.</w:t>
            </w:r>
          </w:p>
        </w:tc>
        <w:tc>
          <w:tcPr>
            <w:tcW w:w="3560" w:type="dxa"/>
            <w:vAlign w:val="bottom"/>
            <w:tcBorders>
              <w:right w:val="single" w:sz="8" w:color="0A9E50"/>
            </w:tcBorders>
          </w:tcPr>
          <w:p>
            <w:pPr>
              <w:jc w:val="center"/>
              <w:spacing w:after="0"/>
              <w:rPr>
                <w:sz w:val="20"/>
                <w:szCs w:val="20"/>
                <w:color w:val="auto"/>
              </w:rPr>
            </w:pPr>
            <w:r>
              <w:rPr>
                <w:rFonts w:ascii="Arial" w:cs="Arial" w:eastAsia="Arial" w:hAnsi="Arial"/>
                <w:sz w:val="14"/>
                <w:szCs w:val="14"/>
                <w:color w:val="auto"/>
                <w:w w:val="98"/>
              </w:rPr>
              <w:t>professionals and the organizations they support.</w:t>
            </w:r>
          </w:p>
        </w:tc>
        <w:tc>
          <w:tcPr>
            <w:tcW w:w="3460" w:type="dxa"/>
            <w:vAlign w:val="bottom"/>
            <w:tcBorders>
              <w:right w:val="single" w:sz="8" w:color="0A9E50"/>
            </w:tcBorders>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400" w:type="dxa"/>
            <w:vAlign w:val="bottom"/>
            <w:tcBorders>
              <w:right w:val="single" w:sz="8" w:color="0A9E50"/>
            </w:tcBorders>
          </w:tcPr>
          <w:p>
            <w:pPr>
              <w:spacing w:after="0"/>
              <w:rPr>
                <w:sz w:val="9"/>
                <w:szCs w:val="9"/>
                <w:color w:val="auto"/>
              </w:rPr>
            </w:pPr>
          </w:p>
        </w:tc>
        <w:tc>
          <w:tcPr>
            <w:tcW w:w="900" w:type="dxa"/>
            <w:vAlign w:val="bottom"/>
            <w:tcBorders>
              <w:bottom w:val="single" w:sz="8" w:color="0A9E50"/>
            </w:tcBorders>
          </w:tcPr>
          <w:p>
            <w:pPr>
              <w:spacing w:after="0"/>
              <w:rPr>
                <w:sz w:val="9"/>
                <w:szCs w:val="9"/>
                <w:color w:val="auto"/>
              </w:rPr>
            </w:pPr>
          </w:p>
        </w:tc>
        <w:tc>
          <w:tcPr>
            <w:tcW w:w="2580" w:type="dxa"/>
            <w:vAlign w:val="bottom"/>
            <w:tcBorders>
              <w:bottom w:val="single" w:sz="8" w:color="0A9E50"/>
              <w:right w:val="single" w:sz="8" w:color="0A9E50"/>
            </w:tcBorders>
          </w:tcPr>
          <w:p>
            <w:pPr>
              <w:spacing w:after="0"/>
              <w:rPr>
                <w:sz w:val="9"/>
                <w:szCs w:val="9"/>
                <w:color w:val="auto"/>
              </w:rPr>
            </w:pPr>
          </w:p>
        </w:tc>
        <w:tc>
          <w:tcPr>
            <w:tcW w:w="3560" w:type="dxa"/>
            <w:vAlign w:val="bottom"/>
            <w:tcBorders>
              <w:bottom w:val="single" w:sz="8" w:color="0A9E50"/>
              <w:right w:val="single" w:sz="8" w:color="0A9E50"/>
            </w:tcBorders>
          </w:tcPr>
          <w:p>
            <w:pPr>
              <w:spacing w:after="0"/>
              <w:rPr>
                <w:sz w:val="9"/>
                <w:szCs w:val="9"/>
                <w:color w:val="auto"/>
              </w:rPr>
            </w:pPr>
          </w:p>
        </w:tc>
        <w:tc>
          <w:tcPr>
            <w:tcW w:w="3460" w:type="dxa"/>
            <w:vAlign w:val="bottom"/>
            <w:tcBorders>
              <w:bottom w:val="single" w:sz="8" w:color="0A9E50"/>
              <w:right w:val="single" w:sz="8" w:color="0A9E5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647065</wp:posOffset>
            </wp:positionH>
            <wp:positionV relativeFrom="paragraph">
              <wp:posOffset>-4229100</wp:posOffset>
            </wp:positionV>
            <wp:extent cx="5823585" cy="4959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23585" cy="49593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-2857500</wp:posOffset>
            </wp:positionV>
            <wp:extent cx="1205865" cy="5619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5865" cy="56197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-2857500</wp:posOffset>
            </wp:positionV>
            <wp:extent cx="3560445" cy="5041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60445" cy="504190"/>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-1320800</wp:posOffset>
            </wp:positionV>
            <wp:extent cx="1197610" cy="4876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97610" cy="48768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-1320800</wp:posOffset>
            </wp:positionV>
            <wp:extent cx="3717290" cy="52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717290" cy="520700"/>
                    </a:xfrm>
                    <a:prstGeom prst="rect">
                      <a:avLst/>
                    </a:prstGeom>
                    <a:noFill/>
                  </pic:spPr>
                </pic:pic>
              </a:graphicData>
            </a:graphic>
          </wp:anchor>
        </w:drawing>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 complete list of the Company’s awards and recognitions is available on </w:t>
      </w:r>
      <w:r>
        <w:rPr>
          <w:rFonts w:ascii="Arial" w:cs="Arial" w:eastAsia="Arial" w:hAnsi="Arial"/>
          <w:sz w:val="16"/>
          <w:szCs w:val="16"/>
          <w:i w:val="1"/>
          <w:iCs w:val="1"/>
          <w:color w:val="auto"/>
        </w:rPr>
        <w:t>kellyservices.com</w:t>
      </w:r>
      <w:r>
        <w:rPr>
          <w:rFonts w:ascii="Arial" w:cs="Arial" w:eastAsia="Arial" w:hAnsi="Arial"/>
          <w:sz w:val="16"/>
          <w:szCs w:val="16"/>
          <w:color w:val="auto"/>
        </w:rPr>
        <w:t>.</w:t>
      </w:r>
    </w:p>
    <w:p>
      <w:pPr>
        <w:spacing w:after="0" w:line="78"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12 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00"/>
          </w:cols>
          <w:pgMar w:left="320" w:top="464" w:right="6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Proxy Summary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160655</wp:posOffset>
            </wp:positionV>
            <wp:extent cx="6773545" cy="288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73545" cy="28892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 w:right="80" w:hanging="204"/>
        <w:spacing w:after="0" w:line="212" w:lineRule="auto"/>
        <w:tabs>
          <w:tab w:leader="none" w:pos="52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Align pay with performance using balanced performance measures that are linked to strategic business objectives in short- and long-term incentives</w:t>
      </w:r>
    </w:p>
    <w:p>
      <w:pPr>
        <w:spacing w:after="0" w:line="55" w:lineRule="exact"/>
        <w:rPr>
          <w:rFonts w:ascii="Times New Roman" w:cs="Times New Roman" w:eastAsia="Times New Roman" w:hAnsi="Times New Roman"/>
          <w:sz w:val="24"/>
          <w:szCs w:val="24"/>
          <w:color w:val="0A9E50"/>
          <w:vertAlign w:val="superscript"/>
        </w:rPr>
      </w:pPr>
    </w:p>
    <w:p>
      <w:pPr>
        <w:ind w:left="520" w:right="520" w:hanging="204"/>
        <w:spacing w:after="0" w:line="202" w:lineRule="auto"/>
        <w:tabs>
          <w:tab w:leader="none" w:pos="52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Align executive compensation with shareholder returns through performance-based equity incentive awards</w:t>
      </w:r>
    </w:p>
    <w:p>
      <w:pPr>
        <w:spacing w:after="0" w:line="55" w:lineRule="exact"/>
        <w:rPr>
          <w:rFonts w:ascii="Times New Roman" w:cs="Times New Roman" w:eastAsia="Times New Roman" w:hAnsi="Times New Roman"/>
          <w:sz w:val="24"/>
          <w:szCs w:val="24"/>
          <w:color w:val="0A9E50"/>
          <w:vertAlign w:val="superscript"/>
        </w:rPr>
      </w:pPr>
    </w:p>
    <w:p>
      <w:pPr>
        <w:ind w:left="520" w:hanging="204"/>
        <w:spacing w:after="0" w:line="217" w:lineRule="auto"/>
        <w:tabs>
          <w:tab w:leader="none" w:pos="52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Annual review of performance measures and goals for our short- and long-term incentive plans by the independent Compensation and Talent Management Committee to ensure we use diversified measures with challenging, but attainable targets</w:t>
      </w:r>
    </w:p>
    <w:p>
      <w:pPr>
        <w:spacing w:after="0" w:line="57" w:lineRule="exact"/>
        <w:rPr>
          <w:rFonts w:ascii="Times New Roman" w:cs="Times New Roman" w:eastAsia="Times New Roman" w:hAnsi="Times New Roman"/>
          <w:sz w:val="24"/>
          <w:szCs w:val="24"/>
          <w:color w:val="0A9E50"/>
          <w:vertAlign w:val="superscript"/>
        </w:rPr>
      </w:pPr>
    </w:p>
    <w:p>
      <w:pPr>
        <w:ind w:left="520" w:right="100" w:hanging="204"/>
        <w:spacing w:after="0" w:line="212" w:lineRule="auto"/>
        <w:tabs>
          <w:tab w:leader="none" w:pos="52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Require the achievement of a minimum acceptable level of financial performance for any payment to be made pursuant to the Short-Term Incentive Plan (“STIP”) and include caps on payouts</w:t>
      </w:r>
    </w:p>
    <w:p>
      <w:pPr>
        <w:spacing w:after="0" w:line="55" w:lineRule="exact"/>
        <w:rPr>
          <w:rFonts w:ascii="Times New Roman" w:cs="Times New Roman" w:eastAsia="Times New Roman" w:hAnsi="Times New Roman"/>
          <w:sz w:val="24"/>
          <w:szCs w:val="24"/>
          <w:color w:val="0A9E50"/>
          <w:vertAlign w:val="superscript"/>
        </w:rPr>
      </w:pPr>
    </w:p>
    <w:p>
      <w:pPr>
        <w:ind w:left="520" w:right="260" w:hanging="204"/>
        <w:spacing w:after="0" w:line="202" w:lineRule="auto"/>
        <w:tabs>
          <w:tab w:leader="none" w:pos="52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Require stock ownership and retention of a portion of equity-based awards by senior officers</w:t>
      </w:r>
    </w:p>
    <w:p>
      <w:pPr>
        <w:spacing w:after="0" w:line="55" w:lineRule="exact"/>
        <w:rPr>
          <w:rFonts w:ascii="Times New Roman" w:cs="Times New Roman" w:eastAsia="Times New Roman" w:hAnsi="Times New Roman"/>
          <w:sz w:val="24"/>
          <w:szCs w:val="24"/>
          <w:color w:val="0A9E50"/>
          <w:vertAlign w:val="superscript"/>
        </w:rPr>
      </w:pPr>
    </w:p>
    <w:p>
      <w:pPr>
        <w:ind w:left="520" w:right="140" w:hanging="204"/>
        <w:spacing w:after="0" w:line="202" w:lineRule="auto"/>
        <w:tabs>
          <w:tab w:leader="none" w:pos="52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Hold an annual “say-on-pay” shareholder advisory vote on executive compensation</w:t>
      </w:r>
    </w:p>
    <w:p>
      <w:pPr>
        <w:spacing w:after="0" w:line="55" w:lineRule="exact"/>
        <w:rPr>
          <w:rFonts w:ascii="Times New Roman" w:cs="Times New Roman" w:eastAsia="Times New Roman" w:hAnsi="Times New Roman"/>
          <w:sz w:val="24"/>
          <w:szCs w:val="24"/>
          <w:color w:val="0A9E50"/>
          <w:vertAlign w:val="superscript"/>
        </w:rPr>
      </w:pPr>
    </w:p>
    <w:p>
      <w:pPr>
        <w:ind w:left="520" w:right="400" w:hanging="204"/>
        <w:spacing w:after="0" w:line="202" w:lineRule="auto"/>
        <w:tabs>
          <w:tab w:leader="none" w:pos="52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Retain an independent executive compensation consultant to the Compensation and Talent Management Committee</w:t>
      </w:r>
    </w:p>
    <w:p>
      <w:pPr>
        <w:spacing w:after="0" w:line="200" w:lineRule="exact"/>
        <w:rPr>
          <w:rFonts w:ascii="Times New Roman" w:cs="Times New Roman" w:eastAsia="Times New Roman" w:hAnsi="Times New Roman"/>
          <w:sz w:val="24"/>
          <w:szCs w:val="24"/>
          <w:color w:val="0A9E50"/>
          <w:vertAlign w:val="superscript"/>
        </w:rPr>
      </w:pPr>
    </w:p>
    <w:p>
      <w:pPr>
        <w:spacing w:after="0" w:line="200" w:lineRule="exact"/>
        <w:rPr>
          <w:rFonts w:ascii="Times New Roman" w:cs="Times New Roman" w:eastAsia="Times New Roman" w:hAnsi="Times New Roman"/>
          <w:sz w:val="24"/>
          <w:szCs w:val="24"/>
          <w:color w:val="0A9E50"/>
          <w:vertAlign w:val="superscript"/>
        </w:rPr>
      </w:pPr>
    </w:p>
    <w:p>
      <w:pPr>
        <w:spacing w:after="0" w:line="200" w:lineRule="exact"/>
        <w:rPr>
          <w:rFonts w:ascii="Times New Roman" w:cs="Times New Roman" w:eastAsia="Times New Roman" w:hAnsi="Times New Roman"/>
          <w:sz w:val="24"/>
          <w:szCs w:val="24"/>
          <w:color w:val="0A9E50"/>
          <w:vertAlign w:val="superscript"/>
        </w:rPr>
      </w:pPr>
    </w:p>
    <w:p>
      <w:pPr>
        <w:spacing w:after="0" w:line="200" w:lineRule="exact"/>
        <w:rPr>
          <w:rFonts w:ascii="Times New Roman" w:cs="Times New Roman" w:eastAsia="Times New Roman" w:hAnsi="Times New Roman"/>
          <w:sz w:val="24"/>
          <w:szCs w:val="24"/>
          <w:color w:val="0A9E50"/>
          <w:vertAlign w:val="superscript"/>
        </w:rPr>
      </w:pPr>
    </w:p>
    <w:p>
      <w:pPr>
        <w:spacing w:after="0" w:line="334" w:lineRule="exact"/>
        <w:rPr>
          <w:rFonts w:ascii="Times New Roman" w:cs="Times New Roman" w:eastAsia="Times New Roman" w:hAnsi="Times New Roman"/>
          <w:sz w:val="24"/>
          <w:szCs w:val="24"/>
          <w:color w:val="0A9E50"/>
          <w:vertAlign w:val="superscript"/>
        </w:rPr>
      </w:pPr>
    </w:p>
    <w:p>
      <w:pPr>
        <w:ind w:left="520" w:right="320" w:hanging="204"/>
        <w:spacing w:after="0" w:line="202" w:lineRule="auto"/>
        <w:tabs>
          <w:tab w:leader="none" w:pos="52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Provide employment agreements for senior officers (except where standard local practice)</w:t>
      </w:r>
    </w:p>
    <w:p>
      <w:pPr>
        <w:ind w:left="520" w:hanging="204"/>
        <w:spacing w:after="0" w:line="226" w:lineRule="auto"/>
        <w:tabs>
          <w:tab w:leader="none" w:pos="52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Guarantee bonus arrangements with our senior officers</w:t>
      </w:r>
    </w:p>
    <w:p>
      <w:pPr>
        <w:spacing w:after="0" w:line="69" w:lineRule="exact"/>
        <w:rPr>
          <w:rFonts w:ascii="Times New Roman" w:cs="Times New Roman" w:eastAsia="Times New Roman" w:hAnsi="Times New Roman"/>
          <w:sz w:val="24"/>
          <w:szCs w:val="24"/>
          <w:color w:val="0A9E50"/>
          <w:vertAlign w:val="superscript"/>
        </w:rPr>
      </w:pPr>
    </w:p>
    <w:p>
      <w:pPr>
        <w:ind w:left="520" w:right="160" w:hanging="204"/>
        <w:spacing w:after="0" w:line="194" w:lineRule="auto"/>
        <w:tabs>
          <w:tab w:leader="none" w:pos="52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Allow directors or senior officers to engage in hedging or pledging of Company securities</w:t>
      </w:r>
    </w:p>
    <w:p>
      <w:pPr>
        <w:spacing w:after="0" w:line="1" w:lineRule="exact"/>
        <w:rPr>
          <w:rFonts w:ascii="Times New Roman" w:cs="Times New Roman" w:eastAsia="Times New Roman" w:hAnsi="Times New Roman"/>
          <w:sz w:val="24"/>
          <w:szCs w:val="24"/>
          <w:color w:val="0A9E50"/>
          <w:vertAlign w:val="superscript"/>
        </w:rPr>
      </w:pPr>
    </w:p>
    <w:p>
      <w:pPr>
        <w:ind w:left="520" w:hanging="204"/>
        <w:spacing w:after="0" w:line="226" w:lineRule="auto"/>
        <w:tabs>
          <w:tab w:leader="none" w:pos="52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Allow the repricing or backdating of equity awards</w:t>
      </w:r>
    </w:p>
    <w:p>
      <w:pPr>
        <w:spacing w:after="0" w:line="69" w:lineRule="exact"/>
        <w:rPr>
          <w:rFonts w:ascii="Times New Roman" w:cs="Times New Roman" w:eastAsia="Times New Roman" w:hAnsi="Times New Roman"/>
          <w:sz w:val="24"/>
          <w:szCs w:val="24"/>
          <w:color w:val="0A9E50"/>
          <w:vertAlign w:val="superscript"/>
        </w:rPr>
      </w:pPr>
    </w:p>
    <w:p>
      <w:pPr>
        <w:ind w:left="520" w:right="40" w:hanging="204"/>
        <w:spacing w:after="0" w:line="205" w:lineRule="auto"/>
        <w:tabs>
          <w:tab w:leader="none" w:pos="520" w:val="left"/>
        </w:tabs>
        <w:numPr>
          <w:ilvl w:val="0"/>
          <w:numId w:val="9"/>
        </w:numPr>
        <w:rPr>
          <w:rFonts w:ascii="Times New Roman" w:cs="Times New Roman" w:eastAsia="Times New Roman" w:hAnsi="Times New Roman"/>
          <w:sz w:val="23"/>
          <w:szCs w:val="23"/>
          <w:color w:val="0A9E50"/>
          <w:vertAlign w:val="superscript"/>
        </w:rPr>
      </w:pPr>
      <w:r>
        <w:rPr>
          <w:rFonts w:ascii="Arial" w:cs="Arial" w:eastAsia="Arial" w:hAnsi="Arial"/>
          <w:sz w:val="15"/>
          <w:szCs w:val="15"/>
          <w:color w:val="auto"/>
        </w:rPr>
        <w:t>Pay dividend equivalents on restricted stock units before achievement of performance hurdle and completion of vesting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0" w:right="40" w:hanging="190"/>
        <w:spacing w:after="0" w:line="212" w:lineRule="auto"/>
        <w:tabs>
          <w:tab w:leader="none" w:pos="190" w:val="left"/>
        </w:tabs>
        <w:numPr>
          <w:ilvl w:val="0"/>
          <w:numId w:val="10"/>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Regular review of executive compensation governance market practices, particularly when considering the adoption of new practices or changes in existing programs or policies</w:t>
      </w:r>
    </w:p>
    <w:p>
      <w:pPr>
        <w:spacing w:after="0" w:line="55" w:lineRule="exact"/>
        <w:rPr>
          <w:rFonts w:ascii="Times New Roman" w:cs="Times New Roman" w:eastAsia="Times New Roman" w:hAnsi="Times New Roman"/>
          <w:sz w:val="24"/>
          <w:szCs w:val="24"/>
          <w:color w:val="0A9E50"/>
          <w:vertAlign w:val="superscript"/>
        </w:rPr>
      </w:pPr>
    </w:p>
    <w:p>
      <w:pPr>
        <w:ind w:left="190" w:right="400" w:hanging="190"/>
        <w:spacing w:after="0" w:line="212" w:lineRule="auto"/>
        <w:tabs>
          <w:tab w:leader="none" w:pos="190" w:val="left"/>
        </w:tabs>
        <w:numPr>
          <w:ilvl w:val="0"/>
          <w:numId w:val="10"/>
        </w:numPr>
        <w:rPr>
          <w:rFonts w:ascii="Times New Roman" w:cs="Times New Roman" w:eastAsia="Times New Roman" w:hAnsi="Times New Roman"/>
          <w:sz w:val="23"/>
          <w:szCs w:val="23"/>
          <w:color w:val="0A9E50"/>
          <w:vertAlign w:val="superscript"/>
        </w:rPr>
      </w:pPr>
      <w:r>
        <w:rPr>
          <w:rFonts w:ascii="Arial" w:cs="Arial" w:eastAsia="Arial" w:hAnsi="Arial"/>
          <w:sz w:val="15"/>
          <w:szCs w:val="15"/>
          <w:color w:val="auto"/>
        </w:rPr>
        <w:t>Conduct annual assessments of any potential risks in our incentive compensation programs and policies and related internal controls</w:t>
      </w:r>
    </w:p>
    <w:p>
      <w:pPr>
        <w:spacing w:after="0" w:line="56" w:lineRule="exact"/>
        <w:rPr>
          <w:rFonts w:ascii="Times New Roman" w:cs="Times New Roman" w:eastAsia="Times New Roman" w:hAnsi="Times New Roman"/>
          <w:sz w:val="23"/>
          <w:szCs w:val="23"/>
          <w:color w:val="0A9E50"/>
          <w:vertAlign w:val="superscript"/>
        </w:rPr>
      </w:pPr>
    </w:p>
    <w:p>
      <w:pPr>
        <w:ind w:left="190" w:right="200" w:hanging="190"/>
        <w:spacing w:after="0" w:line="212" w:lineRule="auto"/>
        <w:tabs>
          <w:tab w:leader="none" w:pos="190" w:val="left"/>
        </w:tabs>
        <w:numPr>
          <w:ilvl w:val="0"/>
          <w:numId w:val="10"/>
        </w:numPr>
        <w:rPr>
          <w:rFonts w:ascii="Times New Roman" w:cs="Times New Roman" w:eastAsia="Times New Roman" w:hAnsi="Times New Roman"/>
          <w:sz w:val="23"/>
          <w:szCs w:val="23"/>
          <w:color w:val="0A9E50"/>
          <w:vertAlign w:val="superscript"/>
        </w:rPr>
      </w:pPr>
      <w:r>
        <w:rPr>
          <w:rFonts w:ascii="Arial" w:cs="Arial" w:eastAsia="Arial" w:hAnsi="Arial"/>
          <w:sz w:val="15"/>
          <w:szCs w:val="15"/>
          <w:color w:val="auto"/>
        </w:rPr>
        <w:t>Annually review with the Compensation and Talent Management Committee share utilization resulting from our compensation practices</w:t>
      </w:r>
    </w:p>
    <w:p>
      <w:pPr>
        <w:spacing w:after="0" w:line="56" w:lineRule="exact"/>
        <w:rPr>
          <w:rFonts w:ascii="Times New Roman" w:cs="Times New Roman" w:eastAsia="Times New Roman" w:hAnsi="Times New Roman"/>
          <w:sz w:val="23"/>
          <w:szCs w:val="23"/>
          <w:color w:val="0A9E50"/>
          <w:vertAlign w:val="superscript"/>
        </w:rPr>
      </w:pPr>
    </w:p>
    <w:p>
      <w:pPr>
        <w:ind w:left="190" w:right="120" w:hanging="190"/>
        <w:spacing w:after="0" w:line="212" w:lineRule="auto"/>
        <w:tabs>
          <w:tab w:leader="none" w:pos="190" w:val="left"/>
        </w:tabs>
        <w:numPr>
          <w:ilvl w:val="0"/>
          <w:numId w:val="10"/>
        </w:numPr>
        <w:rPr>
          <w:rFonts w:ascii="Times New Roman" w:cs="Times New Roman" w:eastAsia="Times New Roman" w:hAnsi="Times New Roman"/>
          <w:sz w:val="23"/>
          <w:szCs w:val="23"/>
          <w:color w:val="0A9E50"/>
          <w:vertAlign w:val="superscript"/>
        </w:rPr>
      </w:pPr>
      <w:r>
        <w:rPr>
          <w:rFonts w:ascii="Arial" w:cs="Arial" w:eastAsia="Arial" w:hAnsi="Arial"/>
          <w:sz w:val="15"/>
          <w:szCs w:val="15"/>
          <w:color w:val="auto"/>
        </w:rPr>
        <w:t>Provide for the forfeiture of equity awards upon certain restrictive covenant breaches and other actions constituting cause for termination</w:t>
      </w:r>
    </w:p>
    <w:p>
      <w:pPr>
        <w:spacing w:after="0" w:line="56" w:lineRule="exact"/>
        <w:rPr>
          <w:rFonts w:ascii="Times New Roman" w:cs="Times New Roman" w:eastAsia="Times New Roman" w:hAnsi="Times New Roman"/>
          <w:sz w:val="23"/>
          <w:szCs w:val="23"/>
          <w:color w:val="0A9E50"/>
          <w:vertAlign w:val="superscript"/>
        </w:rPr>
      </w:pPr>
    </w:p>
    <w:p>
      <w:pPr>
        <w:ind w:left="190" w:right="80" w:hanging="190"/>
        <w:spacing w:after="0" w:line="217" w:lineRule="auto"/>
        <w:tabs>
          <w:tab w:leader="none" w:pos="190" w:val="left"/>
        </w:tabs>
        <w:numPr>
          <w:ilvl w:val="0"/>
          <w:numId w:val="10"/>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Maintain an insider trading policy that requires directors, senior officers, and other designated officers of the Company to contact our General Counsel and Corporate Secretary prior to sales or purchases of common stock</w:t>
      </w:r>
    </w:p>
    <w:p>
      <w:pPr>
        <w:spacing w:after="0" w:line="57" w:lineRule="exact"/>
        <w:rPr>
          <w:rFonts w:ascii="Times New Roman" w:cs="Times New Roman" w:eastAsia="Times New Roman" w:hAnsi="Times New Roman"/>
          <w:sz w:val="24"/>
          <w:szCs w:val="24"/>
          <w:color w:val="0A9E50"/>
          <w:vertAlign w:val="superscript"/>
        </w:rPr>
      </w:pPr>
    </w:p>
    <w:p>
      <w:pPr>
        <w:jc w:val="both"/>
        <w:ind w:left="190" w:right="220" w:hanging="190"/>
        <w:spacing w:after="0" w:line="212" w:lineRule="auto"/>
        <w:tabs>
          <w:tab w:leader="none" w:pos="190" w:val="left"/>
        </w:tabs>
        <w:numPr>
          <w:ilvl w:val="0"/>
          <w:numId w:val="10"/>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Maintain a double trigger for the accelerated vesting provisions under the Equity Incentive Plan (“EIP”) and the Senior Executive Severance Plan</w:t>
      </w:r>
    </w:p>
    <w:p>
      <w:pPr>
        <w:spacing w:after="0" w:line="55" w:lineRule="exact"/>
        <w:rPr>
          <w:rFonts w:ascii="Times New Roman" w:cs="Times New Roman" w:eastAsia="Times New Roman" w:hAnsi="Times New Roman"/>
          <w:sz w:val="24"/>
          <w:szCs w:val="24"/>
          <w:color w:val="0A9E50"/>
          <w:vertAlign w:val="superscript"/>
        </w:rPr>
      </w:pPr>
    </w:p>
    <w:p>
      <w:pPr>
        <w:ind w:left="190" w:right="400" w:hanging="190"/>
        <w:spacing w:after="0" w:line="202" w:lineRule="auto"/>
        <w:tabs>
          <w:tab w:leader="none" w:pos="190" w:val="left"/>
        </w:tabs>
        <w:numPr>
          <w:ilvl w:val="0"/>
          <w:numId w:val="10"/>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Condition severance benefits for senior officers on compliance with restrictive covenants</w:t>
      </w:r>
    </w:p>
    <w:p>
      <w:pPr>
        <w:spacing w:after="0" w:line="200" w:lineRule="exact"/>
        <w:rPr>
          <w:rFonts w:ascii="Times New Roman" w:cs="Times New Roman" w:eastAsia="Times New Roman" w:hAnsi="Times New Roman"/>
          <w:sz w:val="24"/>
          <w:szCs w:val="24"/>
          <w:color w:val="0A9E50"/>
          <w:vertAlign w:val="superscript"/>
        </w:rPr>
      </w:pPr>
    </w:p>
    <w:p>
      <w:pPr>
        <w:spacing w:after="0" w:line="200" w:lineRule="exact"/>
        <w:rPr>
          <w:rFonts w:ascii="Times New Roman" w:cs="Times New Roman" w:eastAsia="Times New Roman" w:hAnsi="Times New Roman"/>
          <w:sz w:val="24"/>
          <w:szCs w:val="24"/>
          <w:color w:val="0A9E50"/>
          <w:vertAlign w:val="superscript"/>
        </w:rPr>
      </w:pPr>
    </w:p>
    <w:p>
      <w:pPr>
        <w:spacing w:after="0" w:line="200" w:lineRule="exact"/>
        <w:rPr>
          <w:rFonts w:ascii="Times New Roman" w:cs="Times New Roman" w:eastAsia="Times New Roman" w:hAnsi="Times New Roman"/>
          <w:sz w:val="24"/>
          <w:szCs w:val="24"/>
          <w:color w:val="0A9E50"/>
          <w:vertAlign w:val="superscript"/>
        </w:rPr>
      </w:pPr>
    </w:p>
    <w:p>
      <w:pPr>
        <w:spacing w:after="0" w:line="200" w:lineRule="exact"/>
        <w:rPr>
          <w:rFonts w:ascii="Times New Roman" w:cs="Times New Roman" w:eastAsia="Times New Roman" w:hAnsi="Times New Roman"/>
          <w:sz w:val="24"/>
          <w:szCs w:val="24"/>
          <w:color w:val="0A9E50"/>
          <w:vertAlign w:val="superscript"/>
        </w:rPr>
      </w:pPr>
    </w:p>
    <w:p>
      <w:pPr>
        <w:spacing w:after="0" w:line="264" w:lineRule="exact"/>
        <w:rPr>
          <w:rFonts w:ascii="Times New Roman" w:cs="Times New Roman" w:eastAsia="Times New Roman" w:hAnsi="Times New Roman"/>
          <w:sz w:val="24"/>
          <w:szCs w:val="24"/>
          <w:color w:val="0A9E50"/>
          <w:vertAlign w:val="superscript"/>
        </w:rPr>
      </w:pPr>
    </w:p>
    <w:p>
      <w:pPr>
        <w:ind w:left="190" w:hanging="190"/>
        <w:spacing w:after="0"/>
        <w:tabs>
          <w:tab w:leader="none" w:pos="190" w:val="left"/>
        </w:tabs>
        <w:numPr>
          <w:ilvl w:val="0"/>
          <w:numId w:val="10"/>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Pay dividends on performance share awards</w:t>
      </w:r>
    </w:p>
    <w:p>
      <w:pPr>
        <w:spacing w:after="0" w:line="68" w:lineRule="exact"/>
        <w:rPr>
          <w:rFonts w:ascii="Times New Roman" w:cs="Times New Roman" w:eastAsia="Times New Roman" w:hAnsi="Times New Roman"/>
          <w:sz w:val="24"/>
          <w:szCs w:val="24"/>
          <w:color w:val="0A9E50"/>
          <w:vertAlign w:val="superscript"/>
        </w:rPr>
      </w:pPr>
    </w:p>
    <w:p>
      <w:pPr>
        <w:ind w:left="190" w:right="180" w:hanging="190"/>
        <w:spacing w:after="0" w:line="194" w:lineRule="auto"/>
        <w:tabs>
          <w:tab w:leader="none" w:pos="190" w:val="left"/>
        </w:tabs>
        <w:numPr>
          <w:ilvl w:val="0"/>
          <w:numId w:val="10"/>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Provide tax reimbursements for perquisites or tax gross-ups for excise taxes incurred upon change-in-control</w:t>
      </w:r>
    </w:p>
    <w:p>
      <w:pPr>
        <w:spacing w:after="0" w:line="56" w:lineRule="exact"/>
        <w:rPr>
          <w:rFonts w:ascii="Times New Roman" w:cs="Times New Roman" w:eastAsia="Times New Roman" w:hAnsi="Times New Roman"/>
          <w:sz w:val="24"/>
          <w:szCs w:val="24"/>
          <w:color w:val="0A9E50"/>
          <w:vertAlign w:val="superscript"/>
        </w:rPr>
      </w:pPr>
    </w:p>
    <w:p>
      <w:pPr>
        <w:jc w:val="both"/>
        <w:ind w:left="190" w:right="420" w:hanging="190"/>
        <w:spacing w:after="0" w:line="212" w:lineRule="auto"/>
        <w:tabs>
          <w:tab w:leader="none" w:pos="190" w:val="left"/>
        </w:tabs>
        <w:numPr>
          <w:ilvl w:val="0"/>
          <w:numId w:val="10"/>
        </w:numPr>
        <w:rPr>
          <w:rFonts w:ascii="Times New Roman" w:cs="Times New Roman" w:eastAsia="Times New Roman" w:hAnsi="Times New Roman"/>
          <w:sz w:val="23"/>
          <w:szCs w:val="23"/>
          <w:color w:val="0A9E50"/>
          <w:vertAlign w:val="superscript"/>
        </w:rPr>
      </w:pPr>
      <w:r>
        <w:rPr>
          <w:rFonts w:ascii="Arial" w:cs="Arial" w:eastAsia="Arial" w:hAnsi="Arial"/>
          <w:sz w:val="15"/>
          <w:szCs w:val="15"/>
          <w:color w:val="auto"/>
        </w:rPr>
        <w:t>Grant incentive awards to senior officers that are not subject to the Company’s Incentive Compensation Recovery (“Clawback”) Policy</w:t>
      </w:r>
    </w:p>
    <w:p>
      <w:pPr>
        <w:spacing w:after="0" w:line="56" w:lineRule="exact"/>
        <w:rPr>
          <w:rFonts w:ascii="Times New Roman" w:cs="Times New Roman" w:eastAsia="Times New Roman" w:hAnsi="Times New Roman"/>
          <w:sz w:val="23"/>
          <w:szCs w:val="23"/>
          <w:color w:val="0A9E50"/>
          <w:vertAlign w:val="superscript"/>
        </w:rPr>
      </w:pPr>
    </w:p>
    <w:p>
      <w:pPr>
        <w:ind w:left="190" w:right="60" w:hanging="190"/>
        <w:spacing w:after="0" w:line="202" w:lineRule="auto"/>
        <w:tabs>
          <w:tab w:leader="none" w:pos="190" w:val="left"/>
        </w:tabs>
        <w:numPr>
          <w:ilvl w:val="0"/>
          <w:numId w:val="10"/>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Accrue additional retirement benefits under any supplemental executive retirement plans (“SERPs”)</w:t>
      </w:r>
    </w:p>
    <w:p>
      <w:pPr>
        <w:ind w:left="190" w:hanging="190"/>
        <w:spacing w:after="0" w:line="226" w:lineRule="auto"/>
        <w:tabs>
          <w:tab w:leader="none" w:pos="190" w:val="left"/>
        </w:tabs>
        <w:numPr>
          <w:ilvl w:val="0"/>
          <w:numId w:val="10"/>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Provide excessive perquisites</w:t>
      </w:r>
    </w:p>
    <w:p>
      <w:pPr>
        <w:spacing w:after="0" w:line="109" w:lineRule="exact"/>
        <w:rPr>
          <w:rFonts w:ascii="Times New Roman" w:cs="Times New Roman" w:eastAsia="Times New Roman" w:hAnsi="Times New Roman"/>
          <w:sz w:val="24"/>
          <w:szCs w:val="24"/>
          <w:color w:val="0A9E50"/>
          <w:vertAlign w:val="superscript"/>
        </w:rPr>
      </w:pPr>
    </w:p>
    <w:p>
      <w:pPr>
        <w:ind w:left="3650" w:hanging="281"/>
        <w:spacing w:after="0"/>
        <w:tabs>
          <w:tab w:leader="none" w:pos="3650" w:val="left"/>
        </w:tabs>
        <w:numPr>
          <w:ilvl w:val="1"/>
          <w:numId w:val="10"/>
        </w:numPr>
        <w:rPr>
          <w:rFonts w:ascii="Arial" w:cs="Arial" w:eastAsia="Arial" w:hAnsi="Arial"/>
          <w:sz w:val="20"/>
          <w:szCs w:val="20"/>
          <w:color w:val="auto"/>
          <w:vertAlign w:val="subscript"/>
        </w:rPr>
      </w:pPr>
      <w:r>
        <w:rPr>
          <w:sz w:val="1"/>
          <w:szCs w:val="1"/>
          <w:color w:val="auto"/>
        </w:rPr>
        <w:drawing>
          <wp:inline distT="0" distB="0" distL="0" distR="0">
            <wp:extent cx="396240" cy="18986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0"/>
          <w:szCs w:val="20"/>
          <w:color w:val="auto"/>
          <w:vertAlign w:val="subscript"/>
        </w:rPr>
        <w:t xml:space="preserve">    </w:t>
      </w:r>
      <w:r>
        <w:rPr>
          <w:rFonts w:ascii="Arial" w:cs="Arial" w:eastAsia="Arial" w:hAnsi="Arial"/>
          <w:sz w:val="20"/>
          <w:szCs w:val="20"/>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-111125</wp:posOffset>
            </wp:positionV>
            <wp:extent cx="8255" cy="222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222885"/>
                    </a:xfrm>
                    <a:prstGeom prst="rect">
                      <a:avLst/>
                    </a:prstGeom>
                    <a:noFill/>
                  </pic:spPr>
                </pic:pic>
              </a:graphicData>
            </a:graphic>
          </wp:anchor>
        </w:drawing>
        <w:drawing>
          <wp:anchor simplePos="0" relativeHeight="251657728" behindDoc="1" locked="0" layoutInCell="0" allowOverlap="1">
            <wp:simplePos x="0" y="0"/>
            <wp:positionH relativeFrom="column">
              <wp:posOffset>-3437255</wp:posOffset>
            </wp:positionH>
            <wp:positionV relativeFrom="paragraph">
              <wp:posOffset>-1787525</wp:posOffset>
            </wp:positionV>
            <wp:extent cx="6773545" cy="288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73545" cy="288925"/>
                    </a:xfrm>
                    <a:prstGeom prst="rect">
                      <a:avLst/>
                    </a:prstGeom>
                    <a:noFill/>
                  </pic:spPr>
                </pic:pic>
              </a:graphicData>
            </a:graphic>
          </wp:anchor>
        </w:drawing>
      </w:r>
    </w:p>
    <w:p>
      <w:pPr>
        <w:sectPr>
          <w:pgSz w:w="11900" w:h="16838" w:orient="portrait"/>
          <w:cols w:equalWidth="0" w:num="2">
            <w:col w:w="5380" w:space="350"/>
            <w:col w:w="5210"/>
          </w:cols>
          <w:pgMar w:left="320" w:top="471" w:right="6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Proposal 1 – Election of Directors</w:t>
      </w:r>
    </w:p>
    <w:p>
      <w:pPr>
        <w:spacing w:after="0" w:line="336" w:lineRule="exact"/>
        <w:rPr>
          <w:sz w:val="20"/>
          <w:szCs w:val="20"/>
          <w:color w:val="auto"/>
        </w:rPr>
      </w:pPr>
    </w:p>
    <w:p>
      <w:pPr>
        <w:ind w:left="320" w:right="100"/>
        <w:spacing w:after="0" w:line="251" w:lineRule="auto"/>
        <w:rPr>
          <w:sz w:val="20"/>
          <w:szCs w:val="20"/>
          <w:color w:val="auto"/>
        </w:rPr>
      </w:pPr>
      <w:r>
        <w:rPr>
          <w:rFonts w:ascii="Arial" w:cs="Arial" w:eastAsia="Arial" w:hAnsi="Arial"/>
          <w:sz w:val="16"/>
          <w:szCs w:val="16"/>
          <w:color w:val="auto"/>
        </w:rPr>
        <w:t>The Board of Directors nominated nine individuals for election as directors at the Annual Meeting, each to serve for one year and until his or her successor is elected and qualified. Each of our director nominees currently serves on the Board and was elected to a one-year term at the 2023 Annual Meeting of Shareholders.</w:t>
      </w:r>
    </w:p>
    <w:p>
      <w:pPr>
        <w:spacing w:after="0" w:line="47" w:lineRule="exact"/>
        <w:rPr>
          <w:sz w:val="20"/>
          <w:szCs w:val="20"/>
          <w:color w:val="auto"/>
        </w:rPr>
      </w:pPr>
    </w:p>
    <w:p>
      <w:pPr>
        <w:ind w:left="320" w:right="40"/>
        <w:spacing w:after="0" w:line="251" w:lineRule="auto"/>
        <w:rPr>
          <w:sz w:val="20"/>
          <w:szCs w:val="20"/>
          <w:color w:val="auto"/>
        </w:rPr>
      </w:pPr>
      <w:r>
        <w:rPr>
          <w:rFonts w:ascii="Arial" w:cs="Arial" w:eastAsia="Arial" w:hAnsi="Arial"/>
          <w:sz w:val="16"/>
          <w:szCs w:val="16"/>
          <w:color w:val="auto"/>
        </w:rPr>
        <w:t>Directors will be elected by a plurality of the votes cast by holders of Class B Common Stock who are present in person, or represented by proxy, and entitled to vote at the Annual Meeting. Our controlling shareholder, the Terrence E. Adderley Revocable Trust K (“Trust K”), has indicated its support and intention to vote for each of the director nominees.</w:t>
      </w:r>
    </w:p>
    <w:p>
      <w:pPr>
        <w:spacing w:after="0" w:line="34" w:lineRule="exact"/>
        <w:rPr>
          <w:sz w:val="20"/>
          <w:szCs w:val="20"/>
          <w:color w:val="auto"/>
        </w:rPr>
      </w:pPr>
    </w:p>
    <w:p>
      <w:pPr>
        <w:ind w:left="320" w:right="400"/>
        <w:spacing w:after="0" w:line="265" w:lineRule="auto"/>
        <w:rPr>
          <w:sz w:val="20"/>
          <w:szCs w:val="20"/>
          <w:color w:val="auto"/>
        </w:rPr>
      </w:pPr>
      <w:r>
        <w:rPr>
          <w:rFonts w:ascii="Arial" w:cs="Arial" w:eastAsia="Arial" w:hAnsi="Arial"/>
          <w:sz w:val="16"/>
          <w:szCs w:val="16"/>
          <w:color w:val="auto"/>
        </w:rPr>
        <w:t>We do not contemplate that any of the nominees will be unavailable to serve at the time of the Annual Meeting. In that event, however, the persons named in the enclosed form of proxy may vote for the election of a substitute selected by the Board or the Board may reduce its size.</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Director Independence</w:t>
      </w:r>
    </w:p>
    <w:p>
      <w:pPr>
        <w:spacing w:after="0" w:line="72" w:lineRule="exact"/>
        <w:rPr>
          <w:sz w:val="20"/>
          <w:szCs w:val="20"/>
          <w:color w:val="auto"/>
        </w:rPr>
      </w:pPr>
    </w:p>
    <w:p>
      <w:pPr>
        <w:ind w:left="320"/>
        <w:spacing w:after="0" w:line="244" w:lineRule="auto"/>
        <w:rPr>
          <w:sz w:val="20"/>
          <w:szCs w:val="20"/>
          <w:color w:val="auto"/>
        </w:rPr>
      </w:pPr>
      <w:r>
        <w:rPr>
          <w:rFonts w:ascii="Arial" w:cs="Arial" w:eastAsia="Arial" w:hAnsi="Arial"/>
          <w:sz w:val="16"/>
          <w:szCs w:val="16"/>
          <w:color w:val="auto"/>
        </w:rPr>
        <w:t>The Board’s Corporate Governance Principles include guidelines for director independence that conform to the listing standards of the Nasdaq Global Market (“Nasdaq”) on which the Company’s common stock is listed and provide that a majority of the Board be comprised of independent directors. Annually, Kelly’s Corporate Governance and Nominating Committee evaluates and makes recommendations to the Board concerning the independence of each director and director nominee, evaluating any relationship with the Company or its competitors, suppliers, customers, service providers, or others that might be construed as an actual or potential conflict of interest.</w:t>
      </w:r>
    </w:p>
    <w:p>
      <w:pPr>
        <w:spacing w:after="0" w:line="53" w:lineRule="exact"/>
        <w:rPr>
          <w:sz w:val="20"/>
          <w:szCs w:val="20"/>
          <w:color w:val="auto"/>
        </w:rPr>
      </w:pPr>
    </w:p>
    <w:p>
      <w:pPr>
        <w:ind w:left="320" w:right="420"/>
        <w:spacing w:after="0" w:line="337" w:lineRule="auto"/>
        <w:rPr>
          <w:sz w:val="20"/>
          <w:szCs w:val="20"/>
          <w:color w:val="auto"/>
        </w:rPr>
      </w:pPr>
      <w:r>
        <w:rPr>
          <w:rFonts w:ascii="Arial" w:cs="Arial" w:eastAsia="Arial" w:hAnsi="Arial"/>
          <w:sz w:val="14"/>
          <w:szCs w:val="14"/>
          <w:color w:val="auto"/>
        </w:rPr>
        <w:t>On February 14, 2024, our Board affirmatively determined that directors Gerald S. Adolph, George S. Corona, Robert S. Cubbin, Amala Duggirala, InaMarie F. Johnson, Terrence B. Larkin, Leslie A. Murphy, and Donald R. Parfet, representing a majority of the Board, are independent.</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Board Nominees</w:t>
      </w:r>
    </w:p>
    <w:p>
      <w:pPr>
        <w:spacing w:after="0" w:line="72" w:lineRule="exact"/>
        <w:rPr>
          <w:sz w:val="20"/>
          <w:szCs w:val="20"/>
          <w:color w:val="auto"/>
        </w:rPr>
      </w:pPr>
    </w:p>
    <w:p>
      <w:pPr>
        <w:jc w:val="both"/>
        <w:ind w:left="320" w:right="260"/>
        <w:spacing w:after="0" w:line="251" w:lineRule="auto"/>
        <w:rPr>
          <w:sz w:val="20"/>
          <w:szCs w:val="20"/>
          <w:color w:val="auto"/>
        </w:rPr>
      </w:pPr>
      <w:r>
        <w:rPr>
          <w:rFonts w:ascii="Arial" w:cs="Arial" w:eastAsia="Arial" w:hAnsi="Arial"/>
          <w:sz w:val="16"/>
          <w:szCs w:val="16"/>
          <w:color w:val="auto"/>
        </w:rPr>
        <w:t>Each of our director nominees has been recommended for election by our Corporate Governance and Nominating Committee and nominated by our Board. They are seasoned leaders with an array of diverse leadership experience in public and private companies, nonprofit organizations, and other businesses. They represent diverse backgrounds, experiences, skills, personal attributes, and viewpoints.</w:t>
      </w:r>
    </w:p>
    <w:p>
      <w:pPr>
        <w:spacing w:after="0" w:line="34" w:lineRule="exact"/>
        <w:rPr>
          <w:sz w:val="20"/>
          <w:szCs w:val="20"/>
          <w:color w:val="auto"/>
        </w:rPr>
      </w:pPr>
    </w:p>
    <w:p>
      <w:pPr>
        <w:ind w:left="320" w:right="280"/>
        <w:spacing w:after="0" w:line="251" w:lineRule="auto"/>
        <w:rPr>
          <w:sz w:val="20"/>
          <w:szCs w:val="20"/>
          <w:color w:val="auto"/>
        </w:rPr>
      </w:pPr>
      <w:r>
        <w:rPr>
          <w:rFonts w:ascii="Arial" w:cs="Arial" w:eastAsia="Arial" w:hAnsi="Arial"/>
          <w:sz w:val="16"/>
          <w:szCs w:val="16"/>
          <w:color w:val="auto"/>
        </w:rPr>
        <w:t>The Board believes that this diversity strengthens the Board’s ability to carry out its oversight role on behalf of shareholders and is proud of the Company’s long history of having at least three directors who are women on the Board for the past 15 years. While we do not have a formal diversity policy, the Board will continue to build upon its diversity in connection with future Board membership.</w:t>
      </w:r>
    </w:p>
    <w:p>
      <w:pPr>
        <w:spacing w:after="0" w:line="47" w:lineRule="exact"/>
        <w:rPr>
          <w:sz w:val="20"/>
          <w:szCs w:val="20"/>
          <w:color w:val="auto"/>
        </w:rPr>
      </w:pPr>
    </w:p>
    <w:p>
      <w:pPr>
        <w:ind w:left="320" w:right="20"/>
        <w:spacing w:after="0" w:line="244" w:lineRule="auto"/>
        <w:rPr>
          <w:sz w:val="20"/>
          <w:szCs w:val="20"/>
          <w:color w:val="auto"/>
        </w:rPr>
      </w:pPr>
      <w:r>
        <w:rPr>
          <w:rFonts w:ascii="Arial" w:cs="Arial" w:eastAsia="Arial" w:hAnsi="Arial"/>
          <w:sz w:val="16"/>
          <w:szCs w:val="16"/>
          <w:color w:val="auto"/>
        </w:rPr>
        <w:t>For each of the nine director nominees standing for election, the following pages set forth certain biographical information, including a description of their principal occupation, business experience, and the primary qualifications, experience, skills, and attributes that the Corporate Governance and Nominating Committee considered in recommending them as director nominees, as well as the Board committees on which each director nominee will serve as of the 2024 Annual Meeting. The charts on diversity, independence, age, tenure, skills, experience, and attributes assume that all director nominees are elected as directors at the Annual Meeting. Age and tenure for each director nominee is effective as of April 15, 2024.</w:t>
      </w:r>
    </w:p>
    <w:p>
      <w:pPr>
        <w:spacing w:after="0" w:line="274"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Board Composition</w:t>
      </w:r>
    </w:p>
    <w:p>
      <w:pPr>
        <w:spacing w:after="0" w:line="72" w:lineRule="exact"/>
        <w:rPr>
          <w:sz w:val="20"/>
          <w:szCs w:val="20"/>
          <w:color w:val="auto"/>
        </w:rPr>
      </w:pPr>
    </w:p>
    <w:p>
      <w:pPr>
        <w:ind w:left="320" w:right="60"/>
        <w:spacing w:after="0" w:line="241" w:lineRule="auto"/>
        <w:rPr>
          <w:sz w:val="20"/>
          <w:szCs w:val="20"/>
          <w:color w:val="auto"/>
        </w:rPr>
      </w:pPr>
      <w:r>
        <w:rPr>
          <w:rFonts w:ascii="Arial" w:cs="Arial" w:eastAsia="Arial" w:hAnsi="Arial"/>
          <w:sz w:val="16"/>
          <w:szCs w:val="16"/>
          <w:color w:val="auto"/>
        </w:rPr>
        <w:t>The Corporate Governance and Nominating Committee is responsible for identifying and recommending to the Board qualified candidates for Board membership as well as assessing the experience and skills of the Company’s current directors. The Committee regularly reviews the mix of individual qualifications, experience, skills, and attributes of incumbent directors to assess overall Board composition and define Board succession goals. This includes identifying areas of opportunity, specifically concerning the need to refresh the Board with new members with expertise and experience that would enhance the overall strength of the current Board and the ability of the Company to execute its long-term strategic plan. Ongoing strategic Board succession planning ensures that the Board continues to maintain an appropriate mix of objectivity, skills, and experiences to provide fresh perspectives and effective oversight and guidance to management while leveraging the institutional knowledge and historical perspective of our longer-tenured directors. The Committee’s goal is to build an</w:t>
      </w:r>
    </w:p>
    <w:p>
      <w:pPr>
        <w:spacing w:after="0" w:line="59"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14 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840"/>
          </w:cols>
          <w:pgMar w:left="320" w:top="471" w:right="7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8920"/>
        <w:spacing w:after="0"/>
        <w:rPr>
          <w:sz w:val="20"/>
          <w:szCs w:val="20"/>
          <w:color w:val="auto"/>
        </w:rPr>
      </w:pPr>
      <w:r>
        <w:rPr>
          <w:rFonts w:ascii="Arial" w:cs="Arial" w:eastAsia="Arial" w:hAnsi="Arial"/>
          <w:sz w:val="13"/>
          <w:szCs w:val="13"/>
          <w:b w:val="1"/>
          <w:bCs w:val="1"/>
          <w:color w:val="auto"/>
        </w:rPr>
        <w:t>Proposal 1: Election of Directors</w:t>
      </w:r>
    </w:p>
    <w:p>
      <w:pPr>
        <w:spacing w:after="0" w:line="137" w:lineRule="exact"/>
        <w:rPr>
          <w:sz w:val="20"/>
          <w:szCs w:val="20"/>
          <w:color w:val="auto"/>
        </w:rPr>
      </w:pPr>
    </w:p>
    <w:p>
      <w:pPr>
        <w:ind w:left="320" w:right="60"/>
        <w:spacing w:after="0" w:line="265" w:lineRule="auto"/>
        <w:rPr>
          <w:sz w:val="20"/>
          <w:szCs w:val="20"/>
          <w:color w:val="auto"/>
        </w:rPr>
      </w:pPr>
      <w:r>
        <w:rPr>
          <w:rFonts w:ascii="Arial" w:cs="Arial" w:eastAsia="Arial" w:hAnsi="Arial"/>
          <w:sz w:val="16"/>
          <w:szCs w:val="16"/>
          <w:color w:val="auto"/>
        </w:rPr>
        <w:t>effective and well-functioning Board with diverse perspectives and viewpoints that is responsive to the current and anticipated needs of the Company and the long-term interests of shareholders.</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Committee considers the following core qualifications for Board composition that are critical to the success of our business:</w:t>
      </w:r>
    </w:p>
    <w:p>
      <w:pPr>
        <w:spacing w:after="0" w:line="5" w:lineRule="exact"/>
        <w:rPr>
          <w:sz w:val="20"/>
          <w:szCs w:val="20"/>
          <w:color w:val="auto"/>
        </w:rPr>
      </w:pPr>
    </w:p>
    <w:p>
      <w:pPr>
        <w:ind w:left="520" w:hanging="204"/>
        <w:spacing w:after="0"/>
        <w:tabs>
          <w:tab w:leader="none" w:pos="520" w:val="left"/>
        </w:tabs>
        <w:numPr>
          <w:ilvl w:val="0"/>
          <w:numId w:val="1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demonstrated leadership skills and understanding of the complexities of business organizations;</w:t>
      </w:r>
    </w:p>
    <w:p>
      <w:pPr>
        <w:spacing w:after="0" w:line="68" w:lineRule="exact"/>
        <w:rPr>
          <w:rFonts w:ascii="Times New Roman" w:cs="Times New Roman" w:eastAsia="Times New Roman" w:hAnsi="Times New Roman"/>
          <w:sz w:val="24"/>
          <w:szCs w:val="24"/>
          <w:color w:val="0A9E50"/>
          <w:vertAlign w:val="superscript"/>
        </w:rPr>
      </w:pPr>
    </w:p>
    <w:p>
      <w:pPr>
        <w:ind w:left="520" w:hanging="204"/>
        <w:spacing w:after="0" w:line="181" w:lineRule="auto"/>
        <w:tabs>
          <w:tab w:leader="none" w:pos="520" w:val="left"/>
        </w:tabs>
        <w:numPr>
          <w:ilvl w:val="0"/>
          <w:numId w:val="11"/>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the highest personal and professional ethics, integrity, and values;</w:t>
      </w:r>
    </w:p>
    <w:p>
      <w:pPr>
        <w:spacing w:after="0" w:line="69" w:lineRule="exact"/>
        <w:rPr>
          <w:rFonts w:ascii="Times New Roman" w:cs="Times New Roman" w:eastAsia="Times New Roman" w:hAnsi="Times New Roman"/>
          <w:sz w:val="22"/>
          <w:szCs w:val="22"/>
          <w:color w:val="0A9E50"/>
          <w:vertAlign w:val="superscript"/>
        </w:rPr>
      </w:pPr>
    </w:p>
    <w:p>
      <w:pPr>
        <w:ind w:left="520" w:hanging="204"/>
        <w:spacing w:after="0" w:line="181" w:lineRule="auto"/>
        <w:tabs>
          <w:tab w:leader="none" w:pos="520" w:val="left"/>
        </w:tabs>
        <w:numPr>
          <w:ilvl w:val="0"/>
          <w:numId w:val="11"/>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objectivity and independence of thought and leadership;</w:t>
      </w:r>
    </w:p>
    <w:p>
      <w:pPr>
        <w:spacing w:after="0" w:line="69" w:lineRule="exact"/>
        <w:rPr>
          <w:rFonts w:ascii="Times New Roman" w:cs="Times New Roman" w:eastAsia="Times New Roman" w:hAnsi="Times New Roman"/>
          <w:sz w:val="22"/>
          <w:szCs w:val="22"/>
          <w:color w:val="0A9E50"/>
          <w:vertAlign w:val="superscript"/>
        </w:rPr>
      </w:pPr>
    </w:p>
    <w:p>
      <w:pPr>
        <w:ind w:left="520" w:hanging="204"/>
        <w:spacing w:after="0" w:line="181" w:lineRule="auto"/>
        <w:tabs>
          <w:tab w:leader="none" w:pos="520" w:val="left"/>
        </w:tabs>
        <w:numPr>
          <w:ilvl w:val="0"/>
          <w:numId w:val="11"/>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strength of character and sound judgment;</w:t>
      </w:r>
    </w:p>
    <w:p>
      <w:pPr>
        <w:spacing w:after="0" w:line="69" w:lineRule="exact"/>
        <w:rPr>
          <w:rFonts w:ascii="Times New Roman" w:cs="Times New Roman" w:eastAsia="Times New Roman" w:hAnsi="Times New Roman"/>
          <w:sz w:val="22"/>
          <w:szCs w:val="22"/>
          <w:color w:val="0A9E50"/>
          <w:vertAlign w:val="superscript"/>
        </w:rPr>
      </w:pPr>
    </w:p>
    <w:p>
      <w:pPr>
        <w:ind w:left="520" w:hanging="204"/>
        <w:spacing w:after="0" w:line="181" w:lineRule="auto"/>
        <w:tabs>
          <w:tab w:leader="none" w:pos="520" w:val="left"/>
        </w:tabs>
        <w:numPr>
          <w:ilvl w:val="0"/>
          <w:numId w:val="11"/>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strong interpersonal and communication skills; and</w:t>
      </w:r>
    </w:p>
    <w:p>
      <w:pPr>
        <w:spacing w:after="0" w:line="69" w:lineRule="exact"/>
        <w:rPr>
          <w:rFonts w:ascii="Times New Roman" w:cs="Times New Roman" w:eastAsia="Times New Roman" w:hAnsi="Times New Roman"/>
          <w:sz w:val="22"/>
          <w:szCs w:val="22"/>
          <w:color w:val="0A9E50"/>
          <w:vertAlign w:val="superscript"/>
        </w:rPr>
      </w:pPr>
    </w:p>
    <w:p>
      <w:pPr>
        <w:ind w:left="520" w:hanging="204"/>
        <w:spacing w:after="0" w:line="181" w:lineRule="auto"/>
        <w:tabs>
          <w:tab w:leader="none" w:pos="520" w:val="left"/>
        </w:tabs>
        <w:numPr>
          <w:ilvl w:val="0"/>
          <w:numId w:val="11"/>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highly accomplished in his or her respective field.</w:t>
      </w:r>
    </w:p>
    <w:p>
      <w:pPr>
        <w:spacing w:after="0" w:line="56" w:lineRule="exact"/>
        <w:rPr>
          <w:sz w:val="20"/>
          <w:szCs w:val="20"/>
          <w:color w:val="auto"/>
        </w:rPr>
      </w:pPr>
    </w:p>
    <w:p>
      <w:pPr>
        <w:ind w:left="320" w:right="300"/>
        <w:spacing w:after="0"/>
        <w:rPr>
          <w:sz w:val="20"/>
          <w:szCs w:val="20"/>
          <w:color w:val="auto"/>
        </w:rPr>
      </w:pPr>
      <w:r>
        <w:rPr>
          <w:rFonts w:ascii="Arial" w:cs="Arial" w:eastAsia="Arial" w:hAnsi="Arial"/>
          <w:sz w:val="16"/>
          <w:szCs w:val="16"/>
          <w:color w:val="auto"/>
        </w:rPr>
        <w:t>Director candidates must also have a willingness to devote sufficient time to discharge their duties, taking into consideration principal occupation, memberships on other boards, attendance at Board and committee meetings, and other responsibilities. In addition, director candidates must have an intention to serve an appropriate length of time to make a meaningful contribution to the Company and the Board. Each of our director nominees demonstrates the core qualifications listed here.</w:t>
      </w:r>
    </w:p>
    <w:p>
      <w:pPr>
        <w:spacing w:after="0" w:line="44" w:lineRule="exact"/>
        <w:rPr>
          <w:sz w:val="20"/>
          <w:szCs w:val="20"/>
          <w:color w:val="auto"/>
        </w:rPr>
      </w:pPr>
    </w:p>
    <w:p>
      <w:pPr>
        <w:ind w:left="320" w:right="160"/>
        <w:spacing w:after="0" w:line="246" w:lineRule="auto"/>
        <w:rPr>
          <w:sz w:val="20"/>
          <w:szCs w:val="20"/>
          <w:color w:val="auto"/>
        </w:rPr>
      </w:pPr>
      <w:r>
        <w:rPr>
          <w:rFonts w:ascii="Arial" w:cs="Arial" w:eastAsia="Arial" w:hAnsi="Arial"/>
          <w:sz w:val="16"/>
          <w:szCs w:val="16"/>
          <w:color w:val="auto"/>
        </w:rPr>
        <w:t>The Committee also considers specific criteria as provided below, that varies from time to time based on the Company’s current and future priorities and needs, and the balance of the candidate’s experiences, skills, and attributes with those of other members of the Board, as illustrated in our Board Composition Matrix on the next page. As the Company continues to drive profitable growth in its areas of specialization, the Committee considers the following experiences and skills:</w:t>
      </w:r>
    </w:p>
    <w:p>
      <w:pPr>
        <w:spacing w:after="0" w:line="52" w:lineRule="exact"/>
        <w:rPr>
          <w:sz w:val="20"/>
          <w:szCs w:val="20"/>
          <w:color w:val="auto"/>
        </w:rPr>
      </w:pPr>
    </w:p>
    <w:p>
      <w:pPr>
        <w:ind w:left="520" w:right="80" w:hanging="204"/>
        <w:spacing w:after="0" w:line="212" w:lineRule="auto"/>
        <w:tabs>
          <w:tab w:leader="none" w:pos="520" w:val="left"/>
        </w:tabs>
        <w:numPr>
          <w:ilvl w:val="0"/>
          <w:numId w:val="12"/>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Executive Leadership, </w:t>
      </w:r>
      <w:r>
        <w:rPr>
          <w:rFonts w:ascii="Arial" w:cs="Arial" w:eastAsia="Arial" w:hAnsi="Arial"/>
          <w:sz w:val="16"/>
          <w:szCs w:val="16"/>
          <w:color w:val="000000"/>
        </w:rPr>
        <w:t>experience as a Chairman of the Board, Chief Executive Officer, Chief Operating Officer, or substantially equivalent level</w:t>
      </w:r>
      <w:r>
        <w:rPr>
          <w:rFonts w:ascii="Arial" w:cs="Arial" w:eastAsia="Arial" w:hAnsi="Arial"/>
          <w:sz w:val="16"/>
          <w:szCs w:val="16"/>
          <w:color w:val="0A9E50"/>
        </w:rPr>
        <w:t xml:space="preserve"> </w:t>
      </w:r>
      <w:r>
        <w:rPr>
          <w:rFonts w:ascii="Arial" w:cs="Arial" w:eastAsia="Arial" w:hAnsi="Arial"/>
          <w:sz w:val="16"/>
          <w:szCs w:val="16"/>
          <w:color w:val="000000"/>
        </w:rPr>
        <w:t>executive officer of a complex organization such as a corporation, university, or major unit of government or a professional who regularly advises such organizations.</w:t>
      </w:r>
    </w:p>
    <w:p>
      <w:pPr>
        <w:spacing w:after="0" w:line="55" w:lineRule="exact"/>
        <w:rPr>
          <w:rFonts w:ascii="Times New Roman" w:cs="Times New Roman" w:eastAsia="Times New Roman" w:hAnsi="Times New Roman"/>
          <w:sz w:val="24"/>
          <w:szCs w:val="24"/>
          <w:color w:val="0A9E50"/>
          <w:vertAlign w:val="superscript"/>
        </w:rPr>
      </w:pPr>
    </w:p>
    <w:p>
      <w:pPr>
        <w:ind w:left="520" w:right="120" w:hanging="204"/>
        <w:spacing w:after="0" w:line="202" w:lineRule="auto"/>
        <w:tabs>
          <w:tab w:leader="none" w:pos="520" w:val="left"/>
        </w:tabs>
        <w:numPr>
          <w:ilvl w:val="0"/>
          <w:numId w:val="12"/>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Transformation, </w:t>
      </w:r>
      <w:r>
        <w:rPr>
          <w:rFonts w:ascii="Arial" w:cs="Arial" w:eastAsia="Arial" w:hAnsi="Arial"/>
          <w:sz w:val="16"/>
          <w:szCs w:val="16"/>
          <w:color w:val="000000"/>
        </w:rPr>
        <w:t>successful leadership of large-scale transformations, including cultural evolutions, restructuring, and enhancing organizational design</w:t>
      </w:r>
      <w:r>
        <w:rPr>
          <w:rFonts w:ascii="Arial" w:cs="Arial" w:eastAsia="Arial" w:hAnsi="Arial"/>
          <w:sz w:val="16"/>
          <w:szCs w:val="16"/>
          <w:color w:val="0A9E50"/>
        </w:rPr>
        <w:t xml:space="preserve"> </w:t>
      </w:r>
      <w:r>
        <w:rPr>
          <w:rFonts w:ascii="Arial" w:cs="Arial" w:eastAsia="Arial" w:hAnsi="Arial"/>
          <w:sz w:val="16"/>
          <w:szCs w:val="16"/>
          <w:color w:val="000000"/>
        </w:rPr>
        <w:t>to improve effectiveness, and drive profitable growth.</w:t>
      </w:r>
    </w:p>
    <w:p>
      <w:pPr>
        <w:ind w:left="520" w:hanging="204"/>
        <w:spacing w:after="0" w:line="226" w:lineRule="auto"/>
        <w:tabs>
          <w:tab w:leader="none" w:pos="520" w:val="left"/>
        </w:tabs>
        <w:numPr>
          <w:ilvl w:val="0"/>
          <w:numId w:val="12"/>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Innovation, </w:t>
      </w:r>
      <w:r>
        <w:rPr>
          <w:rFonts w:ascii="Arial" w:cs="Arial" w:eastAsia="Arial" w:hAnsi="Arial"/>
          <w:sz w:val="16"/>
          <w:szCs w:val="16"/>
          <w:color w:val="000000"/>
        </w:rPr>
        <w:t>proven experience turning new ideas and technologies into assets that transform businesses.</w:t>
      </w:r>
    </w:p>
    <w:p>
      <w:pPr>
        <w:spacing w:after="0" w:line="69" w:lineRule="exact"/>
        <w:rPr>
          <w:rFonts w:ascii="Times New Roman" w:cs="Times New Roman" w:eastAsia="Times New Roman" w:hAnsi="Times New Roman"/>
          <w:sz w:val="24"/>
          <w:szCs w:val="24"/>
          <w:color w:val="0A9E50"/>
          <w:vertAlign w:val="superscript"/>
        </w:rPr>
      </w:pPr>
    </w:p>
    <w:p>
      <w:pPr>
        <w:ind w:left="520" w:right="540" w:hanging="204"/>
        <w:spacing w:after="0" w:line="205" w:lineRule="auto"/>
        <w:tabs>
          <w:tab w:leader="none" w:pos="520" w:val="left"/>
        </w:tabs>
        <w:numPr>
          <w:ilvl w:val="0"/>
          <w:numId w:val="12"/>
        </w:numPr>
        <w:rPr>
          <w:rFonts w:ascii="Times New Roman" w:cs="Times New Roman" w:eastAsia="Times New Roman" w:hAnsi="Times New Roman"/>
          <w:sz w:val="23"/>
          <w:szCs w:val="23"/>
          <w:color w:val="0A9E50"/>
          <w:vertAlign w:val="superscript"/>
        </w:rPr>
      </w:pPr>
      <w:r>
        <w:rPr>
          <w:rFonts w:ascii="Arial" w:cs="Arial" w:eastAsia="Arial" w:hAnsi="Arial"/>
          <w:sz w:val="15"/>
          <w:szCs w:val="15"/>
          <w:color w:val="0A9E50"/>
        </w:rPr>
        <w:t xml:space="preserve">Industry, </w:t>
      </w:r>
      <w:r>
        <w:rPr>
          <w:rFonts w:ascii="Arial" w:cs="Arial" w:eastAsia="Arial" w:hAnsi="Arial"/>
          <w:sz w:val="15"/>
          <w:szCs w:val="15"/>
          <w:color w:val="000000"/>
        </w:rPr>
        <w:t>including experience in the staffing or business services industry, the Company’s specialty businesses, or experience in human capital</w:t>
      </w:r>
      <w:r>
        <w:rPr>
          <w:rFonts w:ascii="Arial" w:cs="Arial" w:eastAsia="Arial" w:hAnsi="Arial"/>
          <w:sz w:val="15"/>
          <w:szCs w:val="15"/>
          <w:color w:val="0A9E50"/>
        </w:rPr>
        <w:t xml:space="preserve"> </w:t>
      </w:r>
      <w:r>
        <w:rPr>
          <w:rFonts w:ascii="Arial" w:cs="Arial" w:eastAsia="Arial" w:hAnsi="Arial"/>
          <w:sz w:val="15"/>
          <w:szCs w:val="15"/>
          <w:color w:val="000000"/>
        </w:rPr>
        <w:t>management including talent/workforce solutions; diversity, equity, and inclusion; organizational behavior; and compensation and benefits.</w:t>
      </w:r>
    </w:p>
    <w:p>
      <w:pPr>
        <w:spacing w:after="0" w:line="55" w:lineRule="exact"/>
        <w:rPr>
          <w:rFonts w:ascii="Times New Roman" w:cs="Times New Roman" w:eastAsia="Times New Roman" w:hAnsi="Times New Roman"/>
          <w:sz w:val="23"/>
          <w:szCs w:val="23"/>
          <w:color w:val="0A9E50"/>
          <w:vertAlign w:val="superscript"/>
        </w:rPr>
      </w:pPr>
    </w:p>
    <w:p>
      <w:pPr>
        <w:ind w:left="520" w:right="200" w:hanging="204"/>
        <w:spacing w:after="0" w:line="202" w:lineRule="auto"/>
        <w:tabs>
          <w:tab w:leader="none" w:pos="520" w:val="left"/>
        </w:tabs>
        <w:numPr>
          <w:ilvl w:val="0"/>
          <w:numId w:val="12"/>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Technology, Digitization, and Cybersecurity, </w:t>
      </w:r>
      <w:r>
        <w:rPr>
          <w:rFonts w:ascii="Arial" w:cs="Arial" w:eastAsia="Arial" w:hAnsi="Arial"/>
          <w:sz w:val="16"/>
          <w:szCs w:val="16"/>
          <w:color w:val="000000"/>
        </w:rPr>
        <w:t>experience in the high-level planning and execution of business initiatives through the use of technology</w:t>
      </w:r>
      <w:r>
        <w:rPr>
          <w:rFonts w:ascii="Arial" w:cs="Arial" w:eastAsia="Arial" w:hAnsi="Arial"/>
          <w:sz w:val="16"/>
          <w:szCs w:val="16"/>
          <w:color w:val="0A9E50"/>
        </w:rPr>
        <w:t xml:space="preserve"> </w:t>
      </w:r>
      <w:r>
        <w:rPr>
          <w:rFonts w:ascii="Arial" w:cs="Arial" w:eastAsia="Arial" w:hAnsi="Arial"/>
          <w:sz w:val="16"/>
          <w:szCs w:val="16"/>
          <w:color w:val="000000"/>
        </w:rPr>
        <w:t>and digitization to build business efficiencies and competitive advantage.</w:t>
      </w:r>
    </w:p>
    <w:p>
      <w:pPr>
        <w:spacing w:after="0" w:line="55" w:lineRule="exact"/>
        <w:rPr>
          <w:rFonts w:ascii="Times New Roman" w:cs="Times New Roman" w:eastAsia="Times New Roman" w:hAnsi="Times New Roman"/>
          <w:sz w:val="24"/>
          <w:szCs w:val="24"/>
          <w:color w:val="0A9E50"/>
          <w:vertAlign w:val="superscript"/>
        </w:rPr>
      </w:pPr>
    </w:p>
    <w:p>
      <w:pPr>
        <w:ind w:left="520" w:right="140" w:hanging="204"/>
        <w:spacing w:after="0" w:line="202" w:lineRule="auto"/>
        <w:tabs>
          <w:tab w:leader="none" w:pos="520" w:val="left"/>
        </w:tabs>
        <w:numPr>
          <w:ilvl w:val="0"/>
          <w:numId w:val="12"/>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Financial Acumen, </w:t>
      </w:r>
      <w:r>
        <w:rPr>
          <w:rFonts w:ascii="Arial" w:cs="Arial" w:eastAsia="Arial" w:hAnsi="Arial"/>
          <w:sz w:val="16"/>
          <w:szCs w:val="16"/>
          <w:color w:val="000000"/>
        </w:rPr>
        <w:t>the ability to read and understand fundamental financial statements, including a company’s balance sheet, income statement, and</w:t>
      </w:r>
      <w:r>
        <w:rPr>
          <w:rFonts w:ascii="Arial" w:cs="Arial" w:eastAsia="Arial" w:hAnsi="Arial"/>
          <w:sz w:val="16"/>
          <w:szCs w:val="16"/>
          <w:color w:val="0A9E50"/>
        </w:rPr>
        <w:t xml:space="preserve"> </w:t>
      </w:r>
      <w:r>
        <w:rPr>
          <w:rFonts w:ascii="Arial" w:cs="Arial" w:eastAsia="Arial" w:hAnsi="Arial"/>
          <w:sz w:val="16"/>
          <w:szCs w:val="16"/>
          <w:color w:val="000000"/>
        </w:rPr>
        <w:t>cash flow statement.</w:t>
      </w:r>
    </w:p>
    <w:p>
      <w:pPr>
        <w:spacing w:after="0" w:line="55" w:lineRule="exact"/>
        <w:rPr>
          <w:rFonts w:ascii="Times New Roman" w:cs="Times New Roman" w:eastAsia="Times New Roman" w:hAnsi="Times New Roman"/>
          <w:sz w:val="24"/>
          <w:szCs w:val="24"/>
          <w:color w:val="0A9E50"/>
          <w:vertAlign w:val="superscript"/>
        </w:rPr>
      </w:pPr>
    </w:p>
    <w:p>
      <w:pPr>
        <w:ind w:left="520" w:right="200" w:hanging="204"/>
        <w:spacing w:after="0" w:line="212" w:lineRule="auto"/>
        <w:tabs>
          <w:tab w:leader="none" w:pos="520" w:val="left"/>
        </w:tabs>
        <w:numPr>
          <w:ilvl w:val="0"/>
          <w:numId w:val="12"/>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Financial Expert, </w:t>
      </w:r>
      <w:r>
        <w:rPr>
          <w:rFonts w:ascii="Arial" w:cs="Arial" w:eastAsia="Arial" w:hAnsi="Arial"/>
          <w:sz w:val="16"/>
          <w:szCs w:val="16"/>
          <w:color w:val="000000"/>
        </w:rPr>
        <w:t>including financial and/or accounting expertise, generally, and as necessary to fulfill the financial requirements of NASDAQ and the</w:t>
      </w:r>
      <w:r>
        <w:rPr>
          <w:rFonts w:ascii="Arial" w:cs="Arial" w:eastAsia="Arial" w:hAnsi="Arial"/>
          <w:sz w:val="16"/>
          <w:szCs w:val="16"/>
          <w:color w:val="0A9E50"/>
        </w:rPr>
        <w:t xml:space="preserve"> </w:t>
      </w:r>
      <w:r>
        <w:rPr>
          <w:rFonts w:ascii="Arial" w:cs="Arial" w:eastAsia="Arial" w:hAnsi="Arial"/>
          <w:sz w:val="16"/>
          <w:szCs w:val="16"/>
          <w:color w:val="000000"/>
        </w:rPr>
        <w:t>Securities and Exchange Commission (education and experience as CFO, finance/accounting executive, public accountant or auditor, or person performing similar functions).</w:t>
      </w:r>
    </w:p>
    <w:p>
      <w:pPr>
        <w:ind w:left="520" w:hanging="204"/>
        <w:spacing w:after="0" w:line="226" w:lineRule="auto"/>
        <w:tabs>
          <w:tab w:leader="none" w:pos="520" w:val="left"/>
        </w:tabs>
        <w:numPr>
          <w:ilvl w:val="0"/>
          <w:numId w:val="12"/>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Risk Management, </w:t>
      </w:r>
      <w:r>
        <w:rPr>
          <w:rFonts w:ascii="Arial" w:cs="Arial" w:eastAsia="Arial" w:hAnsi="Arial"/>
          <w:sz w:val="16"/>
          <w:szCs w:val="16"/>
          <w:color w:val="000000"/>
        </w:rPr>
        <w:t>experience identifying, evaluating, and managing corporate risk, ability to address and mitigate material risks.</w:t>
      </w:r>
    </w:p>
    <w:p>
      <w:pPr>
        <w:spacing w:after="0" w:line="69" w:lineRule="exact"/>
        <w:rPr>
          <w:rFonts w:ascii="Times New Roman" w:cs="Times New Roman" w:eastAsia="Times New Roman" w:hAnsi="Times New Roman"/>
          <w:sz w:val="24"/>
          <w:szCs w:val="24"/>
          <w:color w:val="0A9E50"/>
          <w:vertAlign w:val="superscript"/>
        </w:rPr>
      </w:pPr>
    </w:p>
    <w:p>
      <w:pPr>
        <w:ind w:left="520" w:right="100" w:hanging="204"/>
        <w:spacing w:after="0" w:line="194" w:lineRule="auto"/>
        <w:tabs>
          <w:tab w:leader="none" w:pos="520" w:val="left"/>
        </w:tabs>
        <w:numPr>
          <w:ilvl w:val="0"/>
          <w:numId w:val="12"/>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Legal or Corporate Governance, </w:t>
      </w:r>
      <w:r>
        <w:rPr>
          <w:rFonts w:ascii="Arial" w:cs="Arial" w:eastAsia="Arial" w:hAnsi="Arial"/>
          <w:sz w:val="16"/>
          <w:szCs w:val="16"/>
          <w:color w:val="000000"/>
        </w:rPr>
        <w:t>experience with legal issues impacting large organizations and governance and fiduciary matters that impact boards,</w:t>
      </w:r>
      <w:r>
        <w:rPr>
          <w:rFonts w:ascii="Arial" w:cs="Arial" w:eastAsia="Arial" w:hAnsi="Arial"/>
          <w:sz w:val="16"/>
          <w:szCs w:val="16"/>
          <w:color w:val="0A9E50"/>
        </w:rPr>
        <w:t xml:space="preserve"> </w:t>
      </w:r>
      <w:r>
        <w:rPr>
          <w:rFonts w:ascii="Arial" w:cs="Arial" w:eastAsia="Arial" w:hAnsi="Arial"/>
          <w:sz w:val="16"/>
          <w:szCs w:val="16"/>
          <w:color w:val="000000"/>
        </w:rPr>
        <w:t>such as service on public boards and board committees, or as legal or governance executives of other large public companies.</w:t>
      </w:r>
    </w:p>
    <w:p>
      <w:pPr>
        <w:spacing w:after="0" w:line="56" w:lineRule="exact"/>
        <w:rPr>
          <w:rFonts w:ascii="Times New Roman" w:cs="Times New Roman" w:eastAsia="Times New Roman" w:hAnsi="Times New Roman"/>
          <w:sz w:val="24"/>
          <w:szCs w:val="24"/>
          <w:color w:val="0A9E50"/>
          <w:vertAlign w:val="superscript"/>
        </w:rPr>
      </w:pPr>
    </w:p>
    <w:p>
      <w:pPr>
        <w:ind w:left="520" w:right="180" w:hanging="204"/>
        <w:spacing w:after="0" w:line="202" w:lineRule="auto"/>
        <w:tabs>
          <w:tab w:leader="none" w:pos="520" w:val="left"/>
        </w:tabs>
        <w:numPr>
          <w:ilvl w:val="0"/>
          <w:numId w:val="12"/>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ESG and Sustainability, </w:t>
      </w:r>
      <w:r>
        <w:rPr>
          <w:rFonts w:ascii="Arial" w:cs="Arial" w:eastAsia="Arial" w:hAnsi="Arial"/>
          <w:sz w:val="16"/>
          <w:szCs w:val="16"/>
          <w:color w:val="000000"/>
        </w:rPr>
        <w:t>experience with the development and oversight of an effective corporate responsibility strategy, initiatives, and practices that</w:t>
      </w:r>
      <w:r>
        <w:rPr>
          <w:rFonts w:ascii="Arial" w:cs="Arial" w:eastAsia="Arial" w:hAnsi="Arial"/>
          <w:sz w:val="16"/>
          <w:szCs w:val="16"/>
          <w:color w:val="0A9E50"/>
        </w:rPr>
        <w:t xml:space="preserve"> </w:t>
      </w:r>
      <w:r>
        <w:rPr>
          <w:rFonts w:ascii="Arial" w:cs="Arial" w:eastAsia="Arial" w:hAnsi="Arial"/>
          <w:sz w:val="16"/>
          <w:szCs w:val="16"/>
          <w:color w:val="000000"/>
        </w:rPr>
        <w:t>include social, climate and environmental initiatives.</w:t>
      </w:r>
    </w:p>
    <w:p>
      <w:pPr>
        <w:spacing w:after="0" w:line="55" w:lineRule="exact"/>
        <w:rPr>
          <w:rFonts w:ascii="Times New Roman" w:cs="Times New Roman" w:eastAsia="Times New Roman" w:hAnsi="Times New Roman"/>
          <w:sz w:val="24"/>
          <w:szCs w:val="24"/>
          <w:color w:val="0A9E50"/>
          <w:vertAlign w:val="superscript"/>
        </w:rPr>
      </w:pPr>
    </w:p>
    <w:p>
      <w:pPr>
        <w:ind w:left="520" w:right="20" w:hanging="204"/>
        <w:spacing w:after="0" w:line="202" w:lineRule="auto"/>
        <w:tabs>
          <w:tab w:leader="none" w:pos="520" w:val="left"/>
        </w:tabs>
        <w:numPr>
          <w:ilvl w:val="0"/>
          <w:numId w:val="12"/>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Mergers &amp; Acquisitions, </w:t>
      </w:r>
      <w:r>
        <w:rPr>
          <w:rFonts w:ascii="Arial" w:cs="Arial" w:eastAsia="Arial" w:hAnsi="Arial"/>
          <w:sz w:val="16"/>
          <w:szCs w:val="16"/>
          <w:color w:val="000000"/>
        </w:rPr>
        <w:t>experience implementing organic and inorganic strategies to promote growth, identifying acquisition and business combination</w:t>
      </w:r>
      <w:r>
        <w:rPr>
          <w:rFonts w:ascii="Arial" w:cs="Arial" w:eastAsia="Arial" w:hAnsi="Arial"/>
          <w:sz w:val="16"/>
          <w:szCs w:val="16"/>
          <w:color w:val="0A9E50"/>
        </w:rPr>
        <w:t xml:space="preserve"> </w:t>
      </w:r>
      <w:r>
        <w:rPr>
          <w:rFonts w:ascii="Arial" w:cs="Arial" w:eastAsia="Arial" w:hAnsi="Arial"/>
          <w:sz w:val="16"/>
          <w:szCs w:val="16"/>
          <w:color w:val="000000"/>
        </w:rPr>
        <w:t>targets, analyzing cultural and strategic fit, and oversight of successful integration.</w:t>
      </w:r>
    </w:p>
    <w:p>
      <w:pPr>
        <w:spacing w:after="0" w:line="55" w:lineRule="exact"/>
        <w:rPr>
          <w:sz w:val="20"/>
          <w:szCs w:val="20"/>
          <w:color w:val="auto"/>
        </w:rPr>
      </w:pPr>
    </w:p>
    <w:p>
      <w:pPr>
        <w:ind w:left="320" w:right="420"/>
        <w:spacing w:after="0" w:line="252" w:lineRule="auto"/>
        <w:rPr>
          <w:sz w:val="20"/>
          <w:szCs w:val="20"/>
          <w:color w:val="auto"/>
        </w:rPr>
      </w:pPr>
      <w:r>
        <w:rPr>
          <w:rFonts w:ascii="Arial" w:cs="Arial" w:eastAsia="Arial" w:hAnsi="Arial"/>
          <w:sz w:val="16"/>
          <w:szCs w:val="16"/>
          <w:color w:val="auto"/>
        </w:rPr>
        <w:t>In determining whether to recommend a director for re-nomination, the Committee also considers the director’s recent contributions and potential for continuing contributions to the work of the Board.</w:t>
      </w:r>
    </w:p>
    <w:p>
      <w:pPr>
        <w:spacing w:after="0" w:line="1" w:lineRule="exact"/>
        <w:rPr>
          <w:sz w:val="20"/>
          <w:szCs w:val="20"/>
          <w:color w:val="auto"/>
        </w:rPr>
      </w:pP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-222250</wp:posOffset>
            </wp:positionV>
            <wp:extent cx="8255" cy="222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Proposal 1: Election of Directors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Board Composition Matrix (2024)</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0A9E50"/>
              </w:rPr>
              <w:t>Director Nominees</w:t>
            </w:r>
          </w:p>
        </w:tc>
        <w:tc>
          <w:tcPr>
            <w:tcW w:w="7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405"/>
        </w:trPr>
        <w:tc>
          <w:tcPr>
            <w:tcW w:w="3880" w:type="dxa"/>
            <w:vAlign w:val="bottom"/>
          </w:tcPr>
          <w:p>
            <w:pPr>
              <w:ind w:left="60"/>
              <w:spacing w:after="0"/>
              <w:rPr>
                <w:sz w:val="20"/>
                <w:szCs w:val="20"/>
                <w:color w:val="auto"/>
              </w:rPr>
            </w:pPr>
            <w:r>
              <w:rPr>
                <w:rFonts w:ascii="Arial" w:cs="Arial" w:eastAsia="Arial" w:hAnsi="Arial"/>
                <w:sz w:val="17"/>
                <w:szCs w:val="17"/>
                <w:color w:val="0A9E50"/>
              </w:rPr>
              <w:t>Specific Experience and Skills (May vary</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2"/>
        </w:trPr>
        <w:tc>
          <w:tcPr>
            <w:tcW w:w="3880" w:type="dxa"/>
            <w:vAlign w:val="bottom"/>
          </w:tcPr>
          <w:p>
            <w:pPr>
              <w:spacing w:after="0"/>
              <w:rPr>
                <w:sz w:val="20"/>
                <w:szCs w:val="20"/>
                <w:color w:val="auto"/>
              </w:rPr>
            </w:pPr>
            <w:r>
              <w:rPr>
                <w:rFonts w:ascii="Arial" w:cs="Arial" w:eastAsia="Arial" w:hAnsi="Arial"/>
                <w:sz w:val="17"/>
                <w:szCs w:val="17"/>
                <w:color w:val="0A9E50"/>
              </w:rPr>
              <w:t>  based on current and future Company</w:t>
            </w:r>
          </w:p>
        </w:tc>
        <w:tc>
          <w:tcPr>
            <w:tcW w:w="14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5"/>
                <w:szCs w:val="15"/>
                <w:b w:val="1"/>
                <w:bCs w:val="1"/>
                <w:color w:val="auto"/>
                <w:w w:val="93"/>
              </w:rPr>
              <w:t>Larkin</w:t>
            </w:r>
          </w:p>
        </w:tc>
        <w:tc>
          <w:tcPr>
            <w:tcW w:w="680" w:type="dxa"/>
            <w:vAlign w:val="bottom"/>
          </w:tcPr>
          <w:p>
            <w:pPr>
              <w:ind w:left="140"/>
              <w:spacing w:after="0"/>
              <w:rPr>
                <w:sz w:val="20"/>
                <w:szCs w:val="20"/>
                <w:color w:val="auto"/>
              </w:rPr>
            </w:pPr>
            <w:r>
              <w:rPr>
                <w:rFonts w:ascii="Arial" w:cs="Arial" w:eastAsia="Arial" w:hAnsi="Arial"/>
                <w:sz w:val="15"/>
                <w:szCs w:val="15"/>
                <w:b w:val="1"/>
                <w:bCs w:val="1"/>
                <w:color w:val="auto"/>
                <w:w w:val="94"/>
              </w:rPr>
              <w:t>Quigley</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auto"/>
              </w:rPr>
              <w:t>Adolph</w:t>
            </w:r>
          </w:p>
        </w:tc>
        <w:tc>
          <w:tcPr>
            <w:tcW w:w="660" w:type="dxa"/>
            <w:vAlign w:val="bottom"/>
          </w:tcPr>
          <w:p>
            <w:pPr>
              <w:ind w:left="140"/>
              <w:spacing w:after="0"/>
              <w:rPr>
                <w:sz w:val="20"/>
                <w:szCs w:val="20"/>
                <w:color w:val="auto"/>
              </w:rPr>
            </w:pPr>
            <w:r>
              <w:rPr>
                <w:rFonts w:ascii="Arial" w:cs="Arial" w:eastAsia="Arial" w:hAnsi="Arial"/>
                <w:sz w:val="15"/>
                <w:szCs w:val="15"/>
                <w:b w:val="1"/>
                <w:bCs w:val="1"/>
                <w:color w:val="auto"/>
                <w:w w:val="95"/>
              </w:rPr>
              <w:t>Corona</w:t>
            </w:r>
          </w:p>
        </w:tc>
        <w:tc>
          <w:tcPr>
            <w:tcW w:w="940" w:type="dxa"/>
            <w:vAlign w:val="bottom"/>
          </w:tcPr>
          <w:p>
            <w:pPr>
              <w:ind w:left="140"/>
              <w:spacing w:after="0"/>
              <w:rPr>
                <w:sz w:val="20"/>
                <w:szCs w:val="20"/>
                <w:color w:val="auto"/>
              </w:rPr>
            </w:pPr>
            <w:r>
              <w:rPr>
                <w:rFonts w:ascii="Arial" w:cs="Arial" w:eastAsia="Arial" w:hAnsi="Arial"/>
                <w:sz w:val="15"/>
                <w:szCs w:val="15"/>
                <w:b w:val="1"/>
                <w:bCs w:val="1"/>
                <w:color w:val="auto"/>
              </w:rPr>
              <w:t>Cubbin</w:t>
            </w:r>
          </w:p>
        </w:tc>
        <w:tc>
          <w:tcPr>
            <w:tcW w:w="820" w:type="dxa"/>
            <w:vAlign w:val="bottom"/>
          </w:tcPr>
          <w:p>
            <w:pPr>
              <w:ind w:left="140"/>
              <w:spacing w:after="0"/>
              <w:rPr>
                <w:sz w:val="20"/>
                <w:szCs w:val="20"/>
                <w:color w:val="auto"/>
              </w:rPr>
            </w:pPr>
            <w:r>
              <w:rPr>
                <w:rFonts w:ascii="Arial" w:cs="Arial" w:eastAsia="Arial" w:hAnsi="Arial"/>
                <w:sz w:val="15"/>
                <w:szCs w:val="15"/>
                <w:b w:val="1"/>
                <w:bCs w:val="1"/>
                <w:color w:val="auto"/>
                <w:w w:val="95"/>
              </w:rPr>
              <w:t>Duggirala</w:t>
            </w:r>
          </w:p>
        </w:tc>
        <w:tc>
          <w:tcPr>
            <w:tcW w:w="780" w:type="dxa"/>
            <w:vAlign w:val="bottom"/>
          </w:tcPr>
          <w:p>
            <w:pPr>
              <w:ind w:left="160"/>
              <w:spacing w:after="0"/>
              <w:rPr>
                <w:sz w:val="20"/>
                <w:szCs w:val="20"/>
                <w:color w:val="auto"/>
              </w:rPr>
            </w:pPr>
            <w:r>
              <w:rPr>
                <w:rFonts w:ascii="Arial" w:cs="Arial" w:eastAsia="Arial" w:hAnsi="Arial"/>
                <w:sz w:val="15"/>
                <w:szCs w:val="15"/>
                <w:b w:val="1"/>
                <w:bCs w:val="1"/>
                <w:color w:val="auto"/>
                <w:w w:val="95"/>
              </w:rPr>
              <w:t>Johnson</w:t>
            </w:r>
          </w:p>
        </w:tc>
        <w:tc>
          <w:tcPr>
            <w:tcW w:w="880" w:type="dxa"/>
            <w:vAlign w:val="bottom"/>
          </w:tcPr>
          <w:p>
            <w:pPr>
              <w:ind w:left="140"/>
              <w:spacing w:after="0"/>
              <w:rPr>
                <w:sz w:val="20"/>
                <w:szCs w:val="20"/>
                <w:color w:val="auto"/>
              </w:rPr>
            </w:pPr>
            <w:r>
              <w:rPr>
                <w:rFonts w:ascii="Arial" w:cs="Arial" w:eastAsia="Arial" w:hAnsi="Arial"/>
                <w:sz w:val="15"/>
                <w:szCs w:val="15"/>
                <w:b w:val="1"/>
                <w:bCs w:val="1"/>
                <w:color w:val="auto"/>
              </w:rPr>
              <w:t>Murphy</w:t>
            </w:r>
          </w:p>
        </w:tc>
        <w:tc>
          <w:tcPr>
            <w:tcW w:w="580" w:type="dxa"/>
            <w:vAlign w:val="bottom"/>
          </w:tcPr>
          <w:p>
            <w:pPr>
              <w:ind w:left="140"/>
              <w:spacing w:after="0"/>
              <w:rPr>
                <w:sz w:val="20"/>
                <w:szCs w:val="20"/>
                <w:color w:val="auto"/>
              </w:rPr>
            </w:pPr>
            <w:r>
              <w:rPr>
                <w:rFonts w:ascii="Arial" w:cs="Arial" w:eastAsia="Arial" w:hAnsi="Arial"/>
                <w:sz w:val="15"/>
                <w:szCs w:val="15"/>
                <w:b w:val="1"/>
                <w:bCs w:val="1"/>
                <w:color w:val="auto"/>
                <w:w w:val="98"/>
              </w:rPr>
              <w:t>Parfet</w:t>
            </w:r>
          </w:p>
        </w:tc>
      </w:tr>
      <w:tr>
        <w:trPr>
          <w:trHeight w:val="229"/>
        </w:trPr>
        <w:tc>
          <w:tcPr>
            <w:tcW w:w="3880" w:type="dxa"/>
            <w:vAlign w:val="bottom"/>
          </w:tcPr>
          <w:p>
            <w:pPr>
              <w:spacing w:after="0"/>
              <w:rPr>
                <w:sz w:val="20"/>
                <w:szCs w:val="20"/>
                <w:color w:val="auto"/>
              </w:rPr>
            </w:pPr>
            <w:r>
              <w:rPr>
                <w:rFonts w:ascii="Arial" w:cs="Arial" w:eastAsia="Arial" w:hAnsi="Arial"/>
                <w:sz w:val="17"/>
                <w:szCs w:val="17"/>
                <w:color w:val="0A9E50"/>
              </w:rPr>
              <w:t>  priorities/needs)</w:t>
            </w:r>
          </w:p>
        </w:tc>
        <w:tc>
          <w:tcPr>
            <w:tcW w:w="14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COB</w:t>
            </w:r>
          </w:p>
        </w:tc>
        <w:tc>
          <w:tcPr>
            <w:tcW w:w="680" w:type="dxa"/>
            <w:vAlign w:val="bottom"/>
          </w:tcPr>
          <w:p>
            <w:pPr>
              <w:ind w:left="140"/>
              <w:spacing w:after="0"/>
              <w:rPr>
                <w:sz w:val="20"/>
                <w:szCs w:val="20"/>
                <w:color w:val="auto"/>
              </w:rPr>
            </w:pPr>
            <w:r>
              <w:rPr>
                <w:rFonts w:ascii="Arial" w:cs="Arial" w:eastAsia="Arial" w:hAnsi="Arial"/>
                <w:sz w:val="15"/>
                <w:szCs w:val="15"/>
                <w:color w:val="auto"/>
              </w:rPr>
              <w:t>CEO</w:t>
            </w:r>
          </w:p>
        </w:tc>
        <w:tc>
          <w:tcPr>
            <w:tcW w:w="820" w:type="dxa"/>
            <w:vAlign w:val="bottom"/>
          </w:tcPr>
          <w:p>
            <w:pPr>
              <w:ind w:left="160"/>
              <w:spacing w:after="0"/>
              <w:rPr>
                <w:sz w:val="20"/>
                <w:szCs w:val="20"/>
                <w:color w:val="auto"/>
              </w:rPr>
            </w:pPr>
            <w:r>
              <w:rPr>
                <w:rFonts w:ascii="Arial" w:cs="Arial" w:eastAsia="Arial" w:hAnsi="Arial"/>
                <w:sz w:val="15"/>
                <w:szCs w:val="15"/>
                <w:color w:val="auto"/>
                <w:w w:val="94"/>
              </w:rPr>
              <w:t>Gov Chair</w:t>
            </w:r>
          </w:p>
        </w:tc>
        <w:tc>
          <w:tcPr>
            <w:tcW w:w="660" w:type="dxa"/>
            <w:vAlign w:val="bottom"/>
          </w:tcPr>
          <w:p>
            <w:pPr>
              <w:ind w:left="140"/>
              <w:spacing w:after="0"/>
              <w:rPr>
                <w:sz w:val="20"/>
                <w:szCs w:val="20"/>
                <w:color w:val="auto"/>
              </w:rPr>
            </w:pPr>
            <w:r>
              <w:rPr>
                <w:rFonts w:ascii="Arial" w:cs="Arial" w:eastAsia="Arial" w:hAnsi="Arial"/>
                <w:sz w:val="15"/>
                <w:szCs w:val="15"/>
                <w:color w:val="auto"/>
              </w:rPr>
              <w:t>Dir</w:t>
            </w:r>
          </w:p>
        </w:tc>
        <w:tc>
          <w:tcPr>
            <w:tcW w:w="940" w:type="dxa"/>
            <w:vAlign w:val="bottom"/>
          </w:tcPr>
          <w:p>
            <w:pPr>
              <w:ind w:left="140"/>
              <w:spacing w:after="0"/>
              <w:rPr>
                <w:sz w:val="20"/>
                <w:szCs w:val="20"/>
                <w:color w:val="auto"/>
              </w:rPr>
            </w:pPr>
            <w:r>
              <w:rPr>
                <w:rFonts w:ascii="Arial" w:cs="Arial" w:eastAsia="Arial" w:hAnsi="Arial"/>
                <w:sz w:val="15"/>
                <w:szCs w:val="15"/>
                <w:color w:val="auto"/>
                <w:w w:val="97"/>
              </w:rPr>
              <w:t>Comp Chair</w:t>
            </w:r>
          </w:p>
        </w:tc>
        <w:tc>
          <w:tcPr>
            <w:tcW w:w="820" w:type="dxa"/>
            <w:vAlign w:val="bottom"/>
          </w:tcPr>
          <w:p>
            <w:pPr>
              <w:ind w:left="140"/>
              <w:spacing w:after="0"/>
              <w:rPr>
                <w:sz w:val="20"/>
                <w:szCs w:val="20"/>
                <w:color w:val="auto"/>
              </w:rPr>
            </w:pPr>
            <w:r>
              <w:rPr>
                <w:rFonts w:ascii="Arial" w:cs="Arial" w:eastAsia="Arial" w:hAnsi="Arial"/>
                <w:sz w:val="15"/>
                <w:szCs w:val="15"/>
                <w:color w:val="auto"/>
              </w:rPr>
              <w:t>Dir</w:t>
            </w:r>
          </w:p>
        </w:tc>
        <w:tc>
          <w:tcPr>
            <w:tcW w:w="780" w:type="dxa"/>
            <w:vAlign w:val="bottom"/>
          </w:tcPr>
          <w:p>
            <w:pPr>
              <w:ind w:left="160"/>
              <w:spacing w:after="0"/>
              <w:rPr>
                <w:sz w:val="20"/>
                <w:szCs w:val="20"/>
                <w:color w:val="auto"/>
              </w:rPr>
            </w:pPr>
            <w:r>
              <w:rPr>
                <w:rFonts w:ascii="Arial" w:cs="Arial" w:eastAsia="Arial" w:hAnsi="Arial"/>
                <w:sz w:val="15"/>
                <w:szCs w:val="15"/>
                <w:color w:val="auto"/>
              </w:rPr>
              <w:t>Dir</w:t>
            </w:r>
          </w:p>
        </w:tc>
        <w:tc>
          <w:tcPr>
            <w:tcW w:w="880" w:type="dxa"/>
            <w:vAlign w:val="bottom"/>
          </w:tcPr>
          <w:p>
            <w:pPr>
              <w:ind w:left="140"/>
              <w:spacing w:after="0"/>
              <w:rPr>
                <w:sz w:val="20"/>
                <w:szCs w:val="20"/>
                <w:color w:val="auto"/>
              </w:rPr>
            </w:pPr>
            <w:r>
              <w:rPr>
                <w:rFonts w:ascii="Arial" w:cs="Arial" w:eastAsia="Arial" w:hAnsi="Arial"/>
                <w:sz w:val="15"/>
                <w:szCs w:val="15"/>
                <w:color w:val="auto"/>
                <w:w w:val="96"/>
              </w:rPr>
              <w:t>Audit Chair</w:t>
            </w:r>
          </w:p>
        </w:tc>
        <w:tc>
          <w:tcPr>
            <w:tcW w:w="580" w:type="dxa"/>
            <w:vAlign w:val="bottom"/>
          </w:tcPr>
          <w:p>
            <w:pPr>
              <w:ind w:left="140"/>
              <w:spacing w:after="0"/>
              <w:rPr>
                <w:sz w:val="20"/>
                <w:szCs w:val="20"/>
                <w:color w:val="auto"/>
              </w:rPr>
            </w:pPr>
            <w:r>
              <w:rPr>
                <w:rFonts w:ascii="Arial" w:cs="Arial" w:eastAsia="Arial" w:hAnsi="Arial"/>
                <w:sz w:val="15"/>
                <w:szCs w:val="15"/>
                <w:color w:val="auto"/>
              </w:rPr>
              <w:t>Dir</w:t>
            </w:r>
          </w:p>
        </w:tc>
      </w:tr>
      <w:tr>
        <w:trPr>
          <w:trHeight w:val="44"/>
        </w:trPr>
        <w:tc>
          <w:tcPr>
            <w:tcW w:w="3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Executive Leadership</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2"/>
                <w:szCs w:val="12"/>
                <w:color w:val="0A9E50"/>
              </w:rPr>
              <w:t>●</w:t>
            </w: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Transformations</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2"/>
                <w:szCs w:val="12"/>
                <w:color w:val="0A9E50"/>
              </w:rPr>
              <w:t>●</w:t>
            </w: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spacing w:after="0"/>
              <w:rPr>
                <w:sz w:val="24"/>
                <w:szCs w:val="24"/>
                <w:color w:val="auto"/>
              </w:rPr>
            </w:pP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Innovation</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spacing w:after="0"/>
              <w:rPr>
                <w:sz w:val="24"/>
                <w:szCs w:val="24"/>
                <w:color w:val="auto"/>
              </w:rPr>
            </w:pP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Industry</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Technology, Digitization, and Cybersecurity</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940" w:type="dxa"/>
            <w:vAlign w:val="bottom"/>
            <w:shd w:val="clear" w:color="auto" w:fill="EDEDED"/>
          </w:tcPr>
          <w:p>
            <w:pPr>
              <w:spacing w:after="0"/>
              <w:rPr>
                <w:sz w:val="24"/>
                <w:szCs w:val="24"/>
                <w:color w:val="auto"/>
              </w:rPr>
            </w:pP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Financial Acumen</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2"/>
                <w:szCs w:val="12"/>
                <w:color w:val="0A9E50"/>
              </w:rPr>
              <w:t>●</w:t>
            </w: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Financial Expert</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Risk Management</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2"/>
                <w:szCs w:val="12"/>
                <w:color w:val="0A9E50"/>
              </w:rPr>
              <w:t>●</w:t>
            </w: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spacing w:after="0"/>
              <w:rPr>
                <w:sz w:val="24"/>
                <w:szCs w:val="24"/>
                <w:color w:val="auto"/>
              </w:rPr>
            </w:pP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Legal or Corporate Governance</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2"/>
                <w:szCs w:val="12"/>
                <w:color w:val="0A9E50"/>
              </w:rPr>
              <w:t>●</w:t>
            </w: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spacing w:after="0"/>
              <w:rPr>
                <w:sz w:val="24"/>
                <w:szCs w:val="24"/>
                <w:color w:val="auto"/>
              </w:rPr>
            </w:pP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spacing w:after="0"/>
              <w:rPr>
                <w:sz w:val="24"/>
                <w:szCs w:val="24"/>
                <w:color w:val="auto"/>
              </w:rPr>
            </w:pP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ESG &amp; Sustainability</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spacing w:after="0"/>
              <w:rPr>
                <w:sz w:val="24"/>
                <w:szCs w:val="24"/>
                <w:color w:val="auto"/>
              </w:rPr>
            </w:pPr>
          </w:p>
        </w:tc>
        <w:tc>
          <w:tcPr>
            <w:tcW w:w="580" w:type="dxa"/>
            <w:vAlign w:val="bottom"/>
            <w:shd w:val="clear" w:color="auto" w:fill="EDEDED"/>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Mergers &amp; Acquisitions</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2"/>
                <w:szCs w:val="12"/>
                <w:color w:val="0A9E50"/>
              </w:rPr>
              <w:t>●</w:t>
            </w: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322"/>
        </w:trPr>
        <w:tc>
          <w:tcPr>
            <w:tcW w:w="3880" w:type="dxa"/>
            <w:vAlign w:val="bottom"/>
          </w:tcPr>
          <w:p>
            <w:pPr>
              <w:ind w:left="60"/>
              <w:spacing w:after="0"/>
              <w:rPr>
                <w:sz w:val="20"/>
                <w:szCs w:val="20"/>
                <w:color w:val="auto"/>
              </w:rPr>
            </w:pPr>
            <w:r>
              <w:rPr>
                <w:rFonts w:ascii="Arial" w:cs="Arial" w:eastAsia="Arial" w:hAnsi="Arial"/>
                <w:sz w:val="17"/>
                <w:szCs w:val="17"/>
                <w:color w:val="0A9E50"/>
              </w:rPr>
              <w:t>Other Public Board Experience (other than Kelly)</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1"/>
        </w:trPr>
        <w:tc>
          <w:tcPr>
            <w:tcW w:w="38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Audit Committee</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spacing w:after="0"/>
              <w:rPr>
                <w:sz w:val="24"/>
                <w:szCs w:val="24"/>
                <w:color w:val="auto"/>
              </w:rPr>
            </w:pP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spacing w:after="0"/>
              <w:rPr>
                <w:sz w:val="24"/>
                <w:szCs w:val="24"/>
                <w:color w:val="auto"/>
              </w:rPr>
            </w:pP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Compensation Committee</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spacing w:after="0"/>
              <w:rPr>
                <w:sz w:val="24"/>
                <w:szCs w:val="24"/>
                <w:color w:val="auto"/>
              </w:rPr>
            </w:pP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Governance &amp; Nominating Committee</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322"/>
        </w:trPr>
        <w:tc>
          <w:tcPr>
            <w:tcW w:w="3880" w:type="dxa"/>
            <w:vAlign w:val="bottom"/>
          </w:tcPr>
          <w:p>
            <w:pPr>
              <w:ind w:left="60"/>
              <w:spacing w:after="0"/>
              <w:rPr>
                <w:sz w:val="20"/>
                <w:szCs w:val="20"/>
                <w:color w:val="auto"/>
              </w:rPr>
            </w:pPr>
            <w:r>
              <w:rPr>
                <w:rFonts w:ascii="Arial" w:cs="Arial" w:eastAsia="Arial" w:hAnsi="Arial"/>
                <w:sz w:val="17"/>
                <w:szCs w:val="17"/>
                <w:color w:val="0A9E50"/>
              </w:rPr>
              <w:t>Tenure and Independence</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1"/>
        </w:trPr>
        <w:tc>
          <w:tcPr>
            <w:tcW w:w="38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r>
        <w:trPr>
          <w:trHeight w:val="285"/>
        </w:trPr>
        <w:tc>
          <w:tcPr>
            <w:tcW w:w="3880" w:type="dxa"/>
            <w:vAlign w:val="bottom"/>
          </w:tcPr>
          <w:p>
            <w:pPr>
              <w:ind w:left="60"/>
              <w:spacing w:after="0"/>
              <w:rPr>
                <w:sz w:val="20"/>
                <w:szCs w:val="20"/>
                <w:color w:val="auto"/>
              </w:rPr>
            </w:pPr>
            <w:r>
              <w:rPr>
                <w:rFonts w:ascii="Arial" w:cs="Arial" w:eastAsia="Arial" w:hAnsi="Arial"/>
                <w:sz w:val="16"/>
                <w:szCs w:val="16"/>
                <w:color w:val="auto"/>
              </w:rPr>
              <w:t>Board Tenure (years)</w:t>
            </w:r>
          </w:p>
        </w:tc>
        <w:tc>
          <w:tcPr>
            <w:tcW w:w="580" w:type="dxa"/>
            <w:vAlign w:val="bottom"/>
            <w:gridSpan w:val="2"/>
            <w:shd w:val="clear" w:color="auto" w:fill="EDEDED"/>
          </w:tcPr>
          <w:p>
            <w:pPr>
              <w:jc w:val="center"/>
              <w:ind w:left="62"/>
              <w:spacing w:after="0"/>
              <w:rPr>
                <w:sz w:val="20"/>
                <w:szCs w:val="20"/>
                <w:color w:val="auto"/>
              </w:rPr>
            </w:pPr>
            <w:r>
              <w:rPr>
                <w:rFonts w:ascii="Arial" w:cs="Arial" w:eastAsia="Arial" w:hAnsi="Arial"/>
                <w:sz w:val="16"/>
                <w:szCs w:val="16"/>
                <w:b w:val="1"/>
                <w:bCs w:val="1"/>
                <w:color w:val="0A9E50"/>
                <w:w w:val="89"/>
              </w:rPr>
              <w:t>13</w:t>
            </w:r>
          </w:p>
        </w:tc>
        <w:tc>
          <w:tcPr>
            <w:tcW w:w="680" w:type="dxa"/>
            <w:vAlign w:val="bottom"/>
          </w:tcPr>
          <w:p>
            <w:pPr>
              <w:jc w:val="center"/>
              <w:ind w:left="94"/>
              <w:spacing w:after="0"/>
              <w:rPr>
                <w:sz w:val="20"/>
                <w:szCs w:val="20"/>
                <w:color w:val="auto"/>
              </w:rPr>
            </w:pPr>
            <w:r>
              <w:rPr>
                <w:rFonts w:ascii="Arial" w:cs="Arial" w:eastAsia="Arial" w:hAnsi="Arial"/>
                <w:sz w:val="16"/>
                <w:szCs w:val="16"/>
                <w:b w:val="1"/>
                <w:bCs w:val="1"/>
                <w:color w:val="0A9E50"/>
                <w:w w:val="89"/>
              </w:rPr>
              <w:t>4</w:t>
            </w:r>
          </w:p>
        </w:tc>
        <w:tc>
          <w:tcPr>
            <w:tcW w:w="820" w:type="dxa"/>
            <w:vAlign w:val="bottom"/>
            <w:shd w:val="clear" w:color="auto" w:fill="EDEDED"/>
          </w:tcPr>
          <w:p>
            <w:pPr>
              <w:jc w:val="center"/>
              <w:ind w:left="75"/>
              <w:spacing w:after="0"/>
              <w:rPr>
                <w:sz w:val="20"/>
                <w:szCs w:val="20"/>
                <w:color w:val="auto"/>
              </w:rPr>
            </w:pPr>
            <w:r>
              <w:rPr>
                <w:rFonts w:ascii="Arial" w:cs="Arial" w:eastAsia="Arial" w:hAnsi="Arial"/>
                <w:sz w:val="16"/>
                <w:szCs w:val="16"/>
                <w:b w:val="1"/>
                <w:bCs w:val="1"/>
                <w:color w:val="0A9E50"/>
                <w:w w:val="89"/>
              </w:rPr>
              <w:t>6</w:t>
            </w:r>
          </w:p>
        </w:tc>
        <w:tc>
          <w:tcPr>
            <w:tcW w:w="660" w:type="dxa"/>
            <w:vAlign w:val="bottom"/>
          </w:tcPr>
          <w:p>
            <w:pPr>
              <w:jc w:val="center"/>
              <w:ind w:left="74"/>
              <w:spacing w:after="0"/>
              <w:rPr>
                <w:sz w:val="20"/>
                <w:szCs w:val="20"/>
                <w:color w:val="auto"/>
              </w:rPr>
            </w:pPr>
            <w:r>
              <w:rPr>
                <w:rFonts w:ascii="Arial" w:cs="Arial" w:eastAsia="Arial" w:hAnsi="Arial"/>
                <w:sz w:val="16"/>
                <w:szCs w:val="16"/>
                <w:b w:val="1"/>
                <w:bCs w:val="1"/>
                <w:color w:val="0A9E50"/>
                <w:w w:val="89"/>
              </w:rPr>
              <w:t>6</w:t>
            </w:r>
          </w:p>
        </w:tc>
        <w:tc>
          <w:tcPr>
            <w:tcW w:w="940" w:type="dxa"/>
            <w:vAlign w:val="bottom"/>
            <w:shd w:val="clear" w:color="auto" w:fill="EDEDED"/>
          </w:tcPr>
          <w:p>
            <w:pPr>
              <w:jc w:val="center"/>
              <w:ind w:left="74"/>
              <w:spacing w:after="0"/>
              <w:rPr>
                <w:sz w:val="20"/>
                <w:szCs w:val="20"/>
                <w:color w:val="auto"/>
              </w:rPr>
            </w:pPr>
            <w:r>
              <w:rPr>
                <w:rFonts w:ascii="Arial" w:cs="Arial" w:eastAsia="Arial" w:hAnsi="Arial"/>
                <w:sz w:val="16"/>
                <w:szCs w:val="16"/>
                <w:b w:val="1"/>
                <w:bCs w:val="1"/>
                <w:color w:val="0A9E50"/>
                <w:w w:val="89"/>
              </w:rPr>
              <w:t>9</w:t>
            </w:r>
          </w:p>
        </w:tc>
        <w:tc>
          <w:tcPr>
            <w:tcW w:w="820" w:type="dxa"/>
            <w:vAlign w:val="bottom"/>
          </w:tcPr>
          <w:p>
            <w:pPr>
              <w:jc w:val="center"/>
              <w:ind w:left="75"/>
              <w:spacing w:after="0"/>
              <w:rPr>
                <w:sz w:val="20"/>
                <w:szCs w:val="20"/>
                <w:color w:val="auto"/>
              </w:rPr>
            </w:pPr>
            <w:r>
              <w:rPr>
                <w:rFonts w:ascii="Arial" w:cs="Arial" w:eastAsia="Arial" w:hAnsi="Arial"/>
                <w:sz w:val="16"/>
                <w:szCs w:val="16"/>
                <w:b w:val="1"/>
                <w:bCs w:val="1"/>
                <w:color w:val="0A9E50"/>
                <w:w w:val="89"/>
              </w:rPr>
              <w:t>2</w:t>
            </w:r>
          </w:p>
        </w:tc>
        <w:tc>
          <w:tcPr>
            <w:tcW w:w="780" w:type="dxa"/>
            <w:vAlign w:val="bottom"/>
            <w:shd w:val="clear" w:color="auto" w:fill="EDEDED"/>
          </w:tcPr>
          <w:p>
            <w:pPr>
              <w:jc w:val="center"/>
              <w:ind w:left="74"/>
              <w:spacing w:after="0"/>
              <w:rPr>
                <w:sz w:val="20"/>
                <w:szCs w:val="20"/>
                <w:color w:val="auto"/>
              </w:rPr>
            </w:pPr>
            <w:r>
              <w:rPr>
                <w:rFonts w:ascii="Arial" w:cs="Arial" w:eastAsia="Arial" w:hAnsi="Arial"/>
                <w:sz w:val="16"/>
                <w:szCs w:val="16"/>
                <w:b w:val="1"/>
                <w:bCs w:val="1"/>
                <w:color w:val="0A9E50"/>
                <w:w w:val="89"/>
              </w:rPr>
              <w:t>2</w:t>
            </w:r>
          </w:p>
        </w:tc>
        <w:tc>
          <w:tcPr>
            <w:tcW w:w="880" w:type="dxa"/>
            <w:vAlign w:val="bottom"/>
          </w:tcPr>
          <w:p>
            <w:pPr>
              <w:jc w:val="center"/>
              <w:ind w:left="75"/>
              <w:spacing w:after="0"/>
              <w:rPr>
                <w:sz w:val="20"/>
                <w:szCs w:val="20"/>
                <w:color w:val="auto"/>
              </w:rPr>
            </w:pPr>
            <w:r>
              <w:rPr>
                <w:rFonts w:ascii="Arial" w:cs="Arial" w:eastAsia="Arial" w:hAnsi="Arial"/>
                <w:sz w:val="16"/>
                <w:szCs w:val="16"/>
                <w:b w:val="1"/>
                <w:bCs w:val="1"/>
                <w:color w:val="0A9E50"/>
              </w:rPr>
              <w:t>16</w:t>
            </w:r>
          </w:p>
        </w:tc>
        <w:tc>
          <w:tcPr>
            <w:tcW w:w="580" w:type="dxa"/>
            <w:vAlign w:val="bottom"/>
            <w:shd w:val="clear" w:color="auto" w:fill="EDEDED"/>
          </w:tcPr>
          <w:p>
            <w:pPr>
              <w:jc w:val="center"/>
              <w:ind w:left="75"/>
              <w:spacing w:after="0"/>
              <w:rPr>
                <w:sz w:val="20"/>
                <w:szCs w:val="20"/>
                <w:color w:val="auto"/>
              </w:rPr>
            </w:pPr>
            <w:r>
              <w:rPr>
                <w:rFonts w:ascii="Arial" w:cs="Arial" w:eastAsia="Arial" w:hAnsi="Arial"/>
                <w:sz w:val="16"/>
                <w:szCs w:val="16"/>
                <w:b w:val="1"/>
                <w:bCs w:val="1"/>
                <w:color w:val="0A9E50"/>
                <w:w w:val="89"/>
              </w:rPr>
              <w:t>19</w:t>
            </w:r>
          </w:p>
        </w:tc>
      </w:tr>
      <w:tr>
        <w:trPr>
          <w:trHeight w:val="85"/>
        </w:trPr>
        <w:tc>
          <w:tcPr>
            <w:tcW w:w="3880" w:type="dxa"/>
            <w:vAlign w:val="bottom"/>
            <w:tcBorders>
              <w:bottom w:val="single" w:sz="8" w:color="7F7F7F"/>
            </w:tcBorders>
          </w:tcPr>
          <w:p>
            <w:pPr>
              <w:spacing w:after="0"/>
              <w:rPr>
                <w:sz w:val="7"/>
                <w:szCs w:val="7"/>
                <w:color w:val="auto"/>
              </w:rPr>
            </w:pPr>
          </w:p>
        </w:tc>
        <w:tc>
          <w:tcPr>
            <w:tcW w:w="140" w:type="dxa"/>
            <w:vAlign w:val="bottom"/>
            <w:tcBorders>
              <w:bottom w:val="single" w:sz="8" w:color="7F7F7F"/>
            </w:tcBorders>
            <w:shd w:val="clear" w:color="auto" w:fill="EDEDED"/>
          </w:tcPr>
          <w:p>
            <w:pPr>
              <w:spacing w:after="0"/>
              <w:rPr>
                <w:sz w:val="7"/>
                <w:szCs w:val="7"/>
                <w:color w:val="auto"/>
              </w:rPr>
            </w:pPr>
          </w:p>
        </w:tc>
        <w:tc>
          <w:tcPr>
            <w:tcW w:w="440" w:type="dxa"/>
            <w:vAlign w:val="bottom"/>
            <w:tcBorders>
              <w:bottom w:val="single" w:sz="8" w:color="7F7F7F"/>
            </w:tcBorders>
            <w:shd w:val="clear" w:color="auto" w:fill="EDEDED"/>
          </w:tcPr>
          <w:p>
            <w:pPr>
              <w:spacing w:after="0"/>
              <w:rPr>
                <w:sz w:val="7"/>
                <w:szCs w:val="7"/>
                <w:color w:val="auto"/>
              </w:rPr>
            </w:pPr>
          </w:p>
        </w:tc>
        <w:tc>
          <w:tcPr>
            <w:tcW w:w="680" w:type="dxa"/>
            <w:vAlign w:val="bottom"/>
            <w:tcBorders>
              <w:bottom w:val="single" w:sz="8" w:color="7F7F7F"/>
            </w:tcBorders>
          </w:tcPr>
          <w:p>
            <w:pPr>
              <w:spacing w:after="0"/>
              <w:rPr>
                <w:sz w:val="7"/>
                <w:szCs w:val="7"/>
                <w:color w:val="auto"/>
              </w:rPr>
            </w:pPr>
          </w:p>
        </w:tc>
        <w:tc>
          <w:tcPr>
            <w:tcW w:w="820" w:type="dxa"/>
            <w:vAlign w:val="bottom"/>
            <w:tcBorders>
              <w:bottom w:val="single" w:sz="8" w:color="7F7F7F"/>
            </w:tcBorders>
            <w:shd w:val="clear" w:color="auto" w:fill="EDEDED"/>
          </w:tcPr>
          <w:p>
            <w:pPr>
              <w:spacing w:after="0"/>
              <w:rPr>
                <w:sz w:val="7"/>
                <w:szCs w:val="7"/>
                <w:color w:val="auto"/>
              </w:rPr>
            </w:pPr>
          </w:p>
        </w:tc>
        <w:tc>
          <w:tcPr>
            <w:tcW w:w="660" w:type="dxa"/>
            <w:vAlign w:val="bottom"/>
            <w:tcBorders>
              <w:bottom w:val="single" w:sz="8" w:color="7F7F7F"/>
            </w:tcBorders>
          </w:tcPr>
          <w:p>
            <w:pPr>
              <w:spacing w:after="0"/>
              <w:rPr>
                <w:sz w:val="7"/>
                <w:szCs w:val="7"/>
                <w:color w:val="auto"/>
              </w:rPr>
            </w:pPr>
          </w:p>
        </w:tc>
        <w:tc>
          <w:tcPr>
            <w:tcW w:w="940" w:type="dxa"/>
            <w:vAlign w:val="bottom"/>
            <w:tcBorders>
              <w:bottom w:val="single" w:sz="8" w:color="7F7F7F"/>
            </w:tcBorders>
            <w:shd w:val="clear" w:color="auto" w:fill="EDEDED"/>
          </w:tcPr>
          <w:p>
            <w:pPr>
              <w:spacing w:after="0"/>
              <w:rPr>
                <w:sz w:val="7"/>
                <w:szCs w:val="7"/>
                <w:color w:val="auto"/>
              </w:rPr>
            </w:pPr>
          </w:p>
        </w:tc>
        <w:tc>
          <w:tcPr>
            <w:tcW w:w="820" w:type="dxa"/>
            <w:vAlign w:val="bottom"/>
            <w:tcBorders>
              <w:bottom w:val="single" w:sz="8" w:color="7F7F7F"/>
            </w:tcBorders>
          </w:tcPr>
          <w:p>
            <w:pPr>
              <w:spacing w:after="0"/>
              <w:rPr>
                <w:sz w:val="7"/>
                <w:szCs w:val="7"/>
                <w:color w:val="auto"/>
              </w:rPr>
            </w:pPr>
          </w:p>
        </w:tc>
        <w:tc>
          <w:tcPr>
            <w:tcW w:w="780" w:type="dxa"/>
            <w:vAlign w:val="bottom"/>
            <w:tcBorders>
              <w:bottom w:val="single" w:sz="8" w:color="7F7F7F"/>
            </w:tcBorders>
            <w:shd w:val="clear" w:color="auto" w:fill="EDEDED"/>
          </w:tcPr>
          <w:p>
            <w:pPr>
              <w:spacing w:after="0"/>
              <w:rPr>
                <w:sz w:val="7"/>
                <w:szCs w:val="7"/>
                <w:color w:val="auto"/>
              </w:rPr>
            </w:pPr>
          </w:p>
        </w:tc>
        <w:tc>
          <w:tcPr>
            <w:tcW w:w="880" w:type="dxa"/>
            <w:vAlign w:val="bottom"/>
            <w:tcBorders>
              <w:bottom w:val="single" w:sz="8" w:color="7F7F7F"/>
            </w:tcBorders>
          </w:tcPr>
          <w:p>
            <w:pPr>
              <w:spacing w:after="0"/>
              <w:rPr>
                <w:sz w:val="7"/>
                <w:szCs w:val="7"/>
                <w:color w:val="auto"/>
              </w:rPr>
            </w:pPr>
          </w:p>
        </w:tc>
        <w:tc>
          <w:tcPr>
            <w:tcW w:w="580" w:type="dxa"/>
            <w:vAlign w:val="bottom"/>
            <w:tcBorders>
              <w:bottom w:val="single" w:sz="8" w:color="7F7F7F"/>
            </w:tcBorders>
            <w:shd w:val="clear" w:color="auto" w:fill="EDEDED"/>
          </w:tcPr>
          <w:p>
            <w:pPr>
              <w:spacing w:after="0"/>
              <w:rPr>
                <w:sz w:val="7"/>
                <w:szCs w:val="7"/>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Independence</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2"/>
                <w:szCs w:val="12"/>
                <w:color w:val="0A9E50"/>
              </w:rPr>
              <w:t>●</w:t>
            </w:r>
          </w:p>
        </w:tc>
        <w:tc>
          <w:tcPr>
            <w:tcW w:w="680" w:type="dxa"/>
            <w:vAlign w:val="bottom"/>
          </w:tcPr>
          <w:p>
            <w:pPr>
              <w:spacing w:after="0"/>
              <w:rPr>
                <w:sz w:val="24"/>
                <w:szCs w:val="24"/>
                <w:color w:val="auto"/>
              </w:rPr>
            </w:pP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322"/>
        </w:trPr>
        <w:tc>
          <w:tcPr>
            <w:tcW w:w="3880" w:type="dxa"/>
            <w:vAlign w:val="bottom"/>
          </w:tcPr>
          <w:p>
            <w:pPr>
              <w:ind w:left="60"/>
              <w:spacing w:after="0"/>
              <w:rPr>
                <w:sz w:val="20"/>
                <w:szCs w:val="20"/>
                <w:color w:val="auto"/>
              </w:rPr>
            </w:pPr>
            <w:r>
              <w:rPr>
                <w:rFonts w:ascii="Arial" w:cs="Arial" w:eastAsia="Arial" w:hAnsi="Arial"/>
                <w:sz w:val="17"/>
                <w:szCs w:val="17"/>
                <w:color w:val="0A9E50"/>
              </w:rPr>
              <w:t>Demographics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1"/>
        </w:trPr>
        <w:tc>
          <w:tcPr>
            <w:tcW w:w="38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Age</w:t>
            </w:r>
          </w:p>
        </w:tc>
        <w:tc>
          <w:tcPr>
            <w:tcW w:w="580" w:type="dxa"/>
            <w:vAlign w:val="bottom"/>
            <w:gridSpan w:val="2"/>
            <w:shd w:val="clear" w:color="auto" w:fill="EDEDED"/>
          </w:tcPr>
          <w:p>
            <w:pPr>
              <w:jc w:val="center"/>
              <w:ind w:left="62"/>
              <w:spacing w:after="0"/>
              <w:rPr>
                <w:sz w:val="20"/>
                <w:szCs w:val="20"/>
                <w:color w:val="auto"/>
              </w:rPr>
            </w:pPr>
            <w:r>
              <w:rPr>
                <w:rFonts w:ascii="Arial" w:cs="Arial" w:eastAsia="Arial" w:hAnsi="Arial"/>
                <w:sz w:val="16"/>
                <w:szCs w:val="16"/>
                <w:color w:val="auto"/>
                <w:w w:val="89"/>
              </w:rPr>
              <w:t>69</w:t>
            </w:r>
          </w:p>
        </w:tc>
        <w:tc>
          <w:tcPr>
            <w:tcW w:w="680" w:type="dxa"/>
            <w:vAlign w:val="bottom"/>
          </w:tcPr>
          <w:p>
            <w:pPr>
              <w:jc w:val="center"/>
              <w:ind w:left="74"/>
              <w:spacing w:after="0"/>
              <w:rPr>
                <w:sz w:val="20"/>
                <w:szCs w:val="20"/>
                <w:color w:val="auto"/>
              </w:rPr>
            </w:pPr>
            <w:r>
              <w:rPr>
                <w:rFonts w:ascii="Arial" w:cs="Arial" w:eastAsia="Arial" w:hAnsi="Arial"/>
                <w:sz w:val="16"/>
                <w:szCs w:val="16"/>
                <w:color w:val="auto"/>
              </w:rPr>
              <w:t>62</w:t>
            </w:r>
          </w:p>
        </w:tc>
        <w:tc>
          <w:tcPr>
            <w:tcW w:w="820" w:type="dxa"/>
            <w:vAlign w:val="bottom"/>
            <w:shd w:val="clear" w:color="auto" w:fill="EDEDED"/>
          </w:tcPr>
          <w:p>
            <w:pPr>
              <w:jc w:val="center"/>
              <w:ind w:left="75"/>
              <w:spacing w:after="0"/>
              <w:rPr>
                <w:sz w:val="20"/>
                <w:szCs w:val="20"/>
                <w:color w:val="auto"/>
              </w:rPr>
            </w:pPr>
            <w:r>
              <w:rPr>
                <w:rFonts w:ascii="Arial" w:cs="Arial" w:eastAsia="Arial" w:hAnsi="Arial"/>
                <w:sz w:val="16"/>
                <w:szCs w:val="16"/>
                <w:color w:val="auto"/>
                <w:w w:val="89"/>
              </w:rPr>
              <w:t>70</w:t>
            </w:r>
          </w:p>
        </w:tc>
        <w:tc>
          <w:tcPr>
            <w:tcW w:w="660" w:type="dxa"/>
            <w:vAlign w:val="bottom"/>
          </w:tcPr>
          <w:p>
            <w:pPr>
              <w:jc w:val="center"/>
              <w:ind w:left="74"/>
              <w:spacing w:after="0"/>
              <w:rPr>
                <w:sz w:val="20"/>
                <w:szCs w:val="20"/>
                <w:color w:val="auto"/>
              </w:rPr>
            </w:pPr>
            <w:r>
              <w:rPr>
                <w:rFonts w:ascii="Arial" w:cs="Arial" w:eastAsia="Arial" w:hAnsi="Arial"/>
                <w:sz w:val="16"/>
                <w:szCs w:val="16"/>
                <w:color w:val="auto"/>
                <w:w w:val="89"/>
              </w:rPr>
              <w:t>65</w:t>
            </w:r>
          </w:p>
        </w:tc>
        <w:tc>
          <w:tcPr>
            <w:tcW w:w="940" w:type="dxa"/>
            <w:vAlign w:val="bottom"/>
            <w:shd w:val="clear" w:color="auto" w:fill="EDEDED"/>
          </w:tcPr>
          <w:p>
            <w:pPr>
              <w:jc w:val="center"/>
              <w:ind w:left="74"/>
              <w:spacing w:after="0"/>
              <w:rPr>
                <w:sz w:val="20"/>
                <w:szCs w:val="20"/>
                <w:color w:val="auto"/>
              </w:rPr>
            </w:pPr>
            <w:r>
              <w:rPr>
                <w:rFonts w:ascii="Arial" w:cs="Arial" w:eastAsia="Arial" w:hAnsi="Arial"/>
                <w:sz w:val="16"/>
                <w:szCs w:val="16"/>
                <w:color w:val="auto"/>
                <w:w w:val="89"/>
              </w:rPr>
              <w:t>66</w:t>
            </w:r>
          </w:p>
        </w:tc>
        <w:tc>
          <w:tcPr>
            <w:tcW w:w="820" w:type="dxa"/>
            <w:vAlign w:val="bottom"/>
          </w:tcPr>
          <w:p>
            <w:pPr>
              <w:jc w:val="center"/>
              <w:ind w:left="75"/>
              <w:spacing w:after="0"/>
              <w:rPr>
                <w:sz w:val="20"/>
                <w:szCs w:val="20"/>
                <w:color w:val="auto"/>
              </w:rPr>
            </w:pPr>
            <w:r>
              <w:rPr>
                <w:rFonts w:ascii="Arial" w:cs="Arial" w:eastAsia="Arial" w:hAnsi="Arial"/>
                <w:sz w:val="16"/>
                <w:szCs w:val="16"/>
                <w:color w:val="auto"/>
                <w:w w:val="89"/>
              </w:rPr>
              <w:t>49</w:t>
            </w:r>
          </w:p>
        </w:tc>
        <w:tc>
          <w:tcPr>
            <w:tcW w:w="780" w:type="dxa"/>
            <w:vAlign w:val="bottom"/>
            <w:shd w:val="clear" w:color="auto" w:fill="EDEDED"/>
          </w:tcPr>
          <w:p>
            <w:pPr>
              <w:jc w:val="center"/>
              <w:ind w:left="74"/>
              <w:spacing w:after="0"/>
              <w:rPr>
                <w:sz w:val="20"/>
                <w:szCs w:val="20"/>
                <w:color w:val="auto"/>
              </w:rPr>
            </w:pPr>
            <w:r>
              <w:rPr>
                <w:rFonts w:ascii="Arial" w:cs="Arial" w:eastAsia="Arial" w:hAnsi="Arial"/>
                <w:sz w:val="16"/>
                <w:szCs w:val="16"/>
                <w:color w:val="auto"/>
                <w:w w:val="89"/>
              </w:rPr>
              <w:t>59</w:t>
            </w:r>
          </w:p>
        </w:tc>
        <w:tc>
          <w:tcPr>
            <w:tcW w:w="880" w:type="dxa"/>
            <w:vAlign w:val="bottom"/>
          </w:tcPr>
          <w:p>
            <w:pPr>
              <w:jc w:val="center"/>
              <w:ind w:left="75"/>
              <w:spacing w:after="0"/>
              <w:rPr>
                <w:sz w:val="20"/>
                <w:szCs w:val="20"/>
                <w:color w:val="auto"/>
              </w:rPr>
            </w:pPr>
            <w:r>
              <w:rPr>
                <w:rFonts w:ascii="Arial" w:cs="Arial" w:eastAsia="Arial" w:hAnsi="Arial"/>
                <w:sz w:val="16"/>
                <w:szCs w:val="16"/>
                <w:color w:val="auto"/>
              </w:rPr>
              <w:t>72</w:t>
            </w:r>
          </w:p>
        </w:tc>
        <w:tc>
          <w:tcPr>
            <w:tcW w:w="580" w:type="dxa"/>
            <w:vAlign w:val="bottom"/>
            <w:shd w:val="clear" w:color="auto" w:fill="EDEDED"/>
          </w:tcPr>
          <w:p>
            <w:pPr>
              <w:jc w:val="center"/>
              <w:ind w:left="75"/>
              <w:spacing w:after="0"/>
              <w:rPr>
                <w:sz w:val="20"/>
                <w:szCs w:val="20"/>
                <w:color w:val="auto"/>
              </w:rPr>
            </w:pPr>
            <w:r>
              <w:rPr>
                <w:rFonts w:ascii="Arial" w:cs="Arial" w:eastAsia="Arial" w:hAnsi="Arial"/>
                <w:sz w:val="16"/>
                <w:szCs w:val="16"/>
                <w:color w:val="auto"/>
                <w:w w:val="89"/>
              </w:rPr>
              <w:t>71</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Gender Identity</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ind w:left="160"/>
              <w:spacing w:after="0"/>
              <w:rPr>
                <w:sz w:val="20"/>
                <w:szCs w:val="20"/>
                <w:color w:val="auto"/>
              </w:rPr>
            </w:pPr>
            <w:r>
              <w:rPr>
                <w:rFonts w:ascii="Arial" w:cs="Arial" w:eastAsia="Arial" w:hAnsi="Arial"/>
                <w:sz w:val="16"/>
                <w:szCs w:val="16"/>
                <w:color w:val="auto"/>
              </w:rPr>
              <w:t>M</w:t>
            </w:r>
          </w:p>
        </w:tc>
        <w:tc>
          <w:tcPr>
            <w:tcW w:w="680" w:type="dxa"/>
            <w:vAlign w:val="bottom"/>
          </w:tcPr>
          <w:p>
            <w:pPr>
              <w:ind w:left="340"/>
              <w:spacing w:after="0"/>
              <w:rPr>
                <w:sz w:val="20"/>
                <w:szCs w:val="20"/>
                <w:color w:val="auto"/>
              </w:rPr>
            </w:pPr>
            <w:r>
              <w:rPr>
                <w:rFonts w:ascii="Arial" w:cs="Arial" w:eastAsia="Arial" w:hAnsi="Arial"/>
                <w:sz w:val="16"/>
                <w:szCs w:val="16"/>
                <w:color w:val="auto"/>
              </w:rPr>
              <w:t>M</w:t>
            </w:r>
          </w:p>
        </w:tc>
        <w:tc>
          <w:tcPr>
            <w:tcW w:w="820" w:type="dxa"/>
            <w:vAlign w:val="bottom"/>
            <w:shd w:val="clear" w:color="auto" w:fill="EDEDED"/>
          </w:tcPr>
          <w:p>
            <w:pPr>
              <w:ind w:left="420"/>
              <w:spacing w:after="0"/>
              <w:rPr>
                <w:sz w:val="20"/>
                <w:szCs w:val="20"/>
                <w:color w:val="auto"/>
              </w:rPr>
            </w:pPr>
            <w:r>
              <w:rPr>
                <w:rFonts w:ascii="Arial" w:cs="Arial" w:eastAsia="Arial" w:hAnsi="Arial"/>
                <w:sz w:val="16"/>
                <w:szCs w:val="16"/>
                <w:color w:val="auto"/>
              </w:rPr>
              <w:t>M</w:t>
            </w:r>
          </w:p>
        </w:tc>
        <w:tc>
          <w:tcPr>
            <w:tcW w:w="660" w:type="dxa"/>
            <w:vAlign w:val="bottom"/>
          </w:tcPr>
          <w:p>
            <w:pPr>
              <w:ind w:left="340"/>
              <w:spacing w:after="0"/>
              <w:rPr>
                <w:sz w:val="20"/>
                <w:szCs w:val="20"/>
                <w:color w:val="auto"/>
              </w:rPr>
            </w:pPr>
            <w:r>
              <w:rPr>
                <w:rFonts w:ascii="Arial" w:cs="Arial" w:eastAsia="Arial" w:hAnsi="Arial"/>
                <w:sz w:val="16"/>
                <w:szCs w:val="16"/>
                <w:color w:val="auto"/>
              </w:rPr>
              <w:t>M</w:t>
            </w:r>
          </w:p>
        </w:tc>
        <w:tc>
          <w:tcPr>
            <w:tcW w:w="940" w:type="dxa"/>
            <w:vAlign w:val="bottom"/>
            <w:shd w:val="clear" w:color="auto" w:fill="EDEDED"/>
          </w:tcPr>
          <w:p>
            <w:pPr>
              <w:ind w:left="480"/>
              <w:spacing w:after="0"/>
              <w:rPr>
                <w:sz w:val="20"/>
                <w:szCs w:val="20"/>
                <w:color w:val="auto"/>
              </w:rPr>
            </w:pPr>
            <w:r>
              <w:rPr>
                <w:rFonts w:ascii="Arial" w:cs="Arial" w:eastAsia="Arial" w:hAnsi="Arial"/>
                <w:sz w:val="16"/>
                <w:szCs w:val="16"/>
                <w:color w:val="auto"/>
              </w:rPr>
              <w:t>M</w:t>
            </w:r>
          </w:p>
        </w:tc>
        <w:tc>
          <w:tcPr>
            <w:tcW w:w="820" w:type="dxa"/>
            <w:vAlign w:val="bottom"/>
          </w:tcPr>
          <w:p>
            <w:pPr>
              <w:ind w:left="440"/>
              <w:spacing w:after="0"/>
              <w:rPr>
                <w:sz w:val="20"/>
                <w:szCs w:val="20"/>
                <w:color w:val="auto"/>
              </w:rPr>
            </w:pPr>
            <w:r>
              <w:rPr>
                <w:rFonts w:ascii="Arial" w:cs="Arial" w:eastAsia="Arial" w:hAnsi="Arial"/>
                <w:sz w:val="16"/>
                <w:szCs w:val="16"/>
                <w:color w:val="auto"/>
              </w:rPr>
              <w:t>F</w:t>
            </w:r>
          </w:p>
        </w:tc>
        <w:tc>
          <w:tcPr>
            <w:tcW w:w="780" w:type="dxa"/>
            <w:vAlign w:val="bottom"/>
            <w:shd w:val="clear" w:color="auto" w:fill="EDEDED"/>
          </w:tcPr>
          <w:p>
            <w:pPr>
              <w:ind w:left="420"/>
              <w:spacing w:after="0"/>
              <w:rPr>
                <w:sz w:val="20"/>
                <w:szCs w:val="20"/>
                <w:color w:val="auto"/>
              </w:rPr>
            </w:pPr>
            <w:r>
              <w:rPr>
                <w:rFonts w:ascii="Arial" w:cs="Arial" w:eastAsia="Arial" w:hAnsi="Arial"/>
                <w:sz w:val="16"/>
                <w:szCs w:val="16"/>
                <w:color w:val="auto"/>
              </w:rPr>
              <w:t>F</w:t>
            </w:r>
          </w:p>
        </w:tc>
        <w:tc>
          <w:tcPr>
            <w:tcW w:w="880" w:type="dxa"/>
            <w:vAlign w:val="bottom"/>
          </w:tcPr>
          <w:p>
            <w:pPr>
              <w:ind w:left="460"/>
              <w:spacing w:after="0"/>
              <w:rPr>
                <w:sz w:val="20"/>
                <w:szCs w:val="20"/>
                <w:color w:val="auto"/>
              </w:rPr>
            </w:pPr>
            <w:r>
              <w:rPr>
                <w:rFonts w:ascii="Arial" w:cs="Arial" w:eastAsia="Arial" w:hAnsi="Arial"/>
                <w:sz w:val="16"/>
                <w:szCs w:val="16"/>
                <w:color w:val="auto"/>
              </w:rPr>
              <w:t>F</w:t>
            </w:r>
          </w:p>
        </w:tc>
        <w:tc>
          <w:tcPr>
            <w:tcW w:w="580" w:type="dxa"/>
            <w:vAlign w:val="bottom"/>
            <w:shd w:val="clear" w:color="auto" w:fill="EDEDED"/>
          </w:tcPr>
          <w:p>
            <w:pPr>
              <w:ind w:left="300"/>
              <w:spacing w:after="0"/>
              <w:rPr>
                <w:sz w:val="20"/>
                <w:szCs w:val="20"/>
                <w:color w:val="auto"/>
              </w:rPr>
            </w:pPr>
            <w:r>
              <w:rPr>
                <w:rFonts w:ascii="Arial" w:cs="Arial" w:eastAsia="Arial" w:hAnsi="Arial"/>
                <w:sz w:val="16"/>
                <w:szCs w:val="16"/>
                <w:color w:val="auto"/>
              </w:rPr>
              <w:t>M</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African American or Black</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spacing w:after="0"/>
              <w:rPr>
                <w:sz w:val="24"/>
                <w:szCs w:val="24"/>
                <w:color w:val="auto"/>
              </w:rPr>
            </w:pPr>
          </w:p>
        </w:tc>
        <w:tc>
          <w:tcPr>
            <w:tcW w:w="580" w:type="dxa"/>
            <w:vAlign w:val="bottom"/>
            <w:shd w:val="clear" w:color="auto" w:fill="EDEDED"/>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Alaskan Native or American Indian</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shd w:val="clear" w:color="auto" w:fill="EDEDED"/>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Asian</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shd w:val="clear" w:color="auto" w:fill="EDEDED"/>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Hispanic or Latinx</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shd w:val="clear" w:color="auto" w:fill="EDEDED"/>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Native Hawaiian or Pacific Islander</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shd w:val="clear" w:color="auto" w:fill="EDEDED"/>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White</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2"/>
                <w:szCs w:val="12"/>
                <w:color w:val="0A9E50"/>
              </w:rPr>
              <w:t>●</w:t>
            </w: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spacing w:after="0"/>
              <w:rPr>
                <w:sz w:val="24"/>
                <w:szCs w:val="24"/>
                <w:color w:val="auto"/>
              </w:rPr>
            </w:pP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Two or More Races or Ethnicities</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shd w:val="clear" w:color="auto" w:fill="EDEDED"/>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LGBTQ+</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shd w:val="clear" w:color="auto" w:fill="EDEDED"/>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Did Not Disclose Demographic Background</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shd w:val="clear" w:color="auto" w:fill="EDEDED"/>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bl>
    <w:p>
      <w:pPr>
        <w:spacing w:after="0" w:line="117" w:lineRule="exact"/>
        <w:rPr>
          <w:sz w:val="20"/>
          <w:szCs w:val="20"/>
          <w:color w:val="auto"/>
        </w:rPr>
      </w:pPr>
    </w:p>
    <w:p>
      <w:pPr>
        <w:sectPr>
          <w:pgSz w:w="11900" w:h="16838" w:orient="portrait"/>
          <w:cols w:equalWidth="0" w:num="1">
            <w:col w:w="10940"/>
          </w:cols>
          <w:pgMar w:left="320" w:top="471" w:right="639" w:bottom="1440" w:gutter="0" w:footer="0" w:header="0"/>
        </w:sectPr>
      </w:pPr>
    </w:p>
    <w:p>
      <w:pPr>
        <w:ind w:left="380"/>
        <w:spacing w:after="0"/>
        <w:tabs>
          <w:tab w:leader="none" w:pos="880" w:val="left"/>
        </w:tabs>
        <w:rPr>
          <w:sz w:val="20"/>
          <w:szCs w:val="20"/>
          <w:color w:val="auto"/>
        </w:rPr>
      </w:pPr>
      <w:r>
        <w:rPr>
          <w:rFonts w:ascii="Arial" w:cs="Arial" w:eastAsia="Arial" w:hAnsi="Arial"/>
          <w:sz w:val="19"/>
          <w:szCs w:val="19"/>
          <w:color w:val="auto"/>
          <w:vertAlign w:val="superscript"/>
        </w:rPr>
        <w:t>16 </w:t>
      </w:r>
      <w:r>
        <w:rPr>
          <w:sz w:val="20"/>
          <w:szCs w:val="20"/>
          <w:color w:val="auto"/>
        </w:rPr>
        <w:tab/>
      </w:r>
      <w:r>
        <w:rPr>
          <w:rFonts w:ascii="Arial" w:cs="Arial" w:eastAsia="Arial" w:hAnsi="Arial"/>
          <w:sz w:val="13"/>
          <w:szCs w:val="13"/>
          <w:color w:val="auto"/>
        </w:rPr>
        <w:t xml:space="preserve">    </w:t>
      </w:r>
      <w:r>
        <w:rPr>
          <w:sz w:val="1"/>
          <w:szCs w:val="1"/>
          <w:color w:val="auto"/>
        </w:rPr>
        <w:drawing>
          <wp:inline distT="0" distB="0" distL="0" distR="0">
            <wp:extent cx="396240" cy="18986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-198120</wp:posOffset>
            </wp:positionV>
            <wp:extent cx="8255"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Proposal 1: Election of Directors</w:t>
      </w:r>
    </w:p>
    <w:p>
      <w:pPr>
        <w:spacing w:after="0" w:line="175" w:lineRule="exact"/>
        <w:rPr>
          <w:sz w:val="20"/>
          <w:szCs w:val="20"/>
          <w:color w:val="auto"/>
        </w:rPr>
      </w:pPr>
    </w:p>
    <w:p>
      <w:pPr>
        <w:ind w:left="320"/>
        <w:spacing w:after="0"/>
        <w:tabs>
          <w:tab w:leader="none" w:pos="5720" w:val="left"/>
        </w:tabs>
        <w:rPr>
          <w:sz w:val="20"/>
          <w:szCs w:val="20"/>
          <w:color w:val="auto"/>
        </w:rPr>
      </w:pPr>
      <w:r>
        <w:rPr>
          <w:rFonts w:ascii="Arial" w:cs="Arial" w:eastAsia="Arial" w:hAnsi="Arial"/>
          <w:sz w:val="21"/>
          <w:szCs w:val="21"/>
          <w:b w:val="1"/>
          <w:bCs w:val="1"/>
          <w:color w:val="auto"/>
        </w:rPr>
        <w:t>Director Qualifications and Experience</w:t>
      </w:r>
      <w:r>
        <w:rPr>
          <w:sz w:val="20"/>
          <w:szCs w:val="20"/>
          <w:color w:val="auto"/>
        </w:rPr>
        <w:tab/>
      </w:r>
      <w:r>
        <w:rPr>
          <w:rFonts w:ascii="Arial" w:cs="Arial" w:eastAsia="Arial" w:hAnsi="Arial"/>
          <w:sz w:val="20"/>
          <w:szCs w:val="20"/>
          <w:b w:val="1"/>
          <w:bCs w:val="1"/>
          <w:color w:val="auto"/>
        </w:rPr>
        <w:t>Board Diversity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Out of 9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-9525</wp:posOffset>
            </wp:positionV>
            <wp:extent cx="6550660" cy="1602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50660" cy="1602740"/>
                    </a:xfrm>
                    <a:prstGeom prst="rect">
                      <a:avLst/>
                    </a:prstGeom>
                    <a:noFill/>
                  </pic:spPr>
                </pic:pic>
              </a:graphicData>
            </a:graphic>
          </wp:anchor>
        </w:drawing>
      </w:r>
    </w:p>
    <w:p>
      <w:pPr>
        <w:spacing w:after="0" w:line="272" w:lineRule="exact"/>
        <w:rPr>
          <w:sz w:val="20"/>
          <w:szCs w:val="20"/>
          <w:color w:val="auto"/>
        </w:rPr>
      </w:pPr>
    </w:p>
    <w:tbl>
      <w:tblPr>
        <w:tblLayout w:type="fixed"/>
        <w:tblInd w:w="520" w:type="dxa"/>
        <w:tblCellMar>
          <w:top w:w="0" w:type="dxa"/>
          <w:left w:w="0" w:type="dxa"/>
          <w:bottom w:w="0" w:type="dxa"/>
          <w:right w:w="0" w:type="dxa"/>
        </w:tblCellMar>
      </w:tblPr>
      <w:tr>
        <w:trPr>
          <w:trHeight w:val="250"/>
        </w:trPr>
        <w:tc>
          <w:tcPr>
            <w:tcW w:w="440" w:type="dxa"/>
            <w:vAlign w:val="bottom"/>
            <w:vMerge w:val="restart"/>
          </w:tcPr>
          <w:p>
            <w:pPr>
              <w:jc w:val="right"/>
              <w:spacing w:after="0"/>
              <w:rPr>
                <w:sz w:val="20"/>
                <w:szCs w:val="20"/>
                <w:color w:val="auto"/>
              </w:rPr>
            </w:pPr>
            <w:r>
              <w:rPr>
                <w:rFonts w:ascii="Arial" w:cs="Arial" w:eastAsia="Arial" w:hAnsi="Arial"/>
                <w:sz w:val="52"/>
                <w:szCs w:val="52"/>
                <w:b w:val="1"/>
                <w:bCs w:val="1"/>
                <w:color w:val="0A9E50"/>
                <w:w w:val="96"/>
              </w:rPr>
              <w:t>9</w:t>
            </w:r>
          </w:p>
        </w:tc>
        <w:tc>
          <w:tcPr>
            <w:tcW w:w="2160" w:type="dxa"/>
            <w:vAlign w:val="bottom"/>
          </w:tcPr>
          <w:p>
            <w:pPr>
              <w:ind w:left="14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75"/>
        </w:trPr>
        <w:tc>
          <w:tcPr>
            <w:tcW w:w="440" w:type="dxa"/>
            <w:vAlign w:val="bottom"/>
            <w:vMerge w:val="continue"/>
          </w:tcPr>
          <w:p>
            <w:pPr>
              <w:spacing w:after="0"/>
              <w:rPr>
                <w:sz w:val="23"/>
                <w:szCs w:val="23"/>
                <w:color w:val="auto"/>
              </w:rPr>
            </w:pPr>
          </w:p>
        </w:tc>
        <w:tc>
          <w:tcPr>
            <w:tcW w:w="2160" w:type="dxa"/>
            <w:vAlign w:val="bottom"/>
          </w:tcPr>
          <w:p>
            <w:pPr>
              <w:ind w:left="500"/>
              <w:spacing w:after="0"/>
              <w:rPr>
                <w:sz w:val="20"/>
                <w:szCs w:val="20"/>
                <w:color w:val="auto"/>
              </w:rPr>
            </w:pPr>
            <w:r>
              <w:rPr>
                <w:rFonts w:ascii="Arial" w:cs="Arial" w:eastAsia="Arial" w:hAnsi="Arial"/>
                <w:sz w:val="17"/>
                <w:szCs w:val="17"/>
                <w:color w:val="auto"/>
              </w:rPr>
              <w:t>Executive Leadership</w:t>
            </w:r>
          </w:p>
        </w:tc>
        <w:tc>
          <w:tcPr>
            <w:tcW w:w="0" w:type="dxa"/>
            <w:vAlign w:val="bottom"/>
          </w:tcPr>
          <w:p>
            <w:pPr>
              <w:spacing w:after="0"/>
              <w:rPr>
                <w:sz w:val="1"/>
                <w:szCs w:val="1"/>
                <w:color w:val="auto"/>
              </w:rPr>
            </w:pPr>
          </w:p>
        </w:tc>
      </w:tr>
      <w:tr>
        <w:trPr>
          <w:trHeight w:val="194"/>
        </w:trPr>
        <w:tc>
          <w:tcPr>
            <w:tcW w:w="440" w:type="dxa"/>
            <w:vAlign w:val="bottom"/>
            <w:vMerge w:val="continue"/>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17145</wp:posOffset>
            </wp:positionV>
            <wp:extent cx="32302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ind w:left="1460" w:hanging="931"/>
        <w:spacing w:after="0"/>
        <w:tabs>
          <w:tab w:leader="none" w:pos="1460" w:val="left"/>
        </w:tabs>
        <w:numPr>
          <w:ilvl w:val="0"/>
          <w:numId w:val="13"/>
        </w:numPr>
        <w:rPr>
          <w:rFonts w:ascii="Arial" w:cs="Arial" w:eastAsia="Arial" w:hAnsi="Arial"/>
          <w:sz w:val="52"/>
          <w:szCs w:val="52"/>
          <w:b w:val="1"/>
          <w:bCs w:val="1"/>
          <w:color w:val="0A9E50"/>
        </w:rPr>
      </w:pPr>
      <w:r>
        <w:rPr>
          <w:rFonts w:ascii="Arial" w:cs="Arial" w:eastAsia="Arial" w:hAnsi="Arial"/>
          <w:sz w:val="17"/>
          <w:szCs w:val="17"/>
          <w:color w:val="auto"/>
        </w:rPr>
        <w:t>Transformations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137795</wp:posOffset>
            </wp:positionV>
            <wp:extent cx="32302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176" w:lineRule="exact"/>
        <w:rPr>
          <w:sz w:val="20"/>
          <w:szCs w:val="20"/>
          <w:color w:val="auto"/>
        </w:rPr>
      </w:pPr>
    </w:p>
    <w:p>
      <w:pPr>
        <w:ind w:left="1460" w:hanging="931"/>
        <w:spacing w:after="0"/>
        <w:tabs>
          <w:tab w:leader="none" w:pos="1460" w:val="left"/>
        </w:tabs>
        <w:numPr>
          <w:ilvl w:val="0"/>
          <w:numId w:val="14"/>
        </w:numPr>
        <w:rPr>
          <w:rFonts w:ascii="Arial" w:cs="Arial" w:eastAsia="Arial" w:hAnsi="Arial"/>
          <w:sz w:val="52"/>
          <w:szCs w:val="52"/>
          <w:b w:val="1"/>
          <w:bCs w:val="1"/>
          <w:color w:val="0A9E50"/>
        </w:rPr>
      </w:pPr>
      <w:r>
        <w:rPr>
          <w:rFonts w:ascii="Arial" w:cs="Arial" w:eastAsia="Arial" w:hAnsi="Arial"/>
          <w:sz w:val="17"/>
          <w:szCs w:val="17"/>
          <w:color w:val="auto"/>
        </w:rPr>
        <w:t>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137795</wp:posOffset>
            </wp:positionV>
            <wp:extent cx="32302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176" w:lineRule="exact"/>
        <w:rPr>
          <w:sz w:val="20"/>
          <w:szCs w:val="20"/>
          <w:color w:val="auto"/>
        </w:rPr>
      </w:pPr>
    </w:p>
    <w:p>
      <w:pPr>
        <w:ind w:left="1460" w:hanging="931"/>
        <w:spacing w:after="0"/>
        <w:tabs>
          <w:tab w:leader="none" w:pos="1460" w:val="left"/>
        </w:tabs>
        <w:numPr>
          <w:ilvl w:val="0"/>
          <w:numId w:val="15"/>
        </w:numPr>
        <w:rPr>
          <w:rFonts w:ascii="Arial" w:cs="Arial" w:eastAsia="Arial" w:hAnsi="Arial"/>
          <w:sz w:val="52"/>
          <w:szCs w:val="52"/>
          <w:b w:val="1"/>
          <w:bCs w:val="1"/>
          <w:color w:val="0A9E50"/>
        </w:rPr>
      </w:pPr>
      <w:r>
        <w:rPr>
          <w:rFonts w:ascii="Arial" w:cs="Arial" w:eastAsia="Arial" w:hAnsi="Arial"/>
          <w:sz w:val="17"/>
          <w:szCs w:val="17"/>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137795</wp:posOffset>
            </wp:positionV>
            <wp:extent cx="32302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460" w:right="7640" w:hanging="931"/>
        <w:spacing w:after="0" w:line="180" w:lineRule="auto"/>
        <w:tabs>
          <w:tab w:leader="none" w:pos="1460" w:val="left"/>
        </w:tabs>
        <w:numPr>
          <w:ilvl w:val="0"/>
          <w:numId w:val="16"/>
        </w:numPr>
        <w:rPr>
          <w:rFonts w:ascii="Arial" w:cs="Arial" w:eastAsia="Arial" w:hAnsi="Arial"/>
          <w:sz w:val="34"/>
          <w:szCs w:val="34"/>
          <w:b w:val="1"/>
          <w:bCs w:val="1"/>
          <w:color w:val="0A9E50"/>
        </w:rPr>
      </w:pPr>
      <w:r>
        <w:rPr>
          <w:rFonts w:ascii="Arial" w:cs="Arial" w:eastAsia="Arial" w:hAnsi="Arial"/>
          <w:sz w:val="15"/>
          <w:szCs w:val="15"/>
          <w:color w:val="auto"/>
        </w:rPr>
        <w:t>Technology, Digitization, and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73025</wp:posOffset>
            </wp:positionV>
            <wp:extent cx="32302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73" w:lineRule="exact"/>
        <w:rPr>
          <w:sz w:val="20"/>
          <w:szCs w:val="20"/>
          <w:color w:val="auto"/>
        </w:rPr>
      </w:pPr>
    </w:p>
    <w:p>
      <w:pPr>
        <w:ind w:left="1460" w:hanging="931"/>
        <w:spacing w:after="0"/>
        <w:tabs>
          <w:tab w:leader="none" w:pos="1460" w:val="left"/>
        </w:tabs>
        <w:numPr>
          <w:ilvl w:val="0"/>
          <w:numId w:val="17"/>
        </w:numPr>
        <w:rPr>
          <w:rFonts w:ascii="Arial" w:cs="Arial" w:eastAsia="Arial" w:hAnsi="Arial"/>
          <w:sz w:val="52"/>
          <w:szCs w:val="52"/>
          <w:b w:val="1"/>
          <w:bCs w:val="1"/>
          <w:color w:val="0A9E50"/>
        </w:rPr>
      </w:pPr>
      <w:r>
        <w:rPr>
          <w:rFonts w:ascii="Arial" w:cs="Arial" w:eastAsia="Arial" w:hAnsi="Arial"/>
          <w:sz w:val="17"/>
          <w:szCs w:val="17"/>
          <w:color w:val="auto"/>
        </w:rPr>
        <w:t>Financial Acumen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137795</wp:posOffset>
            </wp:positionV>
            <wp:extent cx="32302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176" w:lineRule="exact"/>
        <w:rPr>
          <w:sz w:val="20"/>
          <w:szCs w:val="20"/>
          <w:color w:val="auto"/>
        </w:rPr>
      </w:pPr>
    </w:p>
    <w:p>
      <w:pPr>
        <w:ind w:left="1460" w:hanging="931"/>
        <w:spacing w:after="0"/>
        <w:tabs>
          <w:tab w:leader="none" w:pos="1460" w:val="left"/>
        </w:tabs>
        <w:numPr>
          <w:ilvl w:val="0"/>
          <w:numId w:val="18"/>
        </w:numPr>
        <w:rPr>
          <w:rFonts w:ascii="Arial" w:cs="Arial" w:eastAsia="Arial" w:hAnsi="Arial"/>
          <w:sz w:val="52"/>
          <w:szCs w:val="52"/>
          <w:b w:val="1"/>
          <w:bCs w:val="1"/>
          <w:color w:val="0A9E50"/>
        </w:rPr>
      </w:pPr>
      <w:r>
        <w:rPr>
          <w:rFonts w:ascii="Arial" w:cs="Arial" w:eastAsia="Arial" w:hAnsi="Arial"/>
          <w:sz w:val="17"/>
          <w:szCs w:val="17"/>
          <w:color w:val="auto"/>
        </w:rPr>
        <w:t>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137795</wp:posOffset>
            </wp:positionV>
            <wp:extent cx="32302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176" w:lineRule="exact"/>
        <w:rPr>
          <w:sz w:val="20"/>
          <w:szCs w:val="20"/>
          <w:color w:val="auto"/>
        </w:rPr>
      </w:pPr>
    </w:p>
    <w:p>
      <w:pPr>
        <w:ind w:left="1460" w:hanging="931"/>
        <w:spacing w:after="0"/>
        <w:tabs>
          <w:tab w:leader="none" w:pos="1460" w:val="left"/>
        </w:tabs>
        <w:numPr>
          <w:ilvl w:val="0"/>
          <w:numId w:val="19"/>
        </w:numPr>
        <w:rPr>
          <w:rFonts w:ascii="Arial" w:cs="Arial" w:eastAsia="Arial" w:hAnsi="Arial"/>
          <w:sz w:val="52"/>
          <w:szCs w:val="52"/>
          <w:b w:val="1"/>
          <w:bCs w:val="1"/>
          <w:color w:val="0A9E50"/>
        </w:rPr>
      </w:pPr>
      <w:r>
        <w:rPr>
          <w:rFonts w:ascii="Arial" w:cs="Arial" w:eastAsia="Arial" w:hAnsi="Arial"/>
          <w:sz w:val="17"/>
          <w:szCs w:val="17"/>
          <w:color w:val="auto"/>
        </w:rPr>
        <w:t>Risk Management</w:t>
      </w:r>
    </w:p>
    <w:p>
      <w:pPr>
        <w:spacing w:after="0" w:line="195" w:lineRule="exact"/>
        <w:rPr>
          <w:rFonts w:ascii="Arial" w:cs="Arial" w:eastAsia="Arial" w:hAnsi="Arial"/>
          <w:sz w:val="52"/>
          <w:szCs w:val="52"/>
          <w:b w:val="1"/>
          <w:bCs w:val="1"/>
          <w:color w:val="0A9E50"/>
        </w:rPr>
      </w:pPr>
    </w:p>
    <w:p>
      <w:pPr>
        <w:ind w:left="1460" w:hanging="931"/>
        <w:spacing w:after="0"/>
        <w:tabs>
          <w:tab w:leader="none" w:pos="1460" w:val="left"/>
        </w:tabs>
        <w:numPr>
          <w:ilvl w:val="0"/>
          <w:numId w:val="19"/>
        </w:numPr>
        <w:rPr>
          <w:rFonts w:ascii="Arial" w:cs="Arial" w:eastAsia="Arial" w:hAnsi="Arial"/>
          <w:sz w:val="52"/>
          <w:szCs w:val="52"/>
          <w:b w:val="1"/>
          <w:bCs w:val="1"/>
          <w:color w:val="0A9E50"/>
        </w:rPr>
      </w:pPr>
      <w:r>
        <w:rPr>
          <w:rFonts w:ascii="Arial" w:cs="Arial" w:eastAsia="Arial" w:hAnsi="Arial"/>
          <w:sz w:val="17"/>
          <w:szCs w:val="17"/>
          <w:color w:val="auto"/>
        </w:rPr>
        <w:t>Legal or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-753745</wp:posOffset>
            </wp:positionV>
            <wp:extent cx="6426835" cy="900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26835" cy="900430"/>
                    </a:xfrm>
                    <a:prstGeom prst="rect">
                      <a:avLst/>
                    </a:prstGeom>
                    <a:noFill/>
                  </pic:spPr>
                </pic:pic>
              </a:graphicData>
            </a:graphic>
          </wp:anchor>
        </w:drawing>
      </w:r>
    </w:p>
    <w:p>
      <w:pPr>
        <w:spacing w:after="0" w:line="176" w:lineRule="exact"/>
        <w:rPr>
          <w:sz w:val="20"/>
          <w:szCs w:val="20"/>
          <w:color w:val="auto"/>
        </w:rPr>
      </w:pPr>
    </w:p>
    <w:p>
      <w:pPr>
        <w:ind w:left="1460" w:hanging="931"/>
        <w:spacing w:after="0"/>
        <w:tabs>
          <w:tab w:leader="none" w:pos="1460" w:val="left"/>
        </w:tabs>
        <w:numPr>
          <w:ilvl w:val="0"/>
          <w:numId w:val="20"/>
        </w:numPr>
        <w:rPr>
          <w:rFonts w:ascii="Arial" w:cs="Arial" w:eastAsia="Arial" w:hAnsi="Arial"/>
          <w:sz w:val="52"/>
          <w:szCs w:val="52"/>
          <w:b w:val="1"/>
          <w:bCs w:val="1"/>
          <w:color w:val="0A9E50"/>
        </w:rPr>
      </w:pPr>
      <w:r>
        <w:rPr>
          <w:rFonts w:ascii="Arial" w:cs="Arial" w:eastAsia="Arial" w:hAnsi="Arial"/>
          <w:sz w:val="17"/>
          <w:szCs w:val="17"/>
          <w:color w:val="auto"/>
        </w:rPr>
        <w:t>ESG &amp;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137795</wp:posOffset>
            </wp:positionV>
            <wp:extent cx="32302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72" w:lineRule="exact"/>
        <w:rPr>
          <w:sz w:val="20"/>
          <w:szCs w:val="20"/>
          <w:color w:val="auto"/>
        </w:rPr>
      </w:pPr>
    </w:p>
    <w:p>
      <w:pPr>
        <w:ind w:left="1460" w:hanging="931"/>
        <w:spacing w:after="0"/>
        <w:tabs>
          <w:tab w:leader="none" w:pos="1460" w:val="left"/>
        </w:tabs>
        <w:numPr>
          <w:ilvl w:val="0"/>
          <w:numId w:val="21"/>
        </w:numPr>
        <w:rPr>
          <w:rFonts w:ascii="Arial" w:cs="Arial" w:eastAsia="Arial" w:hAnsi="Arial"/>
          <w:sz w:val="52"/>
          <w:szCs w:val="52"/>
          <w:b w:val="1"/>
          <w:bCs w:val="1"/>
          <w:color w:val="0A9E50"/>
        </w:rPr>
      </w:pPr>
      <w:r>
        <w:rPr>
          <w:rFonts w:ascii="Arial" w:cs="Arial" w:eastAsia="Arial" w:hAnsi="Arial"/>
          <w:sz w:val="17"/>
          <w:szCs w:val="17"/>
          <w:color w:val="auto"/>
        </w:rPr>
        <w:t>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600710</wp:posOffset>
            </wp:positionV>
            <wp:extent cx="5749290" cy="16357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49290" cy="163576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203835</wp:posOffset>
            </wp:positionV>
            <wp:extent cx="32302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-184150</wp:posOffset>
            </wp:positionV>
            <wp:extent cx="8255" cy="2228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Proposal 1: Election of Directors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Biographical Information About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242570</wp:posOffset>
            </wp:positionV>
            <wp:extent cx="5831840" cy="15862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31840" cy="1586230"/>
                    </a:xfrm>
                    <a:prstGeom prst="rect">
                      <a:avLst/>
                    </a:prstGeom>
                    <a:noFill/>
                  </pic:spPr>
                </pic:pic>
              </a:graphicData>
            </a:graphic>
          </wp:anchor>
        </w:drawing>
      </w:r>
    </w:p>
    <w:p>
      <w:pPr>
        <w:sectPr>
          <w:pgSz w:w="11900" w:h="16838" w:orient="portrait"/>
          <w:cols w:equalWidth="0" w:num="1">
            <w:col w:w="10900"/>
          </w:cols>
          <w:pgMar w:left="320" w:top="471"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9525</wp:posOffset>
            </wp:positionV>
            <wp:extent cx="1899920" cy="8591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99920" cy="859155"/>
                    </a:xfrm>
                    <a:prstGeom prst="rect">
                      <a:avLst/>
                    </a:prstGeom>
                    <a:noFill/>
                  </pic:spPr>
                </pic:pic>
              </a:graphicData>
            </a:graphic>
          </wp:anchor>
        </w:drawing>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Specific Experience and Skills</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Leadership</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Transformations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Acumen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Risk Management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Legal/Corporate Governance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Mergers &amp; Acquisitions</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229870</wp:posOffset>
            </wp:positionV>
            <wp:extent cx="1586230" cy="15862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8623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9525</wp:posOffset>
            </wp:positionV>
            <wp:extent cx="1899920" cy="1437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99920" cy="1437640"/>
                    </a:xfrm>
                    <a:prstGeom prst="rect">
                      <a:avLst/>
                    </a:prstGeom>
                    <a:noFill/>
                  </pic:spPr>
                </pic:pic>
              </a:graphicData>
            </a:graphic>
          </wp:anchor>
        </w:drawing>
      </w:r>
    </w:p>
    <w:p>
      <w:pPr>
        <w:spacing w:after="0" w:line="1" w:lineRule="exact"/>
        <w:rPr>
          <w:sz w:val="20"/>
          <w:szCs w:val="20"/>
          <w:color w:val="auto"/>
        </w:rPr>
      </w:pPr>
    </w:p>
    <w:p>
      <w:pPr>
        <w:ind w:left="460" w:right="60"/>
        <w:spacing w:after="0" w:line="246" w:lineRule="auto"/>
        <w:rPr>
          <w:sz w:val="20"/>
          <w:szCs w:val="20"/>
          <w:color w:val="auto"/>
        </w:rPr>
      </w:pPr>
      <w:r>
        <w:rPr>
          <w:rFonts w:ascii="Arial" w:cs="Arial" w:eastAsia="Arial" w:hAnsi="Arial"/>
          <w:sz w:val="16"/>
          <w:szCs w:val="16"/>
          <w:b w:val="1"/>
          <w:bCs w:val="1"/>
          <w:color w:val="auto"/>
        </w:rPr>
        <w:t xml:space="preserve">Specific Experience and Skills </w:t>
      </w: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Leadership</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Transformations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Innovation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Industry</w:t>
      </w:r>
    </w:p>
    <w:p>
      <w:pPr>
        <w:spacing w:after="0" w:line="9" w:lineRule="exact"/>
        <w:rPr>
          <w:sz w:val="20"/>
          <w:szCs w:val="20"/>
          <w:color w:val="auto"/>
        </w:rPr>
      </w:pPr>
    </w:p>
    <w:p>
      <w:pPr>
        <w:ind w:left="460" w:right="520"/>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Technology/Digitization/</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 Cybersecurity</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Acumen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Risk Management</w:t>
      </w:r>
    </w:p>
    <w:p>
      <w:pPr>
        <w:spacing w:after="0" w:line="9" w:lineRule="exact"/>
        <w:rPr>
          <w:sz w:val="20"/>
          <w:szCs w:val="20"/>
          <w:color w:val="auto"/>
        </w:rPr>
      </w:pPr>
    </w:p>
    <w:p>
      <w:pPr>
        <w:ind w:left="460" w:right="140"/>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Legal/Corporate Governance</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ESG/Sustainability</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Mergers &amp; Acquisitions</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None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14" w:lineRule="exact"/>
        <w:rPr>
          <w:sz w:val="20"/>
          <w:szCs w:val="20"/>
          <w:color w:val="auto"/>
        </w:rPr>
      </w:pPr>
    </w:p>
    <w:p>
      <w:pPr>
        <w:ind w:left="160" w:right="440" w:hanging="155"/>
        <w:spacing w:after="0" w:line="277"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Vice President, Business Development, General Counsel and Corporate Secretary, Lear</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Corporation (2008 - 2020)</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Wayne State University Law School, JD cum laude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Michigan State University, BA (High Honors), Finance</w:t>
      </w:r>
    </w:p>
    <w:p>
      <w:pPr>
        <w:spacing w:after="0" w:line="73"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Mr. Larkin is an attorney with 28 years of experience in a business law practice. In 2022 he served as chair of the Governance and Nominating Committee and in May 2023 he was appointed to serve as Chairman of the Board. He retired in January 2020 as a member of the senior management team of a global manufacturing company with responsibility for legal affairs, internal audit, and global business development for mergers, acquisitions, and joint ventures. Mr. Larkin currently serves on the board of three not-for-profit organizations and one for-profit private corporation. He brings to the Board a valuable combination of complex problem-solving skills, legal and governance expertise, and global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438785</wp:posOffset>
            </wp:positionV>
            <wp:extent cx="3808095" cy="528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0809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None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President and Chief Executive Officer, Kelly Services, Inc. (2019 - present)</w:t>
      </w:r>
    </w:p>
    <w:p>
      <w:pPr>
        <w:spacing w:after="0" w:line="9" w:lineRule="exact"/>
        <w:rPr>
          <w:sz w:val="20"/>
          <w:szCs w:val="20"/>
          <w:color w:val="auto"/>
        </w:rPr>
      </w:pPr>
    </w:p>
    <w:p>
      <w:pPr>
        <w:ind w:left="160" w:right="180" w:hanging="155"/>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Vice President, President of Global Staffing and General Manager of IT, Global Service, and</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Global Business Services, Kelly Services, Inc. (2017 - 2019)</w:t>
      </w:r>
    </w:p>
    <w:p>
      <w:pPr>
        <w:spacing w:after="0" w:line="1" w:lineRule="exact"/>
        <w:rPr>
          <w:sz w:val="20"/>
          <w:szCs w:val="20"/>
          <w:color w:val="auto"/>
        </w:rPr>
      </w:pPr>
    </w:p>
    <w:p>
      <w:pPr>
        <w:ind w:left="160" w:right="400" w:hanging="155"/>
        <w:spacing w:after="0" w:line="277"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Senior Vice President, General Counsel, Chief Administrative Officer and Assistant Secretary, Kelly</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Services, Inc. (2015 - 2017)</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4" w:lineRule="exact"/>
        <w:rPr>
          <w:sz w:val="20"/>
          <w:szCs w:val="20"/>
          <w:color w:val="auto"/>
        </w:rPr>
      </w:pPr>
    </w:p>
    <w:p>
      <w:pPr>
        <w:ind w:right="3240"/>
        <w:spacing w:after="0" w:line="278"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National Law Center at George Washington University, JD</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University of Michigan, BA</w:t>
      </w:r>
    </w:p>
    <w:p>
      <w:pPr>
        <w:spacing w:after="0" w:line="28"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Mr. Quigley was appointed President and Chief Executive Officer of Kelly in October 2019. He has more than 20 years of experience in a variety of roles at Kelly and has served as an officer of the Company since 2004. Prior to joining Kelly, Mr. Quigley held a variety of roles at Lucent Technologies and AT&amp;T Corporation. Mr. Quigley also serves on the Boards of the American Staffing Association, Detroit Regional Chamber, Business Leaders for Michigan, and the Detroit Economic Club. He brings to the Board his leadership experience and extensive knowledge of the Company’s business.</w:t>
      </w:r>
    </w:p>
    <w:p>
      <w:pPr>
        <w:spacing w:after="0" w:line="1004" w:lineRule="exact"/>
        <w:rPr>
          <w:sz w:val="20"/>
          <w:szCs w:val="20"/>
          <w:color w:val="auto"/>
        </w:rPr>
      </w:pPr>
    </w:p>
    <w:p>
      <w:pPr>
        <w:sectPr>
          <w:pgSz w:w="11900" w:h="16838" w:orient="portrait"/>
          <w:cols w:equalWidth="0" w:num="2">
            <w:col w:w="2780" w:space="720"/>
            <w:col w:w="7400"/>
          </w:cols>
          <w:pgMar w:left="320" w:top="471" w:right="679" w:bottom="1440" w:gutter="0" w:footer="0" w:header="0"/>
          <w:type w:val="continuous"/>
        </w:sectPr>
      </w:pPr>
    </w:p>
    <w:p>
      <w:pPr>
        <w:spacing w:after="0" w:line="49"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9"/>
          <w:szCs w:val="19"/>
          <w:color w:val="auto"/>
          <w:vertAlign w:val="superscript"/>
        </w:rPr>
        <w:t>18 </w:t>
      </w:r>
      <w:r>
        <w:rPr>
          <w:sz w:val="20"/>
          <w:szCs w:val="20"/>
          <w:color w:val="auto"/>
        </w:rPr>
        <w:tab/>
      </w:r>
      <w:r>
        <w:rPr>
          <w:rFonts w:ascii="Arial" w:cs="Arial" w:eastAsia="Arial" w:hAnsi="Arial"/>
          <w:sz w:val="13"/>
          <w:szCs w:val="13"/>
          <w:color w:val="auto"/>
        </w:rPr>
        <w:t xml:space="preserve">    </w:t>
      </w:r>
      <w:r>
        <w:rPr>
          <w:sz w:val="1"/>
          <w:szCs w:val="1"/>
          <w:color w:val="auto"/>
        </w:rPr>
        <w:drawing>
          <wp:inline distT="0" distB="0" distL="0" distR="0">
            <wp:extent cx="396240" cy="18986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-198120</wp:posOffset>
            </wp:positionV>
            <wp:extent cx="8255" cy="2228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00"/>
          </w:cols>
          <w:pgMar w:left="320" w:top="471" w:right="6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384175</wp:posOffset>
            </wp:positionV>
            <wp:extent cx="1586230" cy="15862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8623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9525</wp:posOffset>
            </wp:positionV>
            <wp:extent cx="1899920" cy="132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99920" cy="1321435"/>
                    </a:xfrm>
                    <a:prstGeom prst="rect">
                      <a:avLst/>
                    </a:prstGeom>
                    <a:noFill/>
                  </pic:spPr>
                </pic:pic>
              </a:graphicData>
            </a:graphic>
          </wp:anchor>
        </w:drawing>
      </w:r>
    </w:p>
    <w:p>
      <w:pPr>
        <w:spacing w:after="0" w:line="1" w:lineRule="exact"/>
        <w:rPr>
          <w:sz w:val="20"/>
          <w:szCs w:val="20"/>
          <w:color w:val="auto"/>
        </w:rPr>
      </w:pPr>
    </w:p>
    <w:p>
      <w:pPr>
        <w:ind w:left="460" w:right="60"/>
        <w:spacing w:after="0" w:line="246" w:lineRule="auto"/>
        <w:rPr>
          <w:sz w:val="20"/>
          <w:szCs w:val="20"/>
          <w:color w:val="auto"/>
        </w:rPr>
      </w:pPr>
      <w:r>
        <w:rPr>
          <w:rFonts w:ascii="Arial" w:cs="Arial" w:eastAsia="Arial" w:hAnsi="Arial"/>
          <w:sz w:val="16"/>
          <w:szCs w:val="16"/>
          <w:b w:val="1"/>
          <w:bCs w:val="1"/>
          <w:color w:val="auto"/>
        </w:rPr>
        <w:t xml:space="preserve">Specific Experience and Skills </w:t>
      </w: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Leadership</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Transformations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Innovation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Industry</w:t>
      </w:r>
    </w:p>
    <w:p>
      <w:pPr>
        <w:spacing w:after="0" w:line="9" w:lineRule="exact"/>
        <w:rPr>
          <w:sz w:val="20"/>
          <w:szCs w:val="20"/>
          <w:color w:val="auto"/>
        </w:rPr>
      </w:pPr>
    </w:p>
    <w:p>
      <w:pPr>
        <w:ind w:left="460" w:right="520"/>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Technology/Digitization/</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 Cybersecurity</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Acumen</w:t>
      </w:r>
    </w:p>
    <w:p>
      <w:pPr>
        <w:spacing w:after="0" w:line="9" w:lineRule="exact"/>
        <w:rPr>
          <w:sz w:val="20"/>
          <w:szCs w:val="20"/>
          <w:color w:val="auto"/>
        </w:rPr>
      </w:pPr>
    </w:p>
    <w:p>
      <w:pPr>
        <w:ind w:left="460" w:right="140"/>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Legal/Corporate Governance</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ESG/Sustainability</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Mergers &amp; Acquisitions</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w:t>
      </w:r>
    </w:p>
    <w:p>
      <w:pPr>
        <w:ind w:left="320"/>
        <w:spacing w:after="0" w:line="237" w:lineRule="auto"/>
        <w:rPr>
          <w:sz w:val="20"/>
          <w:szCs w:val="20"/>
          <w:color w:val="auto"/>
        </w:rPr>
      </w:pPr>
      <w:r>
        <w:rPr>
          <w:rFonts w:ascii="Arial" w:cs="Arial" w:eastAsia="Arial" w:hAnsi="Arial"/>
          <w:sz w:val="16"/>
          <w:szCs w:val="16"/>
          <w:color w:val="auto"/>
        </w:rPr>
        <w:t> </w:t>
      </w:r>
    </w:p>
    <w:p>
      <w:pPr>
        <w:ind w:left="320"/>
        <w:spacing w:after="0" w:line="238" w:lineRule="auto"/>
        <w:rPr>
          <w:sz w:val="20"/>
          <w:szCs w:val="20"/>
          <w:color w:val="auto"/>
        </w:rPr>
      </w:pPr>
      <w:r>
        <w:rPr>
          <w:rFonts w:ascii="Arial" w:cs="Arial" w:eastAsia="Arial" w:hAnsi="Arial"/>
          <w:sz w:val="16"/>
          <w:szCs w:val="16"/>
          <w:color w:val="auto"/>
        </w:rPr>
        <w:t> </w:t>
      </w:r>
    </w:p>
    <w:p>
      <w:pPr>
        <w:ind w:left="320"/>
        <w:spacing w:after="0" w:line="237" w:lineRule="auto"/>
        <w:rPr>
          <w:sz w:val="20"/>
          <w:szCs w:val="20"/>
          <w:color w:val="auto"/>
        </w:rPr>
      </w:pPr>
      <w:r>
        <w:rPr>
          <w:rFonts w:ascii="Arial" w:cs="Arial" w:eastAsia="Arial" w:hAnsi="Arial"/>
          <w:sz w:val="16"/>
          <w:szCs w:val="16"/>
          <w:color w:val="auto"/>
        </w:rPr>
        <w:t> </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220980</wp:posOffset>
            </wp:positionV>
            <wp:extent cx="1586230" cy="15862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8623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9525</wp:posOffset>
            </wp:positionV>
            <wp:extent cx="1899920" cy="10902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99920" cy="1090295"/>
                    </a:xfrm>
                    <a:prstGeom prst="rect">
                      <a:avLst/>
                    </a:prstGeom>
                    <a:noFill/>
                  </pic:spPr>
                </pic:pic>
              </a:graphicData>
            </a:graphic>
          </wp:anchor>
        </w:drawing>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Specific Experience and Skills</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Leadership</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Innovation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Industry</w:t>
      </w:r>
    </w:p>
    <w:p>
      <w:pPr>
        <w:spacing w:after="0" w:line="9" w:lineRule="exact"/>
        <w:rPr>
          <w:sz w:val="20"/>
          <w:szCs w:val="20"/>
          <w:color w:val="auto"/>
        </w:rPr>
      </w:pPr>
    </w:p>
    <w:p>
      <w:pPr>
        <w:ind w:left="460" w:right="520"/>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Technology/Digitization/</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 Cybersecurity</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Acumen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Risk Management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Mergers &amp; Acquisitions</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-2232025</wp:posOffset>
            </wp:positionH>
            <wp:positionV relativeFrom="paragraph">
              <wp:posOffset>-622935</wp:posOffset>
            </wp:positionV>
            <wp:extent cx="7179310" cy="539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3808095" cy="528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0809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Audit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Compensation and Talent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Corporate Governance and Nominating (Chair)</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NAACP Legal Defense and Education Fund (1998 -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Cintas Corporation (2006 -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Abt Associates (2020 -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Board Chair, Cardinal Spellman High School Board (2022 -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Trustee, Cardinal Spellman High School Board (2010 - 2022)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Senior Partner and other executive positions, Booz &amp; Co. (1981 - 2016)</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Harvard Business School,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Massachusetts Institute of Technology, MS, Chemical Engineering</w:t>
      </w:r>
    </w:p>
    <w:p>
      <w:pPr>
        <w:spacing w:after="0" w:line="9" w:lineRule="exact"/>
        <w:rPr>
          <w:sz w:val="20"/>
          <w:szCs w:val="20"/>
          <w:color w:val="auto"/>
        </w:rPr>
      </w:pPr>
    </w:p>
    <w:p>
      <w:pPr>
        <w:ind w:left="160" w:right="480" w:hanging="155"/>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Massachusetts Institute of Technology, BS, Management Science (Concentration in Organizational</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Psychology)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Massachusetts Institute of Technology, BS, Chemical Engineering</w:t>
      </w:r>
    </w:p>
    <w:p>
      <w:pPr>
        <w:spacing w:after="0" w:line="73"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Mr. Adolph joined our Board in March 2018 with over 35 years of experience in growth strategy, mergers and acquisitions, and technology-driven industry changes. He also has governance experience through his past service on the board of Booz &amp; Co. and current service on the boards of Cintas Corp., where he chairs the compensation committee, and the NAACP Legal Defense and Education Fund, where he served as co-chair from 2011 to 2021. Mr. Adolph is a founding board member of Black Economic Alliance and served as a director from 2017 to 2020. He also serves on the board of Abt Associates. His extensive business expertise, strategic perspective, and strong leadership skills make him a valued contributor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422275</wp:posOffset>
            </wp:positionV>
            <wp:extent cx="3808095" cy="528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0809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None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President and Chief Executive Officer, Kelly Services, Inc. (2017-2019)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Vice President and Chief Operating Officer, Kelly Services, Inc. (2009 - 2017)</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Oakland University,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Wayne State University, BSBA</w:t>
      </w:r>
    </w:p>
    <w:p>
      <w:pPr>
        <w:spacing w:after="0" w:line="73"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Mr. Corona served as President and Chief Executive Officer of Kelly from May 2017 until his retirement in September 2019. He had more than 20 years of experience in a variety of executive roles with Kelly, including eight years as Executive Vice President and Chief Operating Officer. Prior to joining Kelly in 1994, he held management roles at Digital Equipment Professional Services Group and Burroughs Corporation. Mr. Corona also serves on the boards of several not-for-profit organizations. He brings to the Board significant knowledge of the Company and executive leadership experience.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600"/>
        <w:spacing w:after="0"/>
        <w:tabs>
          <w:tab w:leader="none" w:pos="68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-184150</wp:posOffset>
            </wp:positionV>
            <wp:extent cx="8255" cy="2228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2">
            <w:col w:w="2780" w:space="720"/>
            <w:col w:w="7440"/>
          </w:cols>
          <w:pgMar w:left="320" w:top="471"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94615</wp:posOffset>
            </wp:positionV>
            <wp:extent cx="1586230" cy="15862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8623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9525</wp:posOffset>
            </wp:positionV>
            <wp:extent cx="1899920" cy="10902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99920" cy="1090295"/>
                    </a:xfrm>
                    <a:prstGeom prst="rect">
                      <a:avLst/>
                    </a:prstGeom>
                    <a:noFill/>
                  </pic:spPr>
                </pic:pic>
              </a:graphicData>
            </a:graphic>
          </wp:anchor>
        </w:drawing>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Specific Experience and Skills</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Leadership</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Transformations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Innovation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Expert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Risk Management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Legal/Corporate Governance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268605</wp:posOffset>
            </wp:positionV>
            <wp:extent cx="1586230" cy="15862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8623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9525</wp:posOffset>
            </wp:positionV>
            <wp:extent cx="1899920" cy="1437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99920" cy="1437640"/>
                    </a:xfrm>
                    <a:prstGeom prst="rect">
                      <a:avLst/>
                    </a:prstGeom>
                    <a:noFill/>
                  </pic:spPr>
                </pic:pic>
              </a:graphicData>
            </a:graphic>
          </wp:anchor>
        </w:drawing>
      </w:r>
    </w:p>
    <w:p>
      <w:pPr>
        <w:spacing w:after="0" w:line="1" w:lineRule="exact"/>
        <w:rPr>
          <w:sz w:val="20"/>
          <w:szCs w:val="20"/>
          <w:color w:val="auto"/>
        </w:rPr>
      </w:pPr>
    </w:p>
    <w:p>
      <w:pPr>
        <w:ind w:left="460" w:right="60"/>
        <w:spacing w:after="0" w:line="246" w:lineRule="auto"/>
        <w:rPr>
          <w:sz w:val="20"/>
          <w:szCs w:val="20"/>
          <w:color w:val="auto"/>
        </w:rPr>
      </w:pPr>
      <w:r>
        <w:rPr>
          <w:rFonts w:ascii="Arial" w:cs="Arial" w:eastAsia="Arial" w:hAnsi="Arial"/>
          <w:sz w:val="16"/>
          <w:szCs w:val="16"/>
          <w:b w:val="1"/>
          <w:bCs w:val="1"/>
          <w:color w:val="auto"/>
        </w:rPr>
        <w:t xml:space="preserve">Specific Experience and Skills </w:t>
      </w: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Leadership</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Transformations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Innovation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Industry</w:t>
      </w:r>
    </w:p>
    <w:p>
      <w:pPr>
        <w:spacing w:after="0" w:line="9" w:lineRule="exact"/>
        <w:rPr>
          <w:sz w:val="20"/>
          <w:szCs w:val="20"/>
          <w:color w:val="auto"/>
        </w:rPr>
      </w:pPr>
    </w:p>
    <w:p>
      <w:pPr>
        <w:ind w:left="460" w:right="520"/>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Technology/Digitization/</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 Cybersecurity</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Acumen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Risk Management</w:t>
      </w:r>
    </w:p>
    <w:p>
      <w:pPr>
        <w:spacing w:after="0" w:line="9" w:lineRule="exact"/>
        <w:rPr>
          <w:sz w:val="20"/>
          <w:szCs w:val="20"/>
          <w:color w:val="auto"/>
        </w:rPr>
      </w:pPr>
    </w:p>
    <w:p>
      <w:pPr>
        <w:ind w:left="460" w:right="140"/>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Legal/Corporate Governance</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ESG/Sustainability</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Mergers &amp; Acquisitions</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w:t>
      </w:r>
    </w:p>
    <w:p>
      <w:pPr>
        <w:ind w:left="320"/>
        <w:spacing w:after="0"/>
        <w:rPr>
          <w:sz w:val="20"/>
          <w:szCs w:val="20"/>
          <w:color w:val="auto"/>
        </w:rPr>
      </w:pPr>
      <w:r>
        <w:rPr>
          <w:rFonts w:ascii="Arial" w:cs="Arial" w:eastAsia="Arial" w:hAnsi="Arial"/>
          <w:sz w:val="16"/>
          <w:szCs w:val="16"/>
          <w:color w:val="auto"/>
        </w:rPr>
        <w:t> </w:t>
      </w:r>
    </w:p>
    <w:p>
      <w:pPr>
        <w:spacing w:after="0" w:line="64"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20 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-2232025</wp:posOffset>
            </wp:positionH>
            <wp:positionV relativeFrom="paragraph">
              <wp:posOffset>-1354455</wp:posOffset>
            </wp:positionV>
            <wp:extent cx="7179310" cy="539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-635635</wp:posOffset>
            </wp:positionV>
            <wp:extent cx="3808095" cy="528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08095" cy="5289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Audit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Compensation and Talent Management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Corporate Governance and Nominating</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Huntington Bancshares Incorporated (2017 –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First Merit Corporation (2013 –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President and Chief Executive Officer, Meadowbrook Insurance Group, Inc. (2002 – 2016)</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Detroit College of Law, JD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Wayne State University, BA, Psychology</w:t>
      </w:r>
    </w:p>
    <w:p>
      <w:pPr>
        <w:spacing w:after="0" w:line="73"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Mr. Cubbin is an attorney with 31 years of experience in insurance law. In 2016, he retired as President and Chief Executive Officer following a 30-year career with Meadowbrook Insurance Group. He previously served on the board of directors of three large publicly held companies. Mr. Cubbin is an experienced director with broad-ranging experience in legal, insurance, management, accounting, actuarial, investment, underwriting, reinsurance, and claims. The Board determined that Mr. Cubbin qualifies as an “audit committee financial expert” within the meaning of applicable SEC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3808095" cy="528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0809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Audit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Corporate Governance and Nominating</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Vice President and Chief Information Officer, United Services Automobile Association (USAA)</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(2022 – present)</w:t>
      </w:r>
    </w:p>
    <w:p>
      <w:pPr>
        <w:ind w:left="160" w:right="820" w:hanging="155"/>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Senior Executive Vice President, Chief Operations and Technology Officer, Regions Financial</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Corporation (2017 –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Innovation Depot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Regions Bank (2019 –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Techbridge, Inc. (2016 - 2020)</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Columbia University, MS, Technology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University of Nebraska at Omaha, MBA, International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Osmania University, BS, Electronics and Communications Engineering</w:t>
      </w:r>
    </w:p>
    <w:p>
      <w:pPr>
        <w:spacing w:after="0" w:line="73"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Ms. Duggirala joined our Board in January 2022 with more than 24 years of leadership experience with global organizations. She is a renowned digital transformation and technology strategist with skills in large-scale strategic product delivery, technical innovation, and complex financial management. She brings to the Board a wealth of knowledge in integrations, strategic planning, product development, operations, engineering, data management, and cybersecurity. Ms. Duggirala has significant cybersecurity experience from working in a variety of information technology and data analytics roles, including Chief Operations and Technology Officer at Regions Bank and Chief Technology Officer at other large fintech firms. In 2022, Ms. Duggirala received the esteemed Outstanding 50 Asian Americans in Business Award.</w:t>
      </w:r>
    </w:p>
    <w:p>
      <w:pPr>
        <w:sectPr>
          <w:pgSz w:w="11900" w:h="16838" w:orient="portrait"/>
          <w:cols w:equalWidth="0" w:num="2">
            <w:col w:w="2780" w:space="720"/>
            <w:col w:w="7400"/>
          </w:cols>
          <w:pgMar w:left="320" w:top="471" w:right="6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384175</wp:posOffset>
            </wp:positionV>
            <wp:extent cx="1586230" cy="15862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8623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9525</wp:posOffset>
            </wp:positionV>
            <wp:extent cx="1899920" cy="1321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99920" cy="1321435"/>
                    </a:xfrm>
                    <a:prstGeom prst="rect">
                      <a:avLst/>
                    </a:prstGeom>
                    <a:noFill/>
                  </pic:spPr>
                </pic:pic>
              </a:graphicData>
            </a:graphic>
          </wp:anchor>
        </w:drawing>
      </w:r>
    </w:p>
    <w:p>
      <w:pPr>
        <w:spacing w:after="0" w:line="1" w:lineRule="exact"/>
        <w:rPr>
          <w:sz w:val="20"/>
          <w:szCs w:val="20"/>
          <w:color w:val="auto"/>
        </w:rPr>
      </w:pPr>
    </w:p>
    <w:p>
      <w:pPr>
        <w:ind w:left="460" w:right="60"/>
        <w:spacing w:after="0" w:line="246" w:lineRule="auto"/>
        <w:rPr>
          <w:sz w:val="20"/>
          <w:szCs w:val="20"/>
          <w:color w:val="auto"/>
        </w:rPr>
      </w:pPr>
      <w:r>
        <w:rPr>
          <w:rFonts w:ascii="Arial" w:cs="Arial" w:eastAsia="Arial" w:hAnsi="Arial"/>
          <w:sz w:val="16"/>
          <w:szCs w:val="16"/>
          <w:b w:val="1"/>
          <w:bCs w:val="1"/>
          <w:color w:val="auto"/>
        </w:rPr>
        <w:t xml:space="preserve">Specific Experience and Skills </w:t>
      </w: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Leadership</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Transformations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Innovation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Industry</w:t>
      </w:r>
    </w:p>
    <w:p>
      <w:pPr>
        <w:spacing w:after="0" w:line="9" w:lineRule="exact"/>
        <w:rPr>
          <w:sz w:val="20"/>
          <w:szCs w:val="20"/>
          <w:color w:val="auto"/>
        </w:rPr>
      </w:pPr>
    </w:p>
    <w:p>
      <w:pPr>
        <w:ind w:left="460" w:right="520"/>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Technology/Digitization/</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 Cybersecurity</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Acumen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Risk Management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ESG/Sustainability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384810</wp:posOffset>
            </wp:positionV>
            <wp:extent cx="1586230" cy="15862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8623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9525</wp:posOffset>
            </wp:positionV>
            <wp:extent cx="1899920" cy="132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99920" cy="1321435"/>
                    </a:xfrm>
                    <a:prstGeom prst="rect">
                      <a:avLst/>
                    </a:prstGeom>
                    <a:noFill/>
                  </pic:spPr>
                </pic:pic>
              </a:graphicData>
            </a:graphic>
          </wp:anchor>
        </w:drawing>
      </w:r>
    </w:p>
    <w:p>
      <w:pPr>
        <w:spacing w:after="0" w:line="1" w:lineRule="exact"/>
        <w:rPr>
          <w:sz w:val="20"/>
          <w:szCs w:val="20"/>
          <w:color w:val="auto"/>
        </w:rPr>
      </w:pPr>
    </w:p>
    <w:p>
      <w:pPr>
        <w:ind w:left="460" w:right="60"/>
        <w:spacing w:after="0" w:line="246" w:lineRule="auto"/>
        <w:rPr>
          <w:sz w:val="20"/>
          <w:szCs w:val="20"/>
          <w:color w:val="auto"/>
        </w:rPr>
      </w:pPr>
      <w:r>
        <w:rPr>
          <w:rFonts w:ascii="Arial" w:cs="Arial" w:eastAsia="Arial" w:hAnsi="Arial"/>
          <w:sz w:val="16"/>
          <w:szCs w:val="16"/>
          <w:b w:val="1"/>
          <w:bCs w:val="1"/>
          <w:color w:val="auto"/>
        </w:rPr>
        <w:t xml:space="preserve">Specific Experience and Skills </w:t>
      </w: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Leadership</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Transformations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Industry</w:t>
      </w:r>
    </w:p>
    <w:p>
      <w:pPr>
        <w:spacing w:after="0" w:line="9" w:lineRule="exact"/>
        <w:rPr>
          <w:sz w:val="20"/>
          <w:szCs w:val="20"/>
          <w:color w:val="auto"/>
        </w:rPr>
      </w:pPr>
    </w:p>
    <w:p>
      <w:pPr>
        <w:ind w:left="460" w:right="520"/>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Technology/Digitization/</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 Cybersecurity</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Acumen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Expert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Risk Management</w:t>
      </w:r>
    </w:p>
    <w:p>
      <w:pPr>
        <w:spacing w:after="0" w:line="9" w:lineRule="exact"/>
        <w:rPr>
          <w:sz w:val="20"/>
          <w:szCs w:val="20"/>
          <w:color w:val="auto"/>
        </w:rPr>
      </w:pPr>
    </w:p>
    <w:p>
      <w:pPr>
        <w:ind w:left="460" w:right="140"/>
        <w:spacing w:after="0" w:line="277"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Legal/Corporate Governance</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Mergers &amp; Acquisitions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-2232025</wp:posOffset>
            </wp:positionH>
            <wp:positionV relativeFrom="paragraph">
              <wp:posOffset>-622935</wp:posOffset>
            </wp:positionV>
            <wp:extent cx="7179310" cy="539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3808095" cy="528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0809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Compensation and Talent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Corporate Governance and Nominating</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President and CEO, IMJ Consulting, LLC (2023 -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Chief People and Diversity Officer, Zendesk, Inc. (2018 - 2022)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Senior Vice President and Chief Human Resources Officer, Plantronics, Inc. (2015 - 2018)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Entrepreneurship for All (EforAll) (2020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Member of CNBC’s Workforce Executive Council (2021 – present)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John F. Kennedy University, MA, Organizational Development and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University of California, BA, Social Sciences (Emphasis in Human Resources Management)</w:t>
      </w:r>
    </w:p>
    <w:p>
      <w:pPr>
        <w:spacing w:after="0" w:line="73" w:lineRule="exact"/>
        <w:rPr>
          <w:sz w:val="20"/>
          <w:szCs w:val="20"/>
          <w:color w:val="auto"/>
        </w:rPr>
      </w:pPr>
    </w:p>
    <w:p>
      <w:pPr>
        <w:ind w:right="240"/>
        <w:spacing w:after="0" w:line="280" w:lineRule="auto"/>
        <w:rPr>
          <w:sz w:val="20"/>
          <w:szCs w:val="20"/>
          <w:color w:val="auto"/>
        </w:rPr>
      </w:pPr>
      <w:r>
        <w:rPr>
          <w:rFonts w:ascii="Arial" w:cs="Arial" w:eastAsia="Arial" w:hAnsi="Arial"/>
          <w:sz w:val="14"/>
          <w:szCs w:val="14"/>
          <w:color w:val="auto"/>
        </w:rPr>
        <w:t>Ms. Johnson joined our Board in January 2022 with more than 30 years of experience in strategy transformation, human capital management, and operational excellence in multiple industries. She is an accomplished human capital transformational leader championing initiatives that transform the mindsets and behaviors that shape a culture. Ms. Johnson has extensive human capital management experience acquired from her previous HR leadership roles with several large organizations. Her expertise in organizational development and management provides the Board with a fundamental view on employee experience, talent acquisition, development, and diversity, equity, and inclusion. Ms. Johnson was recognized by The California Diversity Council as one of California’s Most Powerful &amp; Influential 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317500</wp:posOffset>
            </wp:positionV>
            <wp:extent cx="3808095" cy="528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0809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Audit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Compensation and Talent Management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President and CEO, Murphy Consulting, Inc. (2008 -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Certified Public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Member of AICPA’s Governing Council (2000 -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Member of NACD Advisory Councils on Audit Committee Issues and Risk Oversight (2012 -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Detroit Legal News Company (2012 - present)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University of Michigan, BBA, Accounting</w:t>
      </w:r>
    </w:p>
    <w:p>
      <w:pPr>
        <w:spacing w:after="0" w:line="73" w:lineRule="exact"/>
        <w:rPr>
          <w:sz w:val="20"/>
          <w:szCs w:val="20"/>
          <w:color w:val="auto"/>
        </w:rPr>
      </w:pPr>
    </w:p>
    <w:p>
      <w:pPr>
        <w:ind w:right="80"/>
        <w:spacing w:after="0"/>
        <w:rPr>
          <w:sz w:val="20"/>
          <w:szCs w:val="20"/>
          <w:color w:val="auto"/>
        </w:rPr>
      </w:pPr>
      <w:r>
        <w:rPr>
          <w:rFonts w:ascii="Arial" w:cs="Arial" w:eastAsia="Arial" w:hAnsi="Arial"/>
          <w:sz w:val="16"/>
          <w:szCs w:val="16"/>
          <w:color w:val="auto"/>
        </w:rPr>
        <w:t>Ms. Murphy is a certified public accountant, former chair of the American Institute of Certified Public Accountants, and former Group Managing Partner of Plante &amp; Moran, LLP, a national accounting firm. The Board determined that Ms. Murphy qualifies as an “audit committee financial expert” within the meaning of applicable SEC regulations and has the leadership skills to chair the Audit Committee. She brings to the Board analytical capability, understanding of the economics and strategic elements of business, and expertise in enterprise risk management and cyber security. In honor of her dedication to the highest standards of director education and ongoing learning, Ms. Murphy has received both the NACD Directorship Certification and the American Institute of Certified Public Accountants’ (AICPA) Cybersecurity Fundamentals for Finance and Accounting Professionals certification.</w:t>
      </w:r>
    </w:p>
    <w:p>
      <w:pPr>
        <w:spacing w:after="0" w:line="6" w:lineRule="exact"/>
        <w:rPr>
          <w:sz w:val="20"/>
          <w:szCs w:val="20"/>
          <w:color w:val="auto"/>
        </w:rPr>
      </w:pPr>
    </w:p>
    <w:p>
      <w:pPr>
        <w:ind w:left="5600"/>
        <w:spacing w:after="0"/>
        <w:tabs>
          <w:tab w:leader="none" w:pos="68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-213995</wp:posOffset>
            </wp:positionV>
            <wp:extent cx="8255" cy="2228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2">
            <w:col w:w="2780" w:space="720"/>
            <w:col w:w="7440"/>
          </w:cols>
          <w:pgMar w:left="320" w:top="471"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94615</wp:posOffset>
            </wp:positionV>
            <wp:extent cx="1586230" cy="15862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8623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9525</wp:posOffset>
            </wp:positionV>
            <wp:extent cx="1899920" cy="9747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99920" cy="974725"/>
                    </a:xfrm>
                    <a:prstGeom prst="rect">
                      <a:avLst/>
                    </a:prstGeom>
                    <a:noFill/>
                  </pic:spPr>
                </pic:pic>
              </a:graphicData>
            </a:graphic>
          </wp:anchor>
        </w:drawing>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Specific Experience and Skills</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Leadership</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Transformations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Innovation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Acumen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Legal/Corporate Governance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Mergers &amp; Acquisitions</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22 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-2232025</wp:posOffset>
            </wp:positionH>
            <wp:positionV relativeFrom="paragraph">
              <wp:posOffset>-1354455</wp:posOffset>
            </wp:positionV>
            <wp:extent cx="7179310" cy="539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-635635</wp:posOffset>
            </wp:positionV>
            <wp:extent cx="3808095" cy="528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08095" cy="5289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None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Managing Director, Apjohn Group, LLC (2001 -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General Partner, Apjohn Ventures Fund (2003 -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General Partner, Apjohn Ventures Annex Fund (2010 - 2022)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Rockwell Automation, Inc. (2008 -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MASCO Corporation (2012 -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Sierra Oncology Inc. (2015 - 2019)</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University of Michigan, MBA,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University of Arizona, BA, Economics</w:t>
      </w:r>
    </w:p>
    <w:p>
      <w:pPr>
        <w:spacing w:after="0" w:line="73"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Mr. Parfet served as Chairman of the Board from 2018 – 2023 and served as the Board’s Lead Director from 2012 – 2018. He currently leads a business development company and a venture capital firm focused on the development of emerging medicines. He also serves as a director of two large publicly held companies and is a director and Trustee of several charitable and civic organizations. Mr. Parfet brings to the Board extensive financial and operating experience as an executive with responsibilities for numerous global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-2021205</wp:posOffset>
            </wp:positionH>
            <wp:positionV relativeFrom="paragraph">
              <wp:posOffset>222885</wp:posOffset>
            </wp:positionV>
            <wp:extent cx="6773545" cy="5124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73545" cy="512445"/>
                    </a:xfrm>
                    <a:prstGeom prst="rect">
                      <a:avLst/>
                    </a:prstGeom>
                    <a:noFill/>
                  </pic:spPr>
                </pic:pic>
              </a:graphicData>
            </a:graphic>
          </wp:anchor>
        </w:drawing>
      </w:r>
    </w:p>
    <w:p>
      <w:pPr>
        <w:sectPr>
          <w:pgSz w:w="11900" w:h="16838" w:orient="portrait"/>
          <w:cols w:equalWidth="0" w:num="2">
            <w:col w:w="2780" w:space="720"/>
            <w:col w:w="7360"/>
          </w:cols>
          <w:pgMar w:left="320" w:top="471" w:right="7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Corporate Governance</w:t>
      </w:r>
    </w:p>
    <w:p>
      <w:pPr>
        <w:spacing w:after="0" w:line="322"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Compliance with Nasdaq Independence Standards for Non-Controlled Companies</w:t>
      </w:r>
    </w:p>
    <w:p>
      <w:pPr>
        <w:spacing w:after="0" w:line="85" w:lineRule="exact"/>
        <w:rPr>
          <w:sz w:val="20"/>
          <w:szCs w:val="20"/>
          <w:color w:val="auto"/>
        </w:rPr>
      </w:pPr>
    </w:p>
    <w:p>
      <w:pPr>
        <w:ind w:left="320" w:right="80"/>
        <w:spacing w:after="0" w:line="246" w:lineRule="auto"/>
        <w:rPr>
          <w:sz w:val="20"/>
          <w:szCs w:val="20"/>
          <w:color w:val="auto"/>
        </w:rPr>
      </w:pPr>
      <w:r>
        <w:rPr>
          <w:rFonts w:ascii="Arial" w:cs="Arial" w:eastAsia="Arial" w:hAnsi="Arial"/>
          <w:sz w:val="16"/>
          <w:szCs w:val="16"/>
          <w:color w:val="auto"/>
        </w:rPr>
        <w:t>Nasdaq, where the Company’s common stock is listed, established exemptions from its governance requirements for “controlled companies,” defined as companies in which a single person, entity, or group holds more than 50% of the voting power for the election of its directors. The Company is a “controlled company” because Trust K, discussed below, has the power to vote approximately 94.5% of the Company’s outstanding shares of Class B Common Stock.</w:t>
      </w:r>
    </w:p>
    <w:p>
      <w:pPr>
        <w:spacing w:after="0" w:line="39" w:lineRule="exact"/>
        <w:rPr>
          <w:sz w:val="20"/>
          <w:szCs w:val="20"/>
          <w:color w:val="auto"/>
        </w:rPr>
      </w:pPr>
    </w:p>
    <w:p>
      <w:pPr>
        <w:ind w:left="320" w:right="180"/>
        <w:spacing w:after="0" w:line="246" w:lineRule="auto"/>
        <w:rPr>
          <w:sz w:val="20"/>
          <w:szCs w:val="20"/>
          <w:color w:val="auto"/>
        </w:rPr>
      </w:pPr>
      <w:r>
        <w:rPr>
          <w:rFonts w:ascii="Arial" w:cs="Arial" w:eastAsia="Arial" w:hAnsi="Arial"/>
          <w:sz w:val="16"/>
          <w:szCs w:val="16"/>
          <w:color w:val="auto"/>
        </w:rPr>
        <w:t>In keeping with the Company’s historic recognition of the importance of having a majority of independent directors, the Company elected to comply voluntarily with all the Nasdaq listing standards that otherwise do not apply to controlled companies. Thus, a majority of the Board are independent directors and all members of the three Board Committees, Audit, Compensation and Talent Management, and Corporate Governance and Nominating, are independent.</w:t>
      </w:r>
    </w:p>
    <w:p>
      <w:pPr>
        <w:spacing w:after="0" w:line="39" w:lineRule="exact"/>
        <w:rPr>
          <w:sz w:val="20"/>
          <w:szCs w:val="20"/>
          <w:color w:val="auto"/>
        </w:rPr>
      </w:pPr>
    </w:p>
    <w:p>
      <w:pPr>
        <w:ind w:left="320" w:right="60"/>
        <w:spacing w:after="0" w:line="244" w:lineRule="auto"/>
        <w:rPr>
          <w:sz w:val="20"/>
          <w:szCs w:val="20"/>
          <w:color w:val="auto"/>
        </w:rPr>
      </w:pPr>
      <w:r>
        <w:rPr>
          <w:rFonts w:ascii="Arial" w:cs="Arial" w:eastAsia="Arial" w:hAnsi="Arial"/>
          <w:sz w:val="16"/>
          <w:szCs w:val="16"/>
          <w:color w:val="auto"/>
        </w:rPr>
        <w:t>Prior to his death in October 2018, Terence E. Adderley, our former Chairman, was the trustee of Trust K. Upon his death, Trust K became irrevocable and, in accordance with the provisions of the trust, Andrew H. Curoe, David M. Hempstead, and William U. Parfet were appointed as successor trustees (the “co-trustees”). The co-trustees act by a majority vote when making investment decisions with respect to the voting shares held by Trust K. The co-trustees, acting as a majority, have sole voting and investment authority over Trust K and cannot be removed or replaced by the beneficiaries of Trust K.</w:t>
      </w:r>
    </w:p>
    <w:p>
      <w:pPr>
        <w:spacing w:after="0" w:line="53" w:lineRule="exact"/>
        <w:rPr>
          <w:sz w:val="20"/>
          <w:szCs w:val="20"/>
          <w:color w:val="auto"/>
        </w:rPr>
      </w:pPr>
    </w:p>
    <w:p>
      <w:pPr>
        <w:ind w:left="320" w:right="120"/>
        <w:spacing w:after="0" w:line="246" w:lineRule="auto"/>
        <w:rPr>
          <w:sz w:val="20"/>
          <w:szCs w:val="20"/>
          <w:color w:val="auto"/>
        </w:rPr>
      </w:pPr>
      <w:r>
        <w:rPr>
          <w:rFonts w:ascii="Arial" w:cs="Arial" w:eastAsia="Arial" w:hAnsi="Arial"/>
          <w:sz w:val="16"/>
          <w:szCs w:val="16"/>
          <w:color w:val="auto"/>
        </w:rPr>
        <w:t>William U. Parfet, a co-trustee, is the brother of Donald R. Parfet, director and former Chairman of the Board. In determining that Donald R. Parfet is an independent director, the Board considered, among other things, that Donald R. Parfet and William U. Parfet are financially independent of one another, that the co-trustees are required to act by majority vote and that none of the co-trustees serves as an officer or director of the Company or has any personal financial interest in Trust K that could benefit from actions taken by the Board.</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Role of the Board of Directors</w:t>
      </w:r>
    </w:p>
    <w:p>
      <w:pPr>
        <w:spacing w:after="0" w:line="72" w:lineRule="exact"/>
        <w:rPr>
          <w:sz w:val="20"/>
          <w:szCs w:val="20"/>
          <w:color w:val="auto"/>
        </w:rPr>
      </w:pPr>
    </w:p>
    <w:p>
      <w:pPr>
        <w:ind w:left="320" w:right="100"/>
        <w:spacing w:after="0" w:line="241" w:lineRule="auto"/>
        <w:rPr>
          <w:sz w:val="20"/>
          <w:szCs w:val="20"/>
          <w:color w:val="auto"/>
        </w:rPr>
      </w:pPr>
      <w:r>
        <w:rPr>
          <w:rFonts w:ascii="Arial" w:cs="Arial" w:eastAsia="Arial" w:hAnsi="Arial"/>
          <w:sz w:val="16"/>
          <w:szCs w:val="16"/>
          <w:color w:val="auto"/>
        </w:rPr>
        <w:t>The Board bears responsibility for the oversight of management on behalf of shareholders to ensure long-term value creation. The Board oversees and provides guidance for the Company’s business, property, and affairs. On an ongoing basis, the Board oversees management’s development and implementation of the Company’s strategy and business planning process, and monitors performance relative to the achievement of those plans. The Board sets the tone at the top to support a corporate culture that emphasizes ethical standards, professionalism, integrity, and compliance. The Board and its committees consider long-range strategic issues and material risks facing the Company, together with management’s actions to address and mitigate these risks; oversee corporate policies and processes to promote and maintain the integrity of the Company’s financial reporting and controls, legal and ethical compliance, and relationships with customers and suppliers; review the Company’s environmental, social and governance (“ESG”) and sustainability practices and strategies; and provide oversight relative to the compensation of senior management, leadership development, and management succession planning.</w:t>
      </w:r>
    </w:p>
    <w:p>
      <w:pPr>
        <w:spacing w:after="0" w:line="41" w:lineRule="exact"/>
        <w:rPr>
          <w:sz w:val="20"/>
          <w:szCs w:val="20"/>
          <w:color w:val="auto"/>
        </w:rPr>
      </w:pPr>
    </w:p>
    <w:p>
      <w:pPr>
        <w:ind w:left="320"/>
        <w:spacing w:after="0" w:line="242" w:lineRule="auto"/>
        <w:rPr>
          <w:sz w:val="20"/>
          <w:szCs w:val="20"/>
          <w:color w:val="auto"/>
        </w:rPr>
      </w:pPr>
      <w:r>
        <w:rPr>
          <w:rFonts w:ascii="Arial" w:cs="Arial" w:eastAsia="Arial" w:hAnsi="Arial"/>
          <w:sz w:val="16"/>
          <w:szCs w:val="16"/>
          <w:color w:val="auto"/>
        </w:rPr>
        <w:t>As part of its oversight of the strategic direction of the Company, senior leadership presents to the Board at the beginning of each year the annual business plans for each business unit and the consolidated annual business plan for the Company as a whole. At each subsequent meeting throughout the year, management shares quarterly performance results for each business unit and the whole Company, and the Board benchmarks these outcomes to the annual plans. Each year, the Board engages in a two-day offsite strategic planning meeting with management where it conducts a comprehensive review and discussion of the Company’s strategic direction and goals over the short-, medium-, and long-term, as well as management’s plans to achieve such goals. At least twice each year, the business unit presidents provide an in-depth review and update of their businesses to the Board, which includes a review of the strategic goals of the business and business performance relative to business strategy.</w:t>
      </w:r>
    </w:p>
    <w:p>
      <w:pPr>
        <w:spacing w:after="0" w:line="274"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Board Leadership and Governance Structure</w:t>
      </w:r>
    </w:p>
    <w:p>
      <w:pPr>
        <w:spacing w:after="0" w:line="85" w:lineRule="exact"/>
        <w:rPr>
          <w:sz w:val="20"/>
          <w:szCs w:val="20"/>
          <w:color w:val="auto"/>
        </w:rPr>
      </w:pPr>
    </w:p>
    <w:p>
      <w:pPr>
        <w:jc w:val="both"/>
        <w:ind w:left="320" w:right="320"/>
        <w:spacing w:after="0" w:line="245" w:lineRule="auto"/>
        <w:rPr>
          <w:sz w:val="20"/>
          <w:szCs w:val="20"/>
          <w:color w:val="auto"/>
        </w:rPr>
      </w:pPr>
      <w:r>
        <w:rPr>
          <w:rFonts w:ascii="Arial" w:cs="Arial" w:eastAsia="Arial" w:hAnsi="Arial"/>
          <w:sz w:val="16"/>
          <w:szCs w:val="16"/>
          <w:color w:val="auto"/>
        </w:rPr>
        <w:t>The Company’s Board structure affords independent Board leadership and the flexibility to ensure a diverse, independent and effective Board. At the present time, the roles of the Chairman of the Board and the Chief Executive Officer are separate, with the Chairman being an independent director, which provides independent Board leadership and allows the Chief Executive Officer to concentrate on the Company’s business. Terrence B. Larkin serves as Chairman of the Board and Peter W. Quigley serves as Chief Executive Officer.</w:t>
      </w: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-222250</wp:posOffset>
            </wp:positionV>
            <wp:extent cx="8255" cy="2228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880"/>
          </w:cols>
          <w:pgMar w:left="320" w:top="471" w:right="6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Corporate Governance</w:t>
      </w:r>
    </w:p>
    <w:p>
      <w:pPr>
        <w:spacing w:after="0" w:line="137" w:lineRule="exact"/>
        <w:rPr>
          <w:sz w:val="20"/>
          <w:szCs w:val="20"/>
          <w:color w:val="auto"/>
        </w:rPr>
      </w:pPr>
    </w:p>
    <w:p>
      <w:pPr>
        <w:ind w:left="320" w:right="20"/>
        <w:spacing w:after="0" w:line="241" w:lineRule="auto"/>
        <w:rPr>
          <w:sz w:val="20"/>
          <w:szCs w:val="20"/>
          <w:color w:val="auto"/>
        </w:rPr>
      </w:pPr>
      <w:r>
        <w:rPr>
          <w:rFonts w:ascii="Arial" w:cs="Arial" w:eastAsia="Arial" w:hAnsi="Arial"/>
          <w:sz w:val="16"/>
          <w:szCs w:val="16"/>
          <w:color w:val="auto"/>
        </w:rPr>
        <w:t>The Chairman of the Board’s duties include consulting with and advising our Chief Executive Officer, presiding over meetings of the Board and, together with our Chief Executive Officer, presiding over meetings of shareholders. The Chairman of the Board’s duties also include providing effective leadership to the Board including ongoing monitoring of its performance, compliance with governance requirements and best practices, serving as liaison among the Chief Executive Officer and the independent directors, establishing the annual schedule for Board meetings (in consultation with the Chief Executive Officer), developing and approving agendas for Board meetings, working with the Chief Executive Officer to ensure that information flows to the Board to facilitate understanding of, and discussion regarding, matters of interest or concern to the Board, approving the information sent to the Board for meetings, establishing the schedule and agendas for and presiding over meetings of the independent directors in executive session, providing feedback to the Chief Executive Officer on those executive sessions, authority to call and preside over special meetings of the Board, and facilitating discussions among directors on key issues outside of Board meetings.</w:t>
      </w:r>
    </w:p>
    <w:p>
      <w:pPr>
        <w:spacing w:after="0" w:line="54" w:lineRule="exact"/>
        <w:rPr>
          <w:sz w:val="20"/>
          <w:szCs w:val="20"/>
          <w:color w:val="auto"/>
        </w:rPr>
      </w:pPr>
    </w:p>
    <w:p>
      <w:pPr>
        <w:ind w:left="320"/>
        <w:spacing w:after="0" w:line="265" w:lineRule="auto"/>
        <w:rPr>
          <w:sz w:val="20"/>
          <w:szCs w:val="20"/>
          <w:color w:val="auto"/>
        </w:rPr>
      </w:pPr>
      <w:r>
        <w:rPr>
          <w:rFonts w:ascii="Arial" w:cs="Arial" w:eastAsia="Arial" w:hAnsi="Arial"/>
          <w:sz w:val="16"/>
          <w:szCs w:val="16"/>
          <w:color w:val="auto"/>
        </w:rPr>
        <w:t>In the event that the Chairman of the Board is not an independent director, the Company’s Corporate Governance Principles provide that the independent directors will elect one of their number to serve as Lead Director and fulfill many of the Chairman of the Board’s current responsibilities.</w:t>
      </w:r>
    </w:p>
    <w:p>
      <w:pPr>
        <w:spacing w:after="0" w:line="23" w:lineRule="exact"/>
        <w:rPr>
          <w:sz w:val="20"/>
          <w:szCs w:val="20"/>
          <w:color w:val="auto"/>
        </w:rPr>
      </w:pPr>
    </w:p>
    <w:p>
      <w:pPr>
        <w:ind w:left="320" w:right="120"/>
        <w:spacing w:after="0" w:line="243" w:lineRule="auto"/>
        <w:rPr>
          <w:sz w:val="20"/>
          <w:szCs w:val="20"/>
          <w:color w:val="auto"/>
        </w:rPr>
      </w:pPr>
      <w:r>
        <w:rPr>
          <w:rFonts w:ascii="Arial" w:cs="Arial" w:eastAsia="Arial" w:hAnsi="Arial"/>
          <w:sz w:val="16"/>
          <w:szCs w:val="16"/>
          <w:color w:val="auto"/>
        </w:rPr>
        <w:t>The Chief Executive Officer is responsible for managing the business and affairs of the Company, subject to the oversight of the Board. The Chief Executive Officer’s duties include: providing leadership to the Company’s management team; developing and presenting to the Board the Company’s strategy and long-term plans, medium-term plans and annual budgets, and within this framework, the performance of the business; complying with legal and corporate governance requirements, making recommendations on the appointment and compensation of executive officers, management development, and succession planning; representing the Company externally; consulting with the Chairman of the Board about developments in the Company; and communicating with all directors about key issues outside of Board meetings.</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Committees of the Board</w:t>
      </w:r>
    </w:p>
    <w:p>
      <w:pPr>
        <w:spacing w:after="0" w:line="72" w:lineRule="exact"/>
        <w:rPr>
          <w:sz w:val="20"/>
          <w:szCs w:val="20"/>
          <w:color w:val="auto"/>
        </w:rPr>
      </w:pPr>
    </w:p>
    <w:p>
      <w:pPr>
        <w:ind w:left="320" w:right="20"/>
        <w:spacing w:after="0" w:line="246" w:lineRule="auto"/>
        <w:rPr>
          <w:sz w:val="20"/>
          <w:szCs w:val="20"/>
          <w:color w:val="auto"/>
        </w:rPr>
      </w:pPr>
      <w:r>
        <w:rPr>
          <w:rFonts w:ascii="Arial" w:cs="Arial" w:eastAsia="Arial" w:hAnsi="Arial"/>
          <w:sz w:val="16"/>
          <w:szCs w:val="16"/>
          <w:color w:val="auto"/>
        </w:rPr>
        <w:t xml:space="preserve">The Board has established three standing committees: Audit Committee, Compensation and Talent Management Committee, and Corporate Governance and Nominating Committee. Each committee functions under a written charter adopted by the Board, which is available on the Company’s website at </w:t>
      </w:r>
      <w:r>
        <w:rPr>
          <w:rFonts w:ascii="Arial" w:cs="Arial" w:eastAsia="Arial" w:hAnsi="Arial"/>
          <w:sz w:val="16"/>
          <w:szCs w:val="16"/>
          <w:i w:val="1"/>
          <w:iCs w:val="1"/>
          <w:color w:val="auto"/>
        </w:rPr>
        <w:t xml:space="preserve">kellyservices.com </w:t>
      </w:r>
      <w:r>
        <w:rPr>
          <w:rFonts w:ascii="Arial" w:cs="Arial" w:eastAsia="Arial" w:hAnsi="Arial"/>
          <w:sz w:val="16"/>
          <w:szCs w:val="16"/>
          <w:color w:val="auto"/>
        </w:rPr>
        <w:t>or to any shareholder who requests a copy. The members, responsibilities, and the number of meetings each of these committees held</w:t>
      </w:r>
      <w:r>
        <w:rPr>
          <w:rFonts w:ascii="Arial" w:cs="Arial" w:eastAsia="Arial" w:hAnsi="Arial"/>
          <w:sz w:val="16"/>
          <w:szCs w:val="16"/>
          <w:i w:val="1"/>
          <w:iCs w:val="1"/>
          <w:color w:val="auto"/>
        </w:rPr>
        <w:t xml:space="preserve"> </w:t>
      </w:r>
      <w:r>
        <w:rPr>
          <w:rFonts w:ascii="Arial" w:cs="Arial" w:eastAsia="Arial" w:hAnsi="Arial"/>
          <w:sz w:val="16"/>
          <w:szCs w:val="16"/>
          <w:color w:val="auto"/>
        </w:rPr>
        <w:t>in 2023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198120</wp:posOffset>
            </wp:positionV>
            <wp:extent cx="6690995" cy="387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90995" cy="387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1180" w:type="dxa"/>
        <w:tblCellMar>
          <w:top w:w="0" w:type="dxa"/>
          <w:left w:w="0" w:type="dxa"/>
          <w:bottom w:w="0" w:type="dxa"/>
          <w:right w:w="0" w:type="dxa"/>
        </w:tblCellMar>
      </w:tblPr>
      <w:tr>
        <w:trPr>
          <w:trHeight w:val="184"/>
        </w:trPr>
        <w:tc>
          <w:tcPr>
            <w:tcW w:w="1980" w:type="dxa"/>
            <w:vAlign w:val="bottom"/>
          </w:tcPr>
          <w:p>
            <w:pPr>
              <w:spacing w:after="0"/>
              <w:rPr>
                <w:sz w:val="20"/>
                <w:szCs w:val="20"/>
                <w:color w:val="auto"/>
              </w:rPr>
            </w:pPr>
            <w:r>
              <w:rPr>
                <w:rFonts w:ascii="Arial" w:cs="Arial" w:eastAsia="Arial" w:hAnsi="Arial"/>
                <w:sz w:val="16"/>
                <w:szCs w:val="16"/>
                <w:b w:val="1"/>
                <w:bCs w:val="1"/>
                <w:color w:val="auto"/>
              </w:rPr>
              <w:t>Audit Committee</w:t>
            </w:r>
          </w:p>
        </w:tc>
        <w:tc>
          <w:tcPr>
            <w:tcW w:w="1300" w:type="dxa"/>
            <w:vAlign w:val="bottom"/>
          </w:tcPr>
          <w:p>
            <w:pPr>
              <w:spacing w:after="0"/>
              <w:rPr>
                <w:sz w:val="16"/>
                <w:szCs w:val="16"/>
                <w:color w:val="auto"/>
              </w:rPr>
            </w:pPr>
          </w:p>
        </w:tc>
        <w:tc>
          <w:tcPr>
            <w:tcW w:w="2720" w:type="dxa"/>
            <w:vAlign w:val="bottom"/>
          </w:tcPr>
          <w:p>
            <w:pPr>
              <w:ind w:left="440"/>
              <w:spacing w:after="0"/>
              <w:rPr>
                <w:sz w:val="20"/>
                <w:szCs w:val="20"/>
                <w:color w:val="auto"/>
              </w:rPr>
            </w:pPr>
            <w:r>
              <w:rPr>
                <w:rFonts w:ascii="Arial" w:cs="Arial" w:eastAsia="Arial" w:hAnsi="Arial"/>
                <w:sz w:val="16"/>
                <w:szCs w:val="16"/>
                <w:b w:val="1"/>
                <w:bCs w:val="1"/>
                <w:color w:val="auto"/>
              </w:rPr>
              <w:t>Compensation and Talent</w:t>
            </w:r>
          </w:p>
        </w:tc>
        <w:tc>
          <w:tcPr>
            <w:tcW w:w="920" w:type="dxa"/>
            <w:vAlign w:val="bottom"/>
          </w:tcPr>
          <w:p>
            <w:pPr>
              <w:spacing w:after="0"/>
              <w:rPr>
                <w:sz w:val="16"/>
                <w:szCs w:val="16"/>
                <w:color w:val="auto"/>
              </w:rPr>
            </w:pPr>
          </w:p>
        </w:tc>
        <w:tc>
          <w:tcPr>
            <w:tcW w:w="2420" w:type="dxa"/>
            <w:vAlign w:val="bottom"/>
          </w:tcPr>
          <w:p>
            <w:pPr>
              <w:ind w:left="400"/>
              <w:spacing w:after="0"/>
              <w:rPr>
                <w:sz w:val="20"/>
                <w:szCs w:val="20"/>
                <w:color w:val="auto"/>
              </w:rPr>
            </w:pPr>
            <w:r>
              <w:rPr>
                <w:rFonts w:ascii="Arial" w:cs="Arial" w:eastAsia="Arial" w:hAnsi="Arial"/>
                <w:sz w:val="16"/>
                <w:szCs w:val="16"/>
                <w:b w:val="1"/>
                <w:bCs w:val="1"/>
                <w:color w:val="auto"/>
                <w:w w:val="96"/>
              </w:rPr>
              <w:t>Corporate Governance and</w:t>
            </w:r>
          </w:p>
        </w:tc>
        <w:tc>
          <w:tcPr>
            <w:tcW w:w="0" w:type="dxa"/>
            <w:vAlign w:val="bottom"/>
          </w:tcPr>
          <w:p>
            <w:pPr>
              <w:spacing w:after="0"/>
              <w:rPr>
                <w:sz w:val="1"/>
                <w:szCs w:val="1"/>
                <w:color w:val="auto"/>
              </w:rPr>
            </w:pPr>
          </w:p>
        </w:tc>
      </w:tr>
      <w:tr>
        <w:trPr>
          <w:trHeight w:val="184"/>
        </w:trPr>
        <w:tc>
          <w:tcPr>
            <w:tcW w:w="1980" w:type="dxa"/>
            <w:vAlign w:val="bottom"/>
          </w:tcPr>
          <w:p>
            <w:pPr>
              <w:spacing w:after="0"/>
              <w:rPr>
                <w:sz w:val="20"/>
                <w:szCs w:val="20"/>
                <w:color w:val="auto"/>
              </w:rPr>
            </w:pPr>
            <w:r>
              <w:rPr>
                <w:rFonts w:ascii="Arial" w:cs="Arial" w:eastAsia="Arial" w:hAnsi="Arial"/>
                <w:sz w:val="16"/>
                <w:szCs w:val="16"/>
                <w:color w:val="auto"/>
              </w:rPr>
              <w:t>All Independent</w:t>
            </w:r>
          </w:p>
        </w:tc>
        <w:tc>
          <w:tcPr>
            <w:tcW w:w="1300" w:type="dxa"/>
            <w:vAlign w:val="bottom"/>
            <w:vMerge w:val="restart"/>
          </w:tcPr>
          <w:p>
            <w:pPr>
              <w:ind w:left="740"/>
              <w:spacing w:after="0"/>
              <w:rPr>
                <w:sz w:val="20"/>
                <w:szCs w:val="20"/>
                <w:color w:val="auto"/>
              </w:rPr>
            </w:pPr>
            <w:r>
              <w:rPr>
                <w:rFonts w:ascii="Arial" w:cs="Arial" w:eastAsia="Arial" w:hAnsi="Arial"/>
                <w:sz w:val="16"/>
                <w:szCs w:val="16"/>
                <w:color w:val="auto"/>
              </w:rPr>
              <w:t xml:space="preserve">   </w:t>
            </w:r>
          </w:p>
        </w:tc>
        <w:tc>
          <w:tcPr>
            <w:tcW w:w="2720" w:type="dxa"/>
            <w:vAlign w:val="bottom"/>
          </w:tcPr>
          <w:p>
            <w:pPr>
              <w:ind w:left="440"/>
              <w:spacing w:after="0"/>
              <w:rPr>
                <w:sz w:val="20"/>
                <w:szCs w:val="20"/>
                <w:color w:val="auto"/>
              </w:rPr>
            </w:pPr>
            <w:r>
              <w:rPr>
                <w:rFonts w:ascii="Arial" w:cs="Arial" w:eastAsia="Arial" w:hAnsi="Arial"/>
                <w:sz w:val="16"/>
                <w:szCs w:val="16"/>
                <w:b w:val="1"/>
                <w:bCs w:val="1"/>
                <w:color w:val="auto"/>
              </w:rPr>
              <w:t>Management Committee</w:t>
            </w:r>
          </w:p>
        </w:tc>
        <w:tc>
          <w:tcPr>
            <w:tcW w:w="920" w:type="dxa"/>
            <w:vAlign w:val="bottom"/>
            <w:vMerge w:val="restart"/>
          </w:tcPr>
          <w:p>
            <w:pPr>
              <w:ind w:left="400"/>
              <w:spacing w:after="0"/>
              <w:rPr>
                <w:sz w:val="20"/>
                <w:szCs w:val="20"/>
                <w:color w:val="auto"/>
              </w:rPr>
            </w:pPr>
            <w:r>
              <w:rPr>
                <w:rFonts w:ascii="Arial" w:cs="Arial" w:eastAsia="Arial" w:hAnsi="Arial"/>
                <w:sz w:val="16"/>
                <w:szCs w:val="16"/>
                <w:color w:val="auto"/>
              </w:rPr>
              <w:t xml:space="preserve">   </w:t>
            </w:r>
          </w:p>
        </w:tc>
        <w:tc>
          <w:tcPr>
            <w:tcW w:w="2420" w:type="dxa"/>
            <w:vAlign w:val="bottom"/>
          </w:tcPr>
          <w:p>
            <w:pPr>
              <w:ind w:left="400"/>
              <w:spacing w:after="0"/>
              <w:rPr>
                <w:sz w:val="20"/>
                <w:szCs w:val="20"/>
                <w:color w:val="auto"/>
              </w:rPr>
            </w:pPr>
            <w:r>
              <w:rPr>
                <w:rFonts w:ascii="Arial" w:cs="Arial" w:eastAsia="Arial" w:hAnsi="Arial"/>
                <w:sz w:val="16"/>
                <w:szCs w:val="16"/>
                <w:b w:val="1"/>
                <w:bCs w:val="1"/>
                <w:color w:val="auto"/>
              </w:rPr>
              <w:t>Nominating Committee</w:t>
            </w:r>
          </w:p>
        </w:tc>
        <w:tc>
          <w:tcPr>
            <w:tcW w:w="0" w:type="dxa"/>
            <w:vAlign w:val="bottom"/>
          </w:tcPr>
          <w:p>
            <w:pPr>
              <w:spacing w:after="0"/>
              <w:rPr>
                <w:sz w:val="1"/>
                <w:szCs w:val="1"/>
                <w:color w:val="auto"/>
              </w:rPr>
            </w:pPr>
          </w:p>
        </w:tc>
      </w:tr>
      <w:tr>
        <w:trPr>
          <w:trHeight w:val="114"/>
        </w:trPr>
        <w:tc>
          <w:tcPr>
            <w:tcW w:w="19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720" w:type="dxa"/>
            <w:vAlign w:val="bottom"/>
            <w:vMerge w:val="restart"/>
          </w:tcPr>
          <w:p>
            <w:pPr>
              <w:ind w:left="440"/>
              <w:spacing w:after="0"/>
              <w:rPr>
                <w:sz w:val="20"/>
                <w:szCs w:val="20"/>
                <w:color w:val="auto"/>
              </w:rPr>
            </w:pPr>
            <w:r>
              <w:rPr>
                <w:rFonts w:ascii="Arial" w:cs="Arial" w:eastAsia="Arial" w:hAnsi="Arial"/>
                <w:sz w:val="16"/>
                <w:szCs w:val="16"/>
                <w:color w:val="auto"/>
              </w:rPr>
              <w:t>All Independent</w:t>
            </w:r>
          </w:p>
        </w:tc>
        <w:tc>
          <w:tcPr>
            <w:tcW w:w="92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Arial" w:cs="Arial" w:eastAsia="Arial" w:hAnsi="Arial"/>
                <w:sz w:val="16"/>
                <w:szCs w:val="16"/>
                <w:color w:val="auto"/>
              </w:rPr>
              <w:t>All Independent</w:t>
            </w:r>
          </w:p>
        </w:tc>
        <w:tc>
          <w:tcPr>
            <w:tcW w:w="0" w:type="dxa"/>
            <w:vAlign w:val="bottom"/>
          </w:tcPr>
          <w:p>
            <w:pPr>
              <w:spacing w:after="0"/>
              <w:rPr>
                <w:sz w:val="1"/>
                <w:szCs w:val="1"/>
                <w:color w:val="auto"/>
              </w:rPr>
            </w:pPr>
          </w:p>
        </w:tc>
      </w:tr>
      <w:tr>
        <w:trPr>
          <w:trHeight w:val="91"/>
        </w:trPr>
        <w:tc>
          <w:tcPr>
            <w:tcW w:w="19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24 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00"/>
          </w:cols>
          <w:pgMar w:left="320" w:top="471" w:right="6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Corporate Governance</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0A9E50"/>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78105</wp:posOffset>
            </wp:positionV>
            <wp:extent cx="67405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35"/>
        </w:trPr>
        <w:tc>
          <w:tcPr>
            <w:tcW w:w="7160" w:type="dxa"/>
            <w:vAlign w:val="bottom"/>
          </w:tcPr>
          <w:p>
            <w:pPr>
              <w:spacing w:after="0"/>
              <w:rPr>
                <w:sz w:val="20"/>
                <w:szCs w:val="20"/>
                <w:color w:val="auto"/>
              </w:rPr>
            </w:pPr>
            <w:r>
              <w:rPr>
                <w:rFonts w:ascii="Arial" w:cs="Arial" w:eastAsia="Arial" w:hAnsi="Arial"/>
                <w:sz w:val="16"/>
                <w:szCs w:val="16"/>
                <w:b w:val="1"/>
                <w:bCs w:val="1"/>
                <w:color w:val="auto"/>
              </w:rPr>
              <w:t>Key Responsibilities: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200" w:type="dxa"/>
            <w:vAlign w:val="bottom"/>
            <w:shd w:val="clear" w:color="auto" w:fill="EDEDED"/>
          </w:tcPr>
          <w:p>
            <w:pPr>
              <w:spacing w:after="0"/>
              <w:rPr>
                <w:sz w:val="20"/>
                <w:szCs w:val="20"/>
                <w:color w:val="auto"/>
              </w:rPr>
            </w:pPr>
          </w:p>
        </w:tc>
        <w:tc>
          <w:tcPr>
            <w:tcW w:w="1740" w:type="dxa"/>
            <w:vAlign w:val="bottom"/>
            <w:shd w:val="clear" w:color="auto" w:fill="EDEDED"/>
          </w:tcPr>
          <w:p>
            <w:pPr>
              <w:spacing w:after="0"/>
              <w:rPr>
                <w:sz w:val="20"/>
                <w:szCs w:val="20"/>
                <w:color w:val="auto"/>
              </w:rPr>
            </w:pPr>
          </w:p>
        </w:tc>
        <w:tc>
          <w:tcPr>
            <w:tcW w:w="340" w:type="dxa"/>
            <w:vAlign w:val="bottom"/>
            <w:shd w:val="clear" w:color="auto" w:fill="EDEDED"/>
          </w:tcPr>
          <w:p>
            <w:pPr>
              <w:spacing w:after="0"/>
              <w:rPr>
                <w:sz w:val="20"/>
                <w:szCs w:val="20"/>
                <w:color w:val="auto"/>
              </w:rPr>
            </w:pPr>
          </w:p>
        </w:tc>
        <w:tc>
          <w:tcPr>
            <w:tcW w:w="20" w:type="dxa"/>
            <w:vAlign w:val="bottom"/>
            <w:shd w:val="clear" w:color="auto" w:fill="EDEDED"/>
          </w:tcPr>
          <w:p>
            <w:pPr>
              <w:spacing w:after="0"/>
              <w:rPr>
                <w:sz w:val="20"/>
                <w:szCs w:val="20"/>
                <w:color w:val="auto"/>
              </w:rPr>
            </w:pPr>
          </w:p>
        </w:tc>
        <w:tc>
          <w:tcPr>
            <w:tcW w:w="280" w:type="dxa"/>
            <w:vAlign w:val="bottom"/>
            <w:shd w:val="clear" w:color="auto" w:fill="EDEDED"/>
          </w:tcPr>
          <w:p>
            <w:pPr>
              <w:spacing w:after="0"/>
              <w:rPr>
                <w:sz w:val="20"/>
                <w:szCs w:val="20"/>
                <w:color w:val="auto"/>
              </w:rPr>
            </w:pPr>
          </w:p>
        </w:tc>
        <w:tc>
          <w:tcPr>
            <w:tcW w:w="38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Oversees and reports to the Board with respect to the quality, integrity, and effectiveness of the</w:t>
            </w:r>
          </w:p>
        </w:tc>
        <w:tc>
          <w:tcPr>
            <w:tcW w:w="160" w:type="dxa"/>
            <w:vAlign w:val="bottom"/>
            <w:vMerge w:val="restart"/>
          </w:tcPr>
          <w:p>
            <w:pPr>
              <w:ind w:left="60"/>
              <w:spacing w:after="0"/>
              <w:rPr>
                <w:sz w:val="20"/>
                <w:szCs w:val="20"/>
                <w:color w:val="auto"/>
              </w:rPr>
            </w:pPr>
            <w:r>
              <w:rPr>
                <w:rFonts w:ascii="Arial" w:cs="Arial" w:eastAsia="Arial" w:hAnsi="Arial"/>
                <w:sz w:val="11"/>
                <w:szCs w:val="11"/>
                <w:color w:val="auto"/>
                <w:w w:val="72"/>
              </w:rPr>
              <w:t> </w:t>
            </w:r>
          </w:p>
        </w:tc>
        <w:tc>
          <w:tcPr>
            <w:tcW w:w="240" w:type="dxa"/>
            <w:vAlign w:val="bottom"/>
            <w:vMerge w:val="restart"/>
          </w:tcPr>
          <w:p>
            <w:pPr>
              <w:ind w:left="60"/>
              <w:spacing w:after="0"/>
              <w:rPr>
                <w:sz w:val="20"/>
                <w:szCs w:val="20"/>
                <w:color w:val="auto"/>
              </w:rPr>
            </w:pPr>
            <w:r>
              <w:rPr>
                <w:rFonts w:ascii="Arial" w:cs="Arial" w:eastAsia="Arial" w:hAnsi="Arial"/>
                <w:sz w:val="16"/>
                <w:szCs w:val="16"/>
                <w:color w:val="auto"/>
                <w:w w:val="99"/>
              </w:rPr>
              <w:t> </w:t>
            </w:r>
          </w:p>
        </w:tc>
        <w:tc>
          <w:tcPr>
            <w:tcW w:w="100" w:type="dxa"/>
            <w:vAlign w:val="bottom"/>
            <w:shd w:val="clear" w:color="auto" w:fill="EDEDED"/>
          </w:tcPr>
          <w:p>
            <w:pPr>
              <w:spacing w:after="0"/>
              <w:rPr>
                <w:sz w:val="16"/>
                <w:szCs w:val="16"/>
                <w:color w:val="auto"/>
              </w:rPr>
            </w:pPr>
          </w:p>
        </w:tc>
        <w:tc>
          <w:tcPr>
            <w:tcW w:w="200" w:type="dxa"/>
            <w:vAlign w:val="bottom"/>
            <w:vMerge w:val="restart"/>
            <w:shd w:val="clear" w:color="auto" w:fill="EDEDED"/>
          </w:tcPr>
          <w:p>
            <w:pPr>
              <w:spacing w:after="0"/>
              <w:rPr>
                <w:sz w:val="20"/>
                <w:szCs w:val="20"/>
                <w:color w:val="auto"/>
              </w:rPr>
            </w:pPr>
            <w:r>
              <w:rPr>
                <w:rFonts w:ascii="Arial" w:cs="Arial" w:eastAsia="Arial" w:hAnsi="Arial"/>
                <w:sz w:val="16"/>
                <w:szCs w:val="16"/>
                <w:color w:val="auto"/>
              </w:rPr>
              <w:t> </w:t>
            </w:r>
          </w:p>
        </w:tc>
        <w:tc>
          <w:tcPr>
            <w:tcW w:w="2080" w:type="dxa"/>
            <w:vAlign w:val="bottom"/>
            <w:gridSpan w:val="2"/>
            <w:vMerge w:val="restart"/>
            <w:shd w:val="clear" w:color="auto" w:fill="EDEDED"/>
          </w:tcPr>
          <w:p>
            <w:pPr>
              <w:ind w:left="120"/>
              <w:spacing w:after="0"/>
              <w:rPr>
                <w:sz w:val="20"/>
                <w:szCs w:val="20"/>
                <w:color w:val="auto"/>
              </w:rPr>
            </w:pPr>
            <w:r>
              <w:rPr>
                <w:rFonts w:ascii="Arial" w:cs="Arial" w:eastAsia="Arial" w:hAnsi="Arial"/>
                <w:sz w:val="16"/>
                <w:szCs w:val="16"/>
                <w:b w:val="1"/>
                <w:bCs w:val="1"/>
                <w:color w:val="auto"/>
                <w:w w:val="96"/>
              </w:rPr>
              <w:t xml:space="preserve">Members: </w:t>
            </w:r>
            <w:r>
              <w:rPr>
                <w:rFonts w:ascii="Arial" w:cs="Arial" w:eastAsia="Arial" w:hAnsi="Arial"/>
                <w:sz w:val="16"/>
                <w:szCs w:val="16"/>
                <w:b w:val="1"/>
                <w:bCs w:val="1"/>
                <w:color w:val="0A9E50"/>
                <w:w w:val="96"/>
              </w:rPr>
              <w:t>All Independent</w:t>
            </w:r>
          </w:p>
        </w:tc>
        <w:tc>
          <w:tcPr>
            <w:tcW w:w="20" w:type="dxa"/>
            <w:vAlign w:val="bottom"/>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380" w:type="dxa"/>
            <w:vAlign w:val="bottom"/>
            <w:vMerge w:val="restart"/>
            <w:shd w:val="clear" w:color="auto" w:fill="EDEDED"/>
          </w:tcPr>
          <w:p>
            <w:pPr>
              <w:jc w:val="center"/>
              <w:spacing w:after="0"/>
              <w:rPr>
                <w:sz w:val="20"/>
                <w:szCs w:val="20"/>
                <w:color w:val="auto"/>
              </w:rPr>
            </w:pPr>
            <w:r>
              <w:rPr>
                <w:rFonts w:ascii="Arial" w:cs="Arial" w:eastAsia="Arial" w:hAnsi="Arial"/>
                <w:sz w:val="4"/>
                <w:szCs w:val="4"/>
                <w:color w:val="auto"/>
                <w:w w:val="98"/>
              </w:rPr>
              <w:t> </w:t>
            </w:r>
          </w:p>
        </w:tc>
        <w:tc>
          <w:tcPr>
            <w:tcW w:w="0" w:type="dxa"/>
            <w:vAlign w:val="bottom"/>
          </w:tcPr>
          <w:p>
            <w:pPr>
              <w:spacing w:after="0"/>
              <w:rPr>
                <w:sz w:val="1"/>
                <w:szCs w:val="1"/>
                <w:color w:val="auto"/>
              </w:rPr>
            </w:pPr>
          </w:p>
        </w:tc>
      </w:tr>
      <w:tr>
        <w:trPr>
          <w:trHeight w:val="135"/>
        </w:trPr>
        <w:tc>
          <w:tcPr>
            <w:tcW w:w="7160" w:type="dxa"/>
            <w:vAlign w:val="bottom"/>
            <w:vMerge w:val="restart"/>
          </w:tcPr>
          <w:p>
            <w:pPr>
              <w:ind w:left="160"/>
              <w:spacing w:after="0" w:line="182" w:lineRule="exact"/>
              <w:rPr>
                <w:sz w:val="20"/>
                <w:szCs w:val="20"/>
                <w:color w:val="auto"/>
              </w:rPr>
            </w:pPr>
            <w:r>
              <w:rPr>
                <w:rFonts w:ascii="Arial" w:cs="Arial" w:eastAsia="Arial" w:hAnsi="Arial"/>
                <w:sz w:val="16"/>
                <w:szCs w:val="16"/>
                <w:color w:val="auto"/>
              </w:rPr>
              <w:t>Company’s financial statements, accounting, and financial reporting processes, and audits of the</w:t>
            </w:r>
          </w:p>
        </w:tc>
        <w:tc>
          <w:tcPr>
            <w:tcW w:w="1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00" w:type="dxa"/>
            <w:vAlign w:val="bottom"/>
            <w:shd w:val="clear" w:color="auto" w:fill="EDEDED"/>
          </w:tcPr>
          <w:p>
            <w:pPr>
              <w:spacing w:after="0"/>
              <w:rPr>
                <w:sz w:val="11"/>
                <w:szCs w:val="11"/>
                <w:color w:val="auto"/>
              </w:rPr>
            </w:pPr>
          </w:p>
        </w:tc>
        <w:tc>
          <w:tcPr>
            <w:tcW w:w="200" w:type="dxa"/>
            <w:vAlign w:val="bottom"/>
            <w:vMerge w:val="continue"/>
            <w:shd w:val="clear" w:color="auto" w:fill="EDEDED"/>
          </w:tcPr>
          <w:p>
            <w:pPr>
              <w:spacing w:after="0"/>
              <w:rPr>
                <w:sz w:val="11"/>
                <w:szCs w:val="11"/>
                <w:color w:val="auto"/>
              </w:rPr>
            </w:pPr>
          </w:p>
        </w:tc>
        <w:tc>
          <w:tcPr>
            <w:tcW w:w="2080" w:type="dxa"/>
            <w:vAlign w:val="bottom"/>
            <w:gridSpan w:val="2"/>
            <w:vMerge w:val="continue"/>
            <w:shd w:val="clear" w:color="auto" w:fill="EDEDED"/>
          </w:tcPr>
          <w:p>
            <w:pPr>
              <w:spacing w:after="0"/>
              <w:rPr>
                <w:sz w:val="11"/>
                <w:szCs w:val="11"/>
                <w:color w:val="auto"/>
              </w:rPr>
            </w:pPr>
          </w:p>
        </w:tc>
        <w:tc>
          <w:tcPr>
            <w:tcW w:w="20" w:type="dxa"/>
            <w:vAlign w:val="bottom"/>
            <w:shd w:val="clear" w:color="auto" w:fill="EDEDED"/>
          </w:tcPr>
          <w:p>
            <w:pPr>
              <w:spacing w:after="0"/>
              <w:rPr>
                <w:sz w:val="11"/>
                <w:szCs w:val="11"/>
                <w:color w:val="auto"/>
              </w:rPr>
            </w:pPr>
          </w:p>
        </w:tc>
        <w:tc>
          <w:tcPr>
            <w:tcW w:w="280" w:type="dxa"/>
            <w:vAlign w:val="bottom"/>
            <w:shd w:val="clear" w:color="auto" w:fill="EDEDED"/>
          </w:tcPr>
          <w:p>
            <w:pPr>
              <w:spacing w:after="0"/>
              <w:rPr>
                <w:sz w:val="11"/>
                <w:szCs w:val="11"/>
                <w:color w:val="auto"/>
              </w:rPr>
            </w:pPr>
          </w:p>
        </w:tc>
        <w:tc>
          <w:tcPr>
            <w:tcW w:w="380" w:type="dxa"/>
            <w:vAlign w:val="bottom"/>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71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shd w:val="clear" w:color="auto" w:fill="EDEDED"/>
          </w:tcPr>
          <w:p>
            <w:pPr>
              <w:spacing w:after="0"/>
              <w:rPr>
                <w:sz w:val="4"/>
                <w:szCs w:val="4"/>
                <w:color w:val="auto"/>
              </w:rPr>
            </w:pPr>
          </w:p>
        </w:tc>
        <w:tc>
          <w:tcPr>
            <w:tcW w:w="200" w:type="dxa"/>
            <w:vAlign w:val="bottom"/>
            <w:shd w:val="clear" w:color="auto" w:fill="EDEDED"/>
          </w:tcPr>
          <w:p>
            <w:pPr>
              <w:spacing w:after="0"/>
              <w:rPr>
                <w:sz w:val="4"/>
                <w:szCs w:val="4"/>
                <w:color w:val="auto"/>
              </w:rPr>
            </w:pPr>
          </w:p>
        </w:tc>
        <w:tc>
          <w:tcPr>
            <w:tcW w:w="1740" w:type="dxa"/>
            <w:vAlign w:val="bottom"/>
            <w:shd w:val="clear" w:color="auto" w:fill="EDEDED"/>
          </w:tcPr>
          <w:p>
            <w:pPr>
              <w:spacing w:after="0"/>
              <w:rPr>
                <w:sz w:val="4"/>
                <w:szCs w:val="4"/>
                <w:color w:val="auto"/>
              </w:rPr>
            </w:pPr>
          </w:p>
        </w:tc>
        <w:tc>
          <w:tcPr>
            <w:tcW w:w="340" w:type="dxa"/>
            <w:vAlign w:val="bottom"/>
            <w:shd w:val="clear" w:color="auto" w:fill="EDEDED"/>
          </w:tcPr>
          <w:p>
            <w:pPr>
              <w:spacing w:after="0"/>
              <w:rPr>
                <w:sz w:val="4"/>
                <w:szCs w:val="4"/>
                <w:color w:val="auto"/>
              </w:rPr>
            </w:pPr>
          </w:p>
        </w:tc>
        <w:tc>
          <w:tcPr>
            <w:tcW w:w="20" w:type="dxa"/>
            <w:vAlign w:val="bottom"/>
            <w:shd w:val="clear" w:color="auto" w:fill="EDEDED"/>
          </w:tcPr>
          <w:p>
            <w:pPr>
              <w:spacing w:after="0"/>
              <w:rPr>
                <w:sz w:val="4"/>
                <w:szCs w:val="4"/>
                <w:color w:val="auto"/>
              </w:rPr>
            </w:pPr>
          </w:p>
        </w:tc>
        <w:tc>
          <w:tcPr>
            <w:tcW w:w="280" w:type="dxa"/>
            <w:vAlign w:val="bottom"/>
            <w:shd w:val="clear" w:color="auto" w:fill="EDEDED"/>
          </w:tcPr>
          <w:p>
            <w:pPr>
              <w:spacing w:after="0"/>
              <w:rPr>
                <w:sz w:val="4"/>
                <w:szCs w:val="4"/>
                <w:color w:val="auto"/>
              </w:rPr>
            </w:pPr>
          </w:p>
        </w:tc>
        <w:tc>
          <w:tcPr>
            <w:tcW w:w="380" w:type="dxa"/>
            <w:vAlign w:val="bottom"/>
            <w:shd w:val="clear" w:color="auto" w:fill="EDEDED"/>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160" w:type="dxa"/>
            <w:vAlign w:val="bottom"/>
          </w:tcPr>
          <w:p>
            <w:pPr>
              <w:ind w:left="160"/>
              <w:spacing w:after="0" w:line="182" w:lineRule="exact"/>
              <w:rPr>
                <w:sz w:val="20"/>
                <w:szCs w:val="20"/>
                <w:color w:val="auto"/>
              </w:rPr>
            </w:pPr>
            <w:r>
              <w:rPr>
                <w:rFonts w:ascii="Arial" w:cs="Arial" w:eastAsia="Arial" w:hAnsi="Arial"/>
                <w:sz w:val="16"/>
                <w:szCs w:val="16"/>
                <w:color w:val="auto"/>
              </w:rPr>
              <w:t>financial statements and internal controls over financial reporting</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174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Leslie A. Murphy</w:t>
            </w:r>
          </w:p>
        </w:tc>
        <w:tc>
          <w:tcPr>
            <w:tcW w:w="340" w:type="dxa"/>
            <w:vAlign w:val="bottom"/>
            <w:shd w:val="clear" w:color="auto" w:fill="EDEDED"/>
          </w:tcPr>
          <w:p>
            <w:pPr>
              <w:spacing w:after="0"/>
              <w:rPr>
                <w:sz w:val="15"/>
                <w:szCs w:val="15"/>
                <w:color w:val="auto"/>
              </w:rPr>
            </w:pPr>
          </w:p>
        </w:tc>
        <w:tc>
          <w:tcPr>
            <w:tcW w:w="2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38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160" w:type="dxa"/>
            <w:vAlign w:val="bottom"/>
            <w:vMerge w:val="restart"/>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Appoints, compensates, and evaluates the qualifications, independence, and performance of the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shd w:val="clear" w:color="auto" w:fill="EDEDED"/>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1740" w:type="dxa"/>
            <w:vAlign w:val="bottom"/>
            <w:shd w:val="clear" w:color="auto" w:fill="EDEDED"/>
          </w:tcPr>
          <w:p>
            <w:pPr>
              <w:ind w:left="260"/>
              <w:spacing w:after="0"/>
              <w:rPr>
                <w:sz w:val="20"/>
                <w:szCs w:val="20"/>
                <w:color w:val="auto"/>
              </w:rPr>
            </w:pPr>
            <w:r>
              <w:rPr>
                <w:rFonts w:ascii="Arial" w:cs="Arial" w:eastAsia="Arial" w:hAnsi="Arial"/>
                <w:sz w:val="16"/>
                <w:szCs w:val="16"/>
                <w:color w:val="auto"/>
              </w:rPr>
              <w:t>(Chair)</w:t>
            </w:r>
          </w:p>
        </w:tc>
        <w:tc>
          <w:tcPr>
            <w:tcW w:w="340" w:type="dxa"/>
            <w:vAlign w:val="bottom"/>
            <w:shd w:val="clear" w:color="auto" w:fill="EDEDED"/>
          </w:tcPr>
          <w:p>
            <w:pPr>
              <w:spacing w:after="0"/>
              <w:rPr>
                <w:sz w:val="17"/>
                <w:szCs w:val="17"/>
                <w:color w:val="auto"/>
              </w:rPr>
            </w:pPr>
          </w:p>
        </w:tc>
        <w:tc>
          <w:tcPr>
            <w:tcW w:w="20" w:type="dxa"/>
            <w:vAlign w:val="bottom"/>
            <w:shd w:val="clear" w:color="auto" w:fill="EDEDED"/>
          </w:tcPr>
          <w:p>
            <w:pPr>
              <w:spacing w:after="0"/>
              <w:rPr>
                <w:sz w:val="17"/>
                <w:szCs w:val="17"/>
                <w:color w:val="auto"/>
              </w:rPr>
            </w:pPr>
          </w:p>
        </w:tc>
        <w:tc>
          <w:tcPr>
            <w:tcW w:w="280" w:type="dxa"/>
            <w:vAlign w:val="bottom"/>
            <w:shd w:val="clear" w:color="auto" w:fill="EDEDED"/>
          </w:tcPr>
          <w:p>
            <w:pPr>
              <w:spacing w:after="0"/>
              <w:rPr>
                <w:sz w:val="17"/>
                <w:szCs w:val="17"/>
                <w:color w:val="auto"/>
              </w:rPr>
            </w:pPr>
          </w:p>
        </w:tc>
        <w:tc>
          <w:tcPr>
            <w:tcW w:w="38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71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shd w:val="clear" w:color="auto" w:fill="EDEDED"/>
          </w:tcPr>
          <w:p>
            <w:pPr>
              <w:spacing w:after="0"/>
              <w:rPr>
                <w:sz w:val="4"/>
                <w:szCs w:val="4"/>
                <w:color w:val="auto"/>
              </w:rPr>
            </w:pPr>
          </w:p>
        </w:tc>
        <w:tc>
          <w:tcPr>
            <w:tcW w:w="200" w:type="dxa"/>
            <w:vAlign w:val="bottom"/>
            <w:shd w:val="clear" w:color="auto" w:fill="EDEDED"/>
          </w:tcPr>
          <w:p>
            <w:pPr>
              <w:spacing w:after="0"/>
              <w:rPr>
                <w:sz w:val="4"/>
                <w:szCs w:val="4"/>
                <w:color w:val="auto"/>
              </w:rPr>
            </w:pPr>
          </w:p>
        </w:tc>
        <w:tc>
          <w:tcPr>
            <w:tcW w:w="1740" w:type="dxa"/>
            <w:vAlign w:val="bottom"/>
            <w:shd w:val="clear" w:color="auto" w:fill="EDEDED"/>
          </w:tcPr>
          <w:p>
            <w:pPr>
              <w:spacing w:after="0"/>
              <w:rPr>
                <w:sz w:val="4"/>
                <w:szCs w:val="4"/>
                <w:color w:val="auto"/>
              </w:rPr>
            </w:pPr>
          </w:p>
        </w:tc>
        <w:tc>
          <w:tcPr>
            <w:tcW w:w="340" w:type="dxa"/>
            <w:vAlign w:val="bottom"/>
            <w:shd w:val="clear" w:color="auto" w:fill="EDEDED"/>
          </w:tcPr>
          <w:p>
            <w:pPr>
              <w:spacing w:after="0"/>
              <w:rPr>
                <w:sz w:val="4"/>
                <w:szCs w:val="4"/>
                <w:color w:val="auto"/>
              </w:rPr>
            </w:pPr>
          </w:p>
        </w:tc>
        <w:tc>
          <w:tcPr>
            <w:tcW w:w="20" w:type="dxa"/>
            <w:vAlign w:val="bottom"/>
            <w:shd w:val="clear" w:color="auto" w:fill="EDEDED"/>
          </w:tcPr>
          <w:p>
            <w:pPr>
              <w:spacing w:after="0"/>
              <w:rPr>
                <w:sz w:val="4"/>
                <w:szCs w:val="4"/>
                <w:color w:val="auto"/>
              </w:rPr>
            </w:pPr>
          </w:p>
        </w:tc>
        <w:tc>
          <w:tcPr>
            <w:tcW w:w="280" w:type="dxa"/>
            <w:vAlign w:val="bottom"/>
            <w:shd w:val="clear" w:color="auto" w:fill="EDEDED"/>
          </w:tcPr>
          <w:p>
            <w:pPr>
              <w:spacing w:after="0"/>
              <w:rPr>
                <w:sz w:val="4"/>
                <w:szCs w:val="4"/>
                <w:color w:val="auto"/>
              </w:rPr>
            </w:pPr>
          </w:p>
        </w:tc>
        <w:tc>
          <w:tcPr>
            <w:tcW w:w="380" w:type="dxa"/>
            <w:vAlign w:val="bottom"/>
            <w:shd w:val="clear" w:color="auto" w:fill="EDEDED"/>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7160" w:type="dxa"/>
            <w:vAlign w:val="bottom"/>
          </w:tcPr>
          <w:p>
            <w:pPr>
              <w:ind w:left="160"/>
              <w:spacing w:after="0"/>
              <w:rPr>
                <w:sz w:val="20"/>
                <w:szCs w:val="20"/>
                <w:color w:val="auto"/>
              </w:rPr>
            </w:pPr>
            <w:r>
              <w:rPr>
                <w:rFonts w:ascii="Arial" w:cs="Arial" w:eastAsia="Arial" w:hAnsi="Arial"/>
                <w:sz w:val="16"/>
                <w:szCs w:val="16"/>
                <w:color w:val="auto"/>
              </w:rPr>
              <w:t>independent auditor</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shd w:val="clear" w:color="auto" w:fill="EDEDED"/>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174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Gerald S. Adolph</w:t>
            </w:r>
          </w:p>
        </w:tc>
        <w:tc>
          <w:tcPr>
            <w:tcW w:w="340" w:type="dxa"/>
            <w:vAlign w:val="bottom"/>
            <w:shd w:val="clear" w:color="auto" w:fill="EDEDED"/>
          </w:tcPr>
          <w:p>
            <w:pPr>
              <w:spacing w:after="0"/>
              <w:rPr>
                <w:sz w:val="17"/>
                <w:szCs w:val="17"/>
                <w:color w:val="auto"/>
              </w:rPr>
            </w:pPr>
          </w:p>
        </w:tc>
        <w:tc>
          <w:tcPr>
            <w:tcW w:w="20" w:type="dxa"/>
            <w:vAlign w:val="bottom"/>
            <w:shd w:val="clear" w:color="auto" w:fill="EDEDED"/>
          </w:tcPr>
          <w:p>
            <w:pPr>
              <w:spacing w:after="0"/>
              <w:rPr>
                <w:sz w:val="17"/>
                <w:szCs w:val="17"/>
                <w:color w:val="auto"/>
              </w:rPr>
            </w:pPr>
          </w:p>
        </w:tc>
        <w:tc>
          <w:tcPr>
            <w:tcW w:w="280" w:type="dxa"/>
            <w:vAlign w:val="bottom"/>
            <w:shd w:val="clear" w:color="auto" w:fill="EDEDED"/>
          </w:tcPr>
          <w:p>
            <w:pPr>
              <w:spacing w:after="0"/>
              <w:rPr>
                <w:sz w:val="17"/>
                <w:szCs w:val="17"/>
                <w:color w:val="auto"/>
              </w:rPr>
            </w:pPr>
          </w:p>
        </w:tc>
        <w:tc>
          <w:tcPr>
            <w:tcW w:w="38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Oversees the performance of the internal audit function, including the Chief Audit Executive (“CAE”)</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74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Robert S. Cubbin</w:t>
            </w:r>
          </w:p>
        </w:tc>
        <w:tc>
          <w:tcPr>
            <w:tcW w:w="340" w:type="dxa"/>
            <w:vAlign w:val="bottom"/>
            <w:shd w:val="clear" w:color="auto" w:fill="EDEDED"/>
          </w:tcPr>
          <w:p>
            <w:pPr>
              <w:spacing w:after="0"/>
              <w:rPr>
                <w:sz w:val="22"/>
                <w:szCs w:val="22"/>
                <w:color w:val="auto"/>
              </w:rPr>
            </w:pPr>
          </w:p>
        </w:tc>
        <w:tc>
          <w:tcPr>
            <w:tcW w:w="20" w:type="dxa"/>
            <w:vAlign w:val="bottom"/>
            <w:shd w:val="clear" w:color="auto" w:fill="EDEDED"/>
          </w:tcPr>
          <w:p>
            <w:pPr>
              <w:spacing w:after="0"/>
              <w:rPr>
                <w:sz w:val="22"/>
                <w:szCs w:val="22"/>
                <w:color w:val="auto"/>
              </w:rPr>
            </w:pPr>
          </w:p>
        </w:tc>
        <w:tc>
          <w:tcPr>
            <w:tcW w:w="280" w:type="dxa"/>
            <w:vAlign w:val="bottom"/>
            <w:shd w:val="clear" w:color="auto" w:fill="EDEDED"/>
          </w:tcPr>
          <w:p>
            <w:pPr>
              <w:spacing w:after="0"/>
              <w:rPr>
                <w:sz w:val="22"/>
                <w:szCs w:val="22"/>
                <w:color w:val="auto"/>
              </w:rPr>
            </w:pPr>
          </w:p>
        </w:tc>
        <w:tc>
          <w:tcPr>
            <w:tcW w:w="380" w:type="dxa"/>
            <w:vAlign w:val="bottom"/>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Oversees the Company’s Enterprise Risk Management Program</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74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Amala Duggirala</w:t>
            </w:r>
          </w:p>
        </w:tc>
        <w:tc>
          <w:tcPr>
            <w:tcW w:w="340" w:type="dxa"/>
            <w:vAlign w:val="bottom"/>
            <w:shd w:val="clear" w:color="auto" w:fill="EDEDED"/>
          </w:tcPr>
          <w:p>
            <w:pPr>
              <w:spacing w:after="0"/>
              <w:rPr>
                <w:sz w:val="22"/>
                <w:szCs w:val="22"/>
                <w:color w:val="auto"/>
              </w:rPr>
            </w:pPr>
          </w:p>
        </w:tc>
        <w:tc>
          <w:tcPr>
            <w:tcW w:w="20" w:type="dxa"/>
            <w:vAlign w:val="bottom"/>
            <w:shd w:val="clear" w:color="auto" w:fill="EDEDED"/>
          </w:tcPr>
          <w:p>
            <w:pPr>
              <w:spacing w:after="0"/>
              <w:rPr>
                <w:sz w:val="22"/>
                <w:szCs w:val="22"/>
                <w:color w:val="auto"/>
              </w:rPr>
            </w:pPr>
          </w:p>
        </w:tc>
        <w:tc>
          <w:tcPr>
            <w:tcW w:w="280" w:type="dxa"/>
            <w:vAlign w:val="bottom"/>
            <w:shd w:val="clear" w:color="auto" w:fill="EDEDED"/>
          </w:tcPr>
          <w:p>
            <w:pPr>
              <w:spacing w:after="0"/>
              <w:rPr>
                <w:sz w:val="22"/>
                <w:szCs w:val="22"/>
                <w:color w:val="auto"/>
              </w:rPr>
            </w:pPr>
          </w:p>
        </w:tc>
        <w:tc>
          <w:tcPr>
            <w:tcW w:w="380" w:type="dxa"/>
            <w:vAlign w:val="bottom"/>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Reviews and discusses with management the Company’s major financial, security, and cybersecurity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200" w:type="dxa"/>
            <w:vAlign w:val="bottom"/>
            <w:shd w:val="clear" w:color="auto" w:fill="EDEDED"/>
          </w:tcPr>
          <w:p>
            <w:pPr>
              <w:spacing w:after="0"/>
              <w:rPr>
                <w:sz w:val="20"/>
                <w:szCs w:val="20"/>
                <w:color w:val="auto"/>
              </w:rPr>
            </w:pPr>
          </w:p>
        </w:tc>
        <w:tc>
          <w:tcPr>
            <w:tcW w:w="1740" w:type="dxa"/>
            <w:vAlign w:val="bottom"/>
            <w:vMerge w:val="restart"/>
            <w:shd w:val="clear" w:color="auto" w:fill="EDEDED"/>
          </w:tcPr>
          <w:p>
            <w:pPr>
              <w:ind w:left="120"/>
              <w:spacing w:after="0"/>
              <w:rPr>
                <w:sz w:val="20"/>
                <w:szCs w:val="20"/>
                <w:color w:val="auto"/>
              </w:rPr>
            </w:pPr>
            <w:r>
              <w:rPr>
                <w:rFonts w:ascii="Arial" w:cs="Arial" w:eastAsia="Arial" w:hAnsi="Arial"/>
                <w:sz w:val="16"/>
                <w:szCs w:val="16"/>
                <w:b w:val="1"/>
                <w:bCs w:val="1"/>
                <w:color w:val="auto"/>
              </w:rPr>
              <w:t>Meetings in 2023:</w:t>
            </w:r>
          </w:p>
        </w:tc>
        <w:tc>
          <w:tcPr>
            <w:tcW w:w="340" w:type="dxa"/>
            <w:vAlign w:val="bottom"/>
            <w:shd w:val="clear" w:color="auto" w:fill="EDEDED"/>
          </w:tcPr>
          <w:p>
            <w:pPr>
              <w:spacing w:after="0"/>
              <w:rPr>
                <w:sz w:val="20"/>
                <w:szCs w:val="20"/>
                <w:color w:val="auto"/>
              </w:rPr>
            </w:pPr>
          </w:p>
        </w:tc>
        <w:tc>
          <w:tcPr>
            <w:tcW w:w="20" w:type="dxa"/>
            <w:vAlign w:val="bottom"/>
            <w:shd w:val="clear" w:color="auto" w:fill="EDEDED"/>
          </w:tcPr>
          <w:p>
            <w:pPr>
              <w:spacing w:after="0"/>
              <w:rPr>
                <w:sz w:val="20"/>
                <w:szCs w:val="20"/>
                <w:color w:val="auto"/>
              </w:rPr>
            </w:pPr>
          </w:p>
        </w:tc>
        <w:tc>
          <w:tcPr>
            <w:tcW w:w="280" w:type="dxa"/>
            <w:vAlign w:val="bottom"/>
            <w:shd w:val="clear" w:color="auto" w:fill="EDEDED"/>
          </w:tcPr>
          <w:p>
            <w:pPr>
              <w:spacing w:after="0"/>
              <w:rPr>
                <w:sz w:val="20"/>
                <w:szCs w:val="20"/>
                <w:color w:val="auto"/>
              </w:rPr>
            </w:pPr>
          </w:p>
        </w:tc>
        <w:tc>
          <w:tcPr>
            <w:tcW w:w="38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7160" w:type="dxa"/>
            <w:vAlign w:val="bottom"/>
          </w:tcPr>
          <w:p>
            <w:pPr>
              <w:ind w:left="160"/>
              <w:spacing w:after="0" w:line="155" w:lineRule="exact"/>
              <w:rPr>
                <w:sz w:val="20"/>
                <w:szCs w:val="20"/>
                <w:color w:val="auto"/>
              </w:rPr>
            </w:pPr>
            <w:r>
              <w:rPr>
                <w:rFonts w:ascii="Arial" w:cs="Arial" w:eastAsia="Arial" w:hAnsi="Arial"/>
                <w:sz w:val="16"/>
                <w:szCs w:val="16"/>
                <w:color w:val="auto"/>
              </w:rPr>
              <w:t>risk exposures, artificial intelligence and the steps management take to monitor and control such</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shd w:val="clear" w:color="auto" w:fill="EDEDED"/>
          </w:tcPr>
          <w:p>
            <w:pPr>
              <w:spacing w:after="0"/>
              <w:rPr>
                <w:sz w:val="13"/>
                <w:szCs w:val="13"/>
                <w:color w:val="auto"/>
              </w:rPr>
            </w:pPr>
          </w:p>
        </w:tc>
        <w:tc>
          <w:tcPr>
            <w:tcW w:w="200" w:type="dxa"/>
            <w:vAlign w:val="bottom"/>
            <w:shd w:val="clear" w:color="auto" w:fill="EDEDED"/>
          </w:tcPr>
          <w:p>
            <w:pPr>
              <w:spacing w:after="0"/>
              <w:rPr>
                <w:sz w:val="13"/>
                <w:szCs w:val="13"/>
                <w:color w:val="auto"/>
              </w:rPr>
            </w:pPr>
          </w:p>
        </w:tc>
        <w:tc>
          <w:tcPr>
            <w:tcW w:w="1740" w:type="dxa"/>
            <w:vAlign w:val="bottom"/>
            <w:vMerge w:val="continue"/>
            <w:shd w:val="clear" w:color="auto" w:fill="EDEDED"/>
          </w:tcPr>
          <w:p>
            <w:pPr>
              <w:spacing w:after="0"/>
              <w:rPr>
                <w:sz w:val="13"/>
                <w:szCs w:val="13"/>
                <w:color w:val="auto"/>
              </w:rPr>
            </w:pPr>
          </w:p>
        </w:tc>
        <w:tc>
          <w:tcPr>
            <w:tcW w:w="340" w:type="dxa"/>
            <w:vAlign w:val="bottom"/>
            <w:shd w:val="clear" w:color="auto" w:fill="EDEDED"/>
          </w:tcPr>
          <w:p>
            <w:pPr>
              <w:spacing w:after="0"/>
              <w:rPr>
                <w:sz w:val="13"/>
                <w:szCs w:val="13"/>
                <w:color w:val="auto"/>
              </w:rPr>
            </w:pPr>
          </w:p>
        </w:tc>
        <w:tc>
          <w:tcPr>
            <w:tcW w:w="20" w:type="dxa"/>
            <w:vAlign w:val="bottom"/>
            <w:shd w:val="clear" w:color="auto" w:fill="EDEDED"/>
          </w:tcPr>
          <w:p>
            <w:pPr>
              <w:spacing w:after="0"/>
              <w:rPr>
                <w:sz w:val="13"/>
                <w:szCs w:val="13"/>
                <w:color w:val="auto"/>
              </w:rPr>
            </w:pPr>
          </w:p>
        </w:tc>
        <w:tc>
          <w:tcPr>
            <w:tcW w:w="280" w:type="dxa"/>
            <w:vAlign w:val="bottom"/>
            <w:shd w:val="clear" w:color="auto" w:fill="EDEDED"/>
          </w:tcPr>
          <w:p>
            <w:pPr>
              <w:spacing w:after="0"/>
              <w:rPr>
                <w:sz w:val="13"/>
                <w:szCs w:val="13"/>
                <w:color w:val="auto"/>
              </w:rPr>
            </w:pPr>
          </w:p>
        </w:tc>
        <w:tc>
          <w:tcPr>
            <w:tcW w:w="38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160" w:type="dxa"/>
            <w:vAlign w:val="bottom"/>
            <w:vMerge w:val="restart"/>
          </w:tcPr>
          <w:p>
            <w:pPr>
              <w:ind w:left="160"/>
              <w:spacing w:after="0"/>
              <w:rPr>
                <w:sz w:val="20"/>
                <w:szCs w:val="20"/>
                <w:color w:val="auto"/>
              </w:rPr>
            </w:pPr>
            <w:r>
              <w:rPr>
                <w:rFonts w:ascii="Arial" w:cs="Arial" w:eastAsia="Arial" w:hAnsi="Arial"/>
                <w:sz w:val="16"/>
                <w:szCs w:val="16"/>
                <w:color w:val="auto"/>
              </w:rPr>
              <w:t>exposures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1740" w:type="dxa"/>
            <w:vAlign w:val="bottom"/>
            <w:shd w:val="clear" w:color="auto" w:fill="EDEDED"/>
          </w:tcPr>
          <w:p>
            <w:pPr>
              <w:ind w:left="120"/>
              <w:spacing w:after="0" w:line="183" w:lineRule="exact"/>
              <w:rPr>
                <w:sz w:val="20"/>
                <w:szCs w:val="20"/>
                <w:color w:val="auto"/>
              </w:rPr>
            </w:pPr>
            <w:r>
              <w:rPr>
                <w:rFonts w:ascii="Arial" w:cs="Arial" w:eastAsia="Arial" w:hAnsi="Arial"/>
                <w:sz w:val="21"/>
                <w:szCs w:val="21"/>
                <w:b w:val="1"/>
                <w:bCs w:val="1"/>
                <w:color w:val="0A9E50"/>
              </w:rPr>
              <w:t>4</w:t>
            </w:r>
          </w:p>
        </w:tc>
        <w:tc>
          <w:tcPr>
            <w:tcW w:w="340" w:type="dxa"/>
            <w:vAlign w:val="bottom"/>
            <w:shd w:val="clear" w:color="auto" w:fill="EDEDED"/>
          </w:tcPr>
          <w:p>
            <w:pPr>
              <w:spacing w:after="0"/>
              <w:rPr>
                <w:sz w:val="15"/>
                <w:szCs w:val="15"/>
                <w:color w:val="auto"/>
              </w:rPr>
            </w:pPr>
          </w:p>
        </w:tc>
        <w:tc>
          <w:tcPr>
            <w:tcW w:w="2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38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71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shd w:val="clear" w:color="auto" w:fill="EDEDED"/>
          </w:tcPr>
          <w:p>
            <w:pPr>
              <w:spacing w:after="0"/>
              <w:rPr>
                <w:sz w:val="4"/>
                <w:szCs w:val="4"/>
                <w:color w:val="auto"/>
              </w:rPr>
            </w:pPr>
          </w:p>
        </w:tc>
        <w:tc>
          <w:tcPr>
            <w:tcW w:w="200" w:type="dxa"/>
            <w:vAlign w:val="bottom"/>
            <w:shd w:val="clear" w:color="auto" w:fill="EDEDED"/>
          </w:tcPr>
          <w:p>
            <w:pPr>
              <w:spacing w:after="0"/>
              <w:rPr>
                <w:sz w:val="4"/>
                <w:szCs w:val="4"/>
                <w:color w:val="auto"/>
              </w:rPr>
            </w:pPr>
          </w:p>
        </w:tc>
        <w:tc>
          <w:tcPr>
            <w:tcW w:w="1740" w:type="dxa"/>
            <w:vAlign w:val="bottom"/>
            <w:shd w:val="clear" w:color="auto" w:fill="EDEDED"/>
          </w:tcPr>
          <w:p>
            <w:pPr>
              <w:spacing w:after="0"/>
              <w:rPr>
                <w:sz w:val="4"/>
                <w:szCs w:val="4"/>
                <w:color w:val="auto"/>
              </w:rPr>
            </w:pPr>
          </w:p>
        </w:tc>
        <w:tc>
          <w:tcPr>
            <w:tcW w:w="340" w:type="dxa"/>
            <w:vAlign w:val="bottom"/>
            <w:shd w:val="clear" w:color="auto" w:fill="EDEDED"/>
          </w:tcPr>
          <w:p>
            <w:pPr>
              <w:spacing w:after="0"/>
              <w:rPr>
                <w:sz w:val="4"/>
                <w:szCs w:val="4"/>
                <w:color w:val="auto"/>
              </w:rPr>
            </w:pPr>
          </w:p>
        </w:tc>
        <w:tc>
          <w:tcPr>
            <w:tcW w:w="20" w:type="dxa"/>
            <w:vAlign w:val="bottom"/>
            <w:shd w:val="clear" w:color="auto" w:fill="EDEDED"/>
          </w:tcPr>
          <w:p>
            <w:pPr>
              <w:spacing w:after="0"/>
              <w:rPr>
                <w:sz w:val="4"/>
                <w:szCs w:val="4"/>
                <w:color w:val="auto"/>
              </w:rPr>
            </w:pPr>
          </w:p>
        </w:tc>
        <w:tc>
          <w:tcPr>
            <w:tcW w:w="280" w:type="dxa"/>
            <w:vAlign w:val="bottom"/>
            <w:shd w:val="clear" w:color="auto" w:fill="EDEDED"/>
          </w:tcPr>
          <w:p>
            <w:pPr>
              <w:spacing w:after="0"/>
              <w:rPr>
                <w:sz w:val="4"/>
                <w:szCs w:val="4"/>
                <w:color w:val="auto"/>
              </w:rPr>
            </w:pPr>
          </w:p>
        </w:tc>
        <w:tc>
          <w:tcPr>
            <w:tcW w:w="380" w:type="dxa"/>
            <w:vAlign w:val="bottom"/>
            <w:shd w:val="clear" w:color="auto" w:fill="EDEDED"/>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Monitors the Company’s compliance with legal and regulatory requirements</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740" w:type="dxa"/>
            <w:vAlign w:val="bottom"/>
            <w:shd w:val="clear" w:color="auto" w:fill="EDEDED"/>
          </w:tcPr>
          <w:p>
            <w:pPr>
              <w:spacing w:after="0"/>
              <w:rPr>
                <w:sz w:val="22"/>
                <w:szCs w:val="22"/>
                <w:color w:val="auto"/>
              </w:rPr>
            </w:pPr>
          </w:p>
        </w:tc>
        <w:tc>
          <w:tcPr>
            <w:tcW w:w="340" w:type="dxa"/>
            <w:vAlign w:val="bottom"/>
            <w:shd w:val="clear" w:color="auto" w:fill="EDEDED"/>
          </w:tcPr>
          <w:p>
            <w:pPr>
              <w:spacing w:after="0"/>
              <w:rPr>
                <w:sz w:val="22"/>
                <w:szCs w:val="22"/>
                <w:color w:val="auto"/>
              </w:rPr>
            </w:pPr>
          </w:p>
        </w:tc>
        <w:tc>
          <w:tcPr>
            <w:tcW w:w="20" w:type="dxa"/>
            <w:vAlign w:val="bottom"/>
            <w:shd w:val="clear" w:color="auto" w:fill="EDEDED"/>
          </w:tcPr>
          <w:p>
            <w:pPr>
              <w:spacing w:after="0"/>
              <w:rPr>
                <w:sz w:val="22"/>
                <w:szCs w:val="22"/>
                <w:color w:val="auto"/>
              </w:rPr>
            </w:pPr>
          </w:p>
        </w:tc>
        <w:tc>
          <w:tcPr>
            <w:tcW w:w="280" w:type="dxa"/>
            <w:vAlign w:val="bottom"/>
            <w:shd w:val="clear" w:color="auto" w:fill="EDEDED"/>
          </w:tcPr>
          <w:p>
            <w:pPr>
              <w:spacing w:after="0"/>
              <w:rPr>
                <w:sz w:val="22"/>
                <w:szCs w:val="22"/>
                <w:color w:val="auto"/>
              </w:rPr>
            </w:pPr>
          </w:p>
        </w:tc>
        <w:tc>
          <w:tcPr>
            <w:tcW w:w="380" w:type="dxa"/>
            <w:vAlign w:val="bottom"/>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Oversees sustainability/ESG disclosures, controls, processes, and assurance</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740" w:type="dxa"/>
            <w:vAlign w:val="bottom"/>
            <w:shd w:val="clear" w:color="auto" w:fill="EDEDED"/>
          </w:tcPr>
          <w:p>
            <w:pPr>
              <w:spacing w:after="0"/>
              <w:rPr>
                <w:sz w:val="22"/>
                <w:szCs w:val="22"/>
                <w:color w:val="auto"/>
              </w:rPr>
            </w:pPr>
          </w:p>
        </w:tc>
        <w:tc>
          <w:tcPr>
            <w:tcW w:w="340" w:type="dxa"/>
            <w:vAlign w:val="bottom"/>
            <w:shd w:val="clear" w:color="auto" w:fill="EDEDED"/>
          </w:tcPr>
          <w:p>
            <w:pPr>
              <w:spacing w:after="0"/>
              <w:rPr>
                <w:sz w:val="22"/>
                <w:szCs w:val="22"/>
                <w:color w:val="auto"/>
              </w:rPr>
            </w:pPr>
          </w:p>
        </w:tc>
        <w:tc>
          <w:tcPr>
            <w:tcW w:w="20" w:type="dxa"/>
            <w:vAlign w:val="bottom"/>
            <w:shd w:val="clear" w:color="auto" w:fill="EDEDED"/>
          </w:tcPr>
          <w:p>
            <w:pPr>
              <w:spacing w:after="0"/>
              <w:rPr>
                <w:sz w:val="22"/>
                <w:szCs w:val="22"/>
                <w:color w:val="auto"/>
              </w:rPr>
            </w:pPr>
          </w:p>
        </w:tc>
        <w:tc>
          <w:tcPr>
            <w:tcW w:w="280" w:type="dxa"/>
            <w:vAlign w:val="bottom"/>
            <w:shd w:val="clear" w:color="auto" w:fill="EDEDED"/>
          </w:tcPr>
          <w:p>
            <w:pPr>
              <w:spacing w:after="0"/>
              <w:rPr>
                <w:sz w:val="22"/>
                <w:szCs w:val="22"/>
                <w:color w:val="auto"/>
              </w:rPr>
            </w:pPr>
          </w:p>
        </w:tc>
        <w:tc>
          <w:tcPr>
            <w:tcW w:w="380" w:type="dxa"/>
            <w:vAlign w:val="bottom"/>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Reviews and approves related party transactions</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740" w:type="dxa"/>
            <w:vAlign w:val="bottom"/>
            <w:shd w:val="clear" w:color="auto" w:fill="EDEDED"/>
          </w:tcPr>
          <w:p>
            <w:pPr>
              <w:spacing w:after="0"/>
              <w:rPr>
                <w:sz w:val="22"/>
                <w:szCs w:val="22"/>
                <w:color w:val="auto"/>
              </w:rPr>
            </w:pPr>
          </w:p>
        </w:tc>
        <w:tc>
          <w:tcPr>
            <w:tcW w:w="340" w:type="dxa"/>
            <w:vAlign w:val="bottom"/>
            <w:shd w:val="clear" w:color="auto" w:fill="EDEDED"/>
          </w:tcPr>
          <w:p>
            <w:pPr>
              <w:spacing w:after="0"/>
              <w:rPr>
                <w:sz w:val="22"/>
                <w:szCs w:val="22"/>
                <w:color w:val="auto"/>
              </w:rPr>
            </w:pPr>
          </w:p>
        </w:tc>
        <w:tc>
          <w:tcPr>
            <w:tcW w:w="20" w:type="dxa"/>
            <w:vAlign w:val="bottom"/>
            <w:shd w:val="clear" w:color="auto" w:fill="EDEDED"/>
          </w:tcPr>
          <w:p>
            <w:pPr>
              <w:spacing w:after="0"/>
              <w:rPr>
                <w:sz w:val="22"/>
                <w:szCs w:val="22"/>
                <w:color w:val="auto"/>
              </w:rPr>
            </w:pPr>
          </w:p>
        </w:tc>
        <w:tc>
          <w:tcPr>
            <w:tcW w:w="280" w:type="dxa"/>
            <w:vAlign w:val="bottom"/>
            <w:shd w:val="clear" w:color="auto" w:fill="EDEDED"/>
          </w:tcPr>
          <w:p>
            <w:pPr>
              <w:spacing w:after="0"/>
              <w:rPr>
                <w:sz w:val="22"/>
                <w:szCs w:val="22"/>
                <w:color w:val="auto"/>
              </w:rPr>
            </w:pPr>
          </w:p>
        </w:tc>
        <w:tc>
          <w:tcPr>
            <w:tcW w:w="380" w:type="dxa"/>
            <w:vAlign w:val="bottom"/>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Serves as the Company’s Qualified Legal Compliance Committee with respect to reports of potential</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200" w:type="dxa"/>
            <w:vAlign w:val="bottom"/>
            <w:shd w:val="clear" w:color="auto" w:fill="EDEDED"/>
          </w:tcPr>
          <w:p>
            <w:pPr>
              <w:spacing w:after="0"/>
              <w:rPr>
                <w:sz w:val="20"/>
                <w:szCs w:val="20"/>
                <w:color w:val="auto"/>
              </w:rPr>
            </w:pPr>
          </w:p>
        </w:tc>
        <w:tc>
          <w:tcPr>
            <w:tcW w:w="1740" w:type="dxa"/>
            <w:vAlign w:val="bottom"/>
            <w:shd w:val="clear" w:color="auto" w:fill="EDEDED"/>
          </w:tcPr>
          <w:p>
            <w:pPr>
              <w:spacing w:after="0"/>
              <w:rPr>
                <w:sz w:val="20"/>
                <w:szCs w:val="20"/>
                <w:color w:val="auto"/>
              </w:rPr>
            </w:pPr>
          </w:p>
        </w:tc>
        <w:tc>
          <w:tcPr>
            <w:tcW w:w="340" w:type="dxa"/>
            <w:vAlign w:val="bottom"/>
            <w:shd w:val="clear" w:color="auto" w:fill="EDEDED"/>
          </w:tcPr>
          <w:p>
            <w:pPr>
              <w:spacing w:after="0"/>
              <w:rPr>
                <w:sz w:val="20"/>
                <w:szCs w:val="20"/>
                <w:color w:val="auto"/>
              </w:rPr>
            </w:pPr>
          </w:p>
        </w:tc>
        <w:tc>
          <w:tcPr>
            <w:tcW w:w="20" w:type="dxa"/>
            <w:vAlign w:val="bottom"/>
            <w:shd w:val="clear" w:color="auto" w:fill="EDEDED"/>
          </w:tcPr>
          <w:p>
            <w:pPr>
              <w:spacing w:after="0"/>
              <w:rPr>
                <w:sz w:val="20"/>
                <w:szCs w:val="20"/>
                <w:color w:val="auto"/>
              </w:rPr>
            </w:pPr>
          </w:p>
        </w:tc>
        <w:tc>
          <w:tcPr>
            <w:tcW w:w="280" w:type="dxa"/>
            <w:vAlign w:val="bottom"/>
            <w:shd w:val="clear" w:color="auto" w:fill="EDEDED"/>
          </w:tcPr>
          <w:p>
            <w:pPr>
              <w:spacing w:after="0"/>
              <w:rPr>
                <w:sz w:val="20"/>
                <w:szCs w:val="20"/>
                <w:color w:val="auto"/>
              </w:rPr>
            </w:pPr>
          </w:p>
        </w:tc>
        <w:tc>
          <w:tcPr>
            <w:tcW w:w="38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160" w:type="dxa"/>
            <w:vAlign w:val="bottom"/>
          </w:tcPr>
          <w:p>
            <w:pPr>
              <w:ind w:left="160"/>
              <w:spacing w:after="0" w:line="182" w:lineRule="exact"/>
              <w:rPr>
                <w:sz w:val="20"/>
                <w:szCs w:val="20"/>
                <w:color w:val="auto"/>
              </w:rPr>
            </w:pPr>
            <w:r>
              <w:rPr>
                <w:rFonts w:ascii="Arial" w:cs="Arial" w:eastAsia="Arial" w:hAnsi="Arial"/>
                <w:sz w:val="16"/>
                <w:szCs w:val="16"/>
                <w:color w:val="auto"/>
                <w:w w:val="98"/>
              </w:rPr>
              <w:t>material violations by the Company or its officers, directors, employees, or agents, of applicable U.S.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1740" w:type="dxa"/>
            <w:vAlign w:val="bottom"/>
            <w:shd w:val="clear" w:color="auto" w:fill="EDEDED"/>
          </w:tcPr>
          <w:p>
            <w:pPr>
              <w:spacing w:after="0"/>
              <w:rPr>
                <w:sz w:val="15"/>
                <w:szCs w:val="15"/>
                <w:color w:val="auto"/>
              </w:rPr>
            </w:pPr>
          </w:p>
        </w:tc>
        <w:tc>
          <w:tcPr>
            <w:tcW w:w="340" w:type="dxa"/>
            <w:vAlign w:val="bottom"/>
            <w:shd w:val="clear" w:color="auto" w:fill="EDEDED"/>
          </w:tcPr>
          <w:p>
            <w:pPr>
              <w:spacing w:after="0"/>
              <w:rPr>
                <w:sz w:val="15"/>
                <w:szCs w:val="15"/>
                <w:color w:val="auto"/>
              </w:rPr>
            </w:pPr>
          </w:p>
        </w:tc>
        <w:tc>
          <w:tcPr>
            <w:tcW w:w="2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38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160" w:type="dxa"/>
            <w:vAlign w:val="bottom"/>
          </w:tcPr>
          <w:p>
            <w:pPr>
              <w:ind w:left="160"/>
              <w:spacing w:after="0" w:line="182" w:lineRule="exact"/>
              <w:rPr>
                <w:sz w:val="20"/>
                <w:szCs w:val="20"/>
                <w:color w:val="auto"/>
              </w:rPr>
            </w:pPr>
            <w:r>
              <w:rPr>
                <w:rFonts w:ascii="Arial" w:cs="Arial" w:eastAsia="Arial" w:hAnsi="Arial"/>
                <w:sz w:val="16"/>
                <w:szCs w:val="16"/>
                <w:color w:val="auto"/>
                <w:w w:val="98"/>
              </w:rPr>
              <w:t>federal or state law or fiduciary duty arising under such law, and of the Company’s policies including</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1740" w:type="dxa"/>
            <w:vAlign w:val="bottom"/>
            <w:shd w:val="clear" w:color="auto" w:fill="EDEDED"/>
          </w:tcPr>
          <w:p>
            <w:pPr>
              <w:spacing w:after="0"/>
              <w:rPr>
                <w:sz w:val="15"/>
                <w:szCs w:val="15"/>
                <w:color w:val="auto"/>
              </w:rPr>
            </w:pPr>
          </w:p>
        </w:tc>
        <w:tc>
          <w:tcPr>
            <w:tcW w:w="340" w:type="dxa"/>
            <w:vAlign w:val="bottom"/>
            <w:shd w:val="clear" w:color="auto" w:fill="EDEDED"/>
          </w:tcPr>
          <w:p>
            <w:pPr>
              <w:spacing w:after="0"/>
              <w:rPr>
                <w:sz w:val="15"/>
                <w:szCs w:val="15"/>
                <w:color w:val="auto"/>
              </w:rPr>
            </w:pPr>
          </w:p>
        </w:tc>
        <w:tc>
          <w:tcPr>
            <w:tcW w:w="2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38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160" w:type="dxa"/>
            <w:vAlign w:val="bottom"/>
          </w:tcPr>
          <w:p>
            <w:pPr>
              <w:ind w:left="160"/>
              <w:spacing w:after="0"/>
              <w:rPr>
                <w:sz w:val="20"/>
                <w:szCs w:val="20"/>
                <w:color w:val="auto"/>
              </w:rPr>
            </w:pPr>
            <w:r>
              <w:rPr>
                <w:rFonts w:ascii="Arial" w:cs="Arial" w:eastAsia="Arial" w:hAnsi="Arial"/>
                <w:sz w:val="16"/>
                <w:szCs w:val="16"/>
                <w:color w:val="auto"/>
              </w:rPr>
              <w:t>the Code of Business Conduct and Ethics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shd w:val="clear" w:color="auto" w:fill="EDEDED"/>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1740" w:type="dxa"/>
            <w:vAlign w:val="bottom"/>
            <w:shd w:val="clear" w:color="auto" w:fill="EDEDED"/>
          </w:tcPr>
          <w:p>
            <w:pPr>
              <w:spacing w:after="0"/>
              <w:rPr>
                <w:sz w:val="17"/>
                <w:szCs w:val="17"/>
                <w:color w:val="auto"/>
              </w:rPr>
            </w:pPr>
          </w:p>
        </w:tc>
        <w:tc>
          <w:tcPr>
            <w:tcW w:w="340" w:type="dxa"/>
            <w:vAlign w:val="bottom"/>
            <w:shd w:val="clear" w:color="auto" w:fill="EDEDED"/>
          </w:tcPr>
          <w:p>
            <w:pPr>
              <w:spacing w:after="0"/>
              <w:rPr>
                <w:sz w:val="17"/>
                <w:szCs w:val="17"/>
                <w:color w:val="auto"/>
              </w:rPr>
            </w:pPr>
          </w:p>
        </w:tc>
        <w:tc>
          <w:tcPr>
            <w:tcW w:w="20" w:type="dxa"/>
            <w:vAlign w:val="bottom"/>
            <w:shd w:val="clear" w:color="auto" w:fill="EDEDED"/>
          </w:tcPr>
          <w:p>
            <w:pPr>
              <w:spacing w:after="0"/>
              <w:rPr>
                <w:sz w:val="17"/>
                <w:szCs w:val="17"/>
                <w:color w:val="auto"/>
              </w:rPr>
            </w:pPr>
          </w:p>
        </w:tc>
        <w:tc>
          <w:tcPr>
            <w:tcW w:w="280" w:type="dxa"/>
            <w:vAlign w:val="bottom"/>
            <w:shd w:val="clear" w:color="auto" w:fill="EDEDED"/>
          </w:tcPr>
          <w:p>
            <w:pPr>
              <w:spacing w:after="0"/>
              <w:rPr>
                <w:sz w:val="17"/>
                <w:szCs w:val="17"/>
                <w:color w:val="auto"/>
              </w:rPr>
            </w:pPr>
          </w:p>
        </w:tc>
        <w:tc>
          <w:tcPr>
            <w:tcW w:w="38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Reviews and approves Internal Audit’s budget and resource plan</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740" w:type="dxa"/>
            <w:vAlign w:val="bottom"/>
            <w:shd w:val="clear" w:color="auto" w:fill="EDEDED"/>
          </w:tcPr>
          <w:p>
            <w:pPr>
              <w:spacing w:after="0"/>
              <w:rPr>
                <w:sz w:val="22"/>
                <w:szCs w:val="22"/>
                <w:color w:val="auto"/>
              </w:rPr>
            </w:pPr>
          </w:p>
        </w:tc>
        <w:tc>
          <w:tcPr>
            <w:tcW w:w="340" w:type="dxa"/>
            <w:vAlign w:val="bottom"/>
            <w:shd w:val="clear" w:color="auto" w:fill="EDEDED"/>
          </w:tcPr>
          <w:p>
            <w:pPr>
              <w:spacing w:after="0"/>
              <w:rPr>
                <w:sz w:val="22"/>
                <w:szCs w:val="22"/>
                <w:color w:val="auto"/>
              </w:rPr>
            </w:pPr>
          </w:p>
        </w:tc>
        <w:tc>
          <w:tcPr>
            <w:tcW w:w="20" w:type="dxa"/>
            <w:vAlign w:val="bottom"/>
            <w:shd w:val="clear" w:color="auto" w:fill="EDEDED"/>
          </w:tcPr>
          <w:p>
            <w:pPr>
              <w:spacing w:after="0"/>
              <w:rPr>
                <w:sz w:val="22"/>
                <w:szCs w:val="22"/>
                <w:color w:val="auto"/>
              </w:rPr>
            </w:pPr>
          </w:p>
        </w:tc>
        <w:tc>
          <w:tcPr>
            <w:tcW w:w="280" w:type="dxa"/>
            <w:vAlign w:val="bottom"/>
            <w:shd w:val="clear" w:color="auto" w:fill="EDEDED"/>
          </w:tcPr>
          <w:p>
            <w:pPr>
              <w:spacing w:after="0"/>
              <w:rPr>
                <w:sz w:val="22"/>
                <w:szCs w:val="22"/>
                <w:color w:val="auto"/>
              </w:rPr>
            </w:pPr>
          </w:p>
        </w:tc>
        <w:tc>
          <w:tcPr>
            <w:tcW w:w="380" w:type="dxa"/>
            <w:vAlign w:val="bottom"/>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Regularly holds separate sessions with Kelly’s management, internal audit, and its independent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200" w:type="dxa"/>
            <w:vAlign w:val="bottom"/>
            <w:shd w:val="clear" w:color="auto" w:fill="EDEDED"/>
          </w:tcPr>
          <w:p>
            <w:pPr>
              <w:spacing w:after="0"/>
              <w:rPr>
                <w:sz w:val="20"/>
                <w:szCs w:val="20"/>
                <w:color w:val="auto"/>
              </w:rPr>
            </w:pPr>
          </w:p>
        </w:tc>
        <w:tc>
          <w:tcPr>
            <w:tcW w:w="1740" w:type="dxa"/>
            <w:vAlign w:val="bottom"/>
            <w:shd w:val="clear" w:color="auto" w:fill="EDEDED"/>
          </w:tcPr>
          <w:p>
            <w:pPr>
              <w:spacing w:after="0"/>
              <w:rPr>
                <w:sz w:val="20"/>
                <w:szCs w:val="20"/>
                <w:color w:val="auto"/>
              </w:rPr>
            </w:pPr>
          </w:p>
        </w:tc>
        <w:tc>
          <w:tcPr>
            <w:tcW w:w="340" w:type="dxa"/>
            <w:vAlign w:val="bottom"/>
            <w:shd w:val="clear" w:color="auto" w:fill="EDEDED"/>
          </w:tcPr>
          <w:p>
            <w:pPr>
              <w:spacing w:after="0"/>
              <w:rPr>
                <w:sz w:val="20"/>
                <w:szCs w:val="20"/>
                <w:color w:val="auto"/>
              </w:rPr>
            </w:pPr>
          </w:p>
        </w:tc>
        <w:tc>
          <w:tcPr>
            <w:tcW w:w="20" w:type="dxa"/>
            <w:vAlign w:val="bottom"/>
            <w:shd w:val="clear" w:color="auto" w:fill="EDEDED"/>
          </w:tcPr>
          <w:p>
            <w:pPr>
              <w:spacing w:after="0"/>
              <w:rPr>
                <w:sz w:val="20"/>
                <w:szCs w:val="20"/>
                <w:color w:val="auto"/>
              </w:rPr>
            </w:pPr>
          </w:p>
        </w:tc>
        <w:tc>
          <w:tcPr>
            <w:tcW w:w="280" w:type="dxa"/>
            <w:vAlign w:val="bottom"/>
            <w:shd w:val="clear" w:color="auto" w:fill="EDEDED"/>
          </w:tcPr>
          <w:p>
            <w:pPr>
              <w:spacing w:after="0"/>
              <w:rPr>
                <w:sz w:val="20"/>
                <w:szCs w:val="20"/>
                <w:color w:val="auto"/>
              </w:rPr>
            </w:pPr>
          </w:p>
        </w:tc>
        <w:tc>
          <w:tcPr>
            <w:tcW w:w="38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160" w:type="dxa"/>
            <w:vAlign w:val="bottom"/>
          </w:tcPr>
          <w:p>
            <w:pPr>
              <w:ind w:left="160"/>
              <w:spacing w:after="0"/>
              <w:rPr>
                <w:sz w:val="20"/>
                <w:szCs w:val="20"/>
                <w:color w:val="auto"/>
              </w:rPr>
            </w:pPr>
            <w:r>
              <w:rPr>
                <w:rFonts w:ascii="Arial" w:cs="Arial" w:eastAsia="Arial" w:hAnsi="Arial"/>
                <w:sz w:val="16"/>
                <w:szCs w:val="16"/>
                <w:color w:val="auto"/>
              </w:rPr>
              <w:t>auditor</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shd w:val="clear" w:color="auto" w:fill="EDEDED"/>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1740" w:type="dxa"/>
            <w:vAlign w:val="bottom"/>
            <w:shd w:val="clear" w:color="auto" w:fill="EDEDED"/>
          </w:tcPr>
          <w:p>
            <w:pPr>
              <w:spacing w:after="0"/>
              <w:rPr>
                <w:sz w:val="17"/>
                <w:szCs w:val="17"/>
                <w:color w:val="auto"/>
              </w:rPr>
            </w:pPr>
          </w:p>
        </w:tc>
        <w:tc>
          <w:tcPr>
            <w:tcW w:w="340" w:type="dxa"/>
            <w:vAlign w:val="bottom"/>
            <w:shd w:val="clear" w:color="auto" w:fill="EDEDED"/>
          </w:tcPr>
          <w:p>
            <w:pPr>
              <w:spacing w:after="0"/>
              <w:rPr>
                <w:sz w:val="17"/>
                <w:szCs w:val="17"/>
                <w:color w:val="auto"/>
              </w:rPr>
            </w:pPr>
          </w:p>
        </w:tc>
        <w:tc>
          <w:tcPr>
            <w:tcW w:w="20" w:type="dxa"/>
            <w:vAlign w:val="bottom"/>
            <w:shd w:val="clear" w:color="auto" w:fill="EDEDED"/>
          </w:tcPr>
          <w:p>
            <w:pPr>
              <w:spacing w:after="0"/>
              <w:rPr>
                <w:sz w:val="17"/>
                <w:szCs w:val="17"/>
                <w:color w:val="auto"/>
              </w:rPr>
            </w:pPr>
          </w:p>
        </w:tc>
        <w:tc>
          <w:tcPr>
            <w:tcW w:w="280" w:type="dxa"/>
            <w:vAlign w:val="bottom"/>
            <w:shd w:val="clear" w:color="auto" w:fill="EDEDED"/>
          </w:tcPr>
          <w:p>
            <w:pPr>
              <w:spacing w:after="0"/>
              <w:rPr>
                <w:sz w:val="17"/>
                <w:szCs w:val="17"/>
                <w:color w:val="auto"/>
              </w:rPr>
            </w:pPr>
          </w:p>
        </w:tc>
        <w:tc>
          <w:tcPr>
            <w:tcW w:w="38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7160" w:type="dxa"/>
            <w:vAlign w:val="bottom"/>
          </w:tcPr>
          <w:p>
            <w:pPr>
              <w:spacing w:after="0"/>
              <w:rPr>
                <w:sz w:val="20"/>
                <w:szCs w:val="20"/>
                <w:color w:val="auto"/>
              </w:rPr>
            </w:pPr>
            <w:r>
              <w:rPr>
                <w:rFonts w:ascii="Arial" w:cs="Arial" w:eastAsia="Arial" w:hAnsi="Arial"/>
                <w:sz w:val="16"/>
                <w:szCs w:val="16"/>
                <w:color w:val="auto"/>
              </w:rPr>
              <w:t>The Board unanimously determined that each member of the Audit Committee meets Nasdaq’s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74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38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160" w:type="dxa"/>
            <w:vAlign w:val="bottom"/>
          </w:tcPr>
          <w:p>
            <w:pPr>
              <w:spacing w:after="0"/>
              <w:rPr>
                <w:sz w:val="20"/>
                <w:szCs w:val="20"/>
                <w:color w:val="auto"/>
              </w:rPr>
            </w:pPr>
            <w:r>
              <w:rPr>
                <w:rFonts w:ascii="Arial" w:cs="Arial" w:eastAsia="Arial" w:hAnsi="Arial"/>
                <w:sz w:val="16"/>
                <w:szCs w:val="16"/>
                <w:color w:val="auto"/>
              </w:rPr>
              <w:t>“financial sophistication” requirements and that Mr. Cubbin and Ms. Murphy each has the financial</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shd w:val="clear" w:color="auto" w:fill="EDEDED"/>
          </w:tcPr>
          <w:p>
            <w:pPr>
              <w:spacing w:after="0"/>
              <w:rPr>
                <w:sz w:val="16"/>
                <w:szCs w:val="16"/>
                <w:color w:val="auto"/>
              </w:rPr>
            </w:pPr>
          </w:p>
        </w:tc>
        <w:tc>
          <w:tcPr>
            <w:tcW w:w="200" w:type="dxa"/>
            <w:vAlign w:val="bottom"/>
            <w:shd w:val="clear" w:color="auto" w:fill="EDEDED"/>
          </w:tcPr>
          <w:p>
            <w:pPr>
              <w:spacing w:after="0"/>
              <w:rPr>
                <w:sz w:val="16"/>
                <w:szCs w:val="16"/>
                <w:color w:val="auto"/>
              </w:rPr>
            </w:pPr>
          </w:p>
        </w:tc>
        <w:tc>
          <w:tcPr>
            <w:tcW w:w="1740" w:type="dxa"/>
            <w:vAlign w:val="bottom"/>
            <w:shd w:val="clear" w:color="auto" w:fill="EDEDED"/>
          </w:tcPr>
          <w:p>
            <w:pPr>
              <w:spacing w:after="0"/>
              <w:rPr>
                <w:sz w:val="16"/>
                <w:szCs w:val="16"/>
                <w:color w:val="auto"/>
              </w:rPr>
            </w:pPr>
          </w:p>
        </w:tc>
        <w:tc>
          <w:tcPr>
            <w:tcW w:w="340" w:type="dxa"/>
            <w:vAlign w:val="bottom"/>
            <w:shd w:val="clear" w:color="auto" w:fill="EDEDED"/>
          </w:tcPr>
          <w:p>
            <w:pPr>
              <w:spacing w:after="0"/>
              <w:rPr>
                <w:sz w:val="16"/>
                <w:szCs w:val="16"/>
                <w:color w:val="auto"/>
              </w:rPr>
            </w:pPr>
          </w:p>
        </w:tc>
        <w:tc>
          <w:tcPr>
            <w:tcW w:w="20" w:type="dxa"/>
            <w:vAlign w:val="bottom"/>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38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160" w:type="dxa"/>
            <w:vAlign w:val="bottom"/>
          </w:tcPr>
          <w:p>
            <w:pPr>
              <w:spacing w:after="0" w:line="170" w:lineRule="exact"/>
              <w:rPr>
                <w:sz w:val="20"/>
                <w:szCs w:val="20"/>
                <w:color w:val="auto"/>
              </w:rPr>
            </w:pPr>
            <w:r>
              <w:rPr>
                <w:rFonts w:ascii="Arial" w:cs="Arial" w:eastAsia="Arial" w:hAnsi="Arial"/>
                <w:sz w:val="16"/>
                <w:szCs w:val="16"/>
                <w:color w:val="auto"/>
              </w:rPr>
              <w:t>education and experience to qualify as an “Audit Committee financial expert” within the meaning of</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160" w:type="dxa"/>
            <w:vAlign w:val="bottom"/>
          </w:tcPr>
          <w:p>
            <w:pPr>
              <w:spacing w:after="0"/>
              <w:rPr>
                <w:sz w:val="20"/>
                <w:szCs w:val="20"/>
                <w:color w:val="auto"/>
              </w:rPr>
            </w:pPr>
            <w:r>
              <w:rPr>
                <w:rFonts w:ascii="Arial" w:cs="Arial" w:eastAsia="Arial" w:hAnsi="Arial"/>
                <w:sz w:val="16"/>
                <w:szCs w:val="16"/>
                <w:color w:val="auto"/>
              </w:rPr>
              <w:t>SEC regulations.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3"/>
        </w:trPr>
        <w:tc>
          <w:tcPr>
            <w:tcW w:w="7160" w:type="dxa"/>
            <w:vAlign w:val="bottom"/>
          </w:tcPr>
          <w:p>
            <w:pPr>
              <w:spacing w:after="0"/>
              <w:rPr>
                <w:sz w:val="20"/>
                <w:szCs w:val="20"/>
                <w:color w:val="auto"/>
              </w:rPr>
            </w:pPr>
            <w:r>
              <w:rPr>
                <w:rFonts w:ascii="Arial" w:cs="Arial" w:eastAsia="Arial" w:hAnsi="Arial"/>
                <w:sz w:val="21"/>
                <w:szCs w:val="21"/>
                <w:b w:val="1"/>
                <w:bCs w:val="1"/>
                <w:color w:val="0A9E50"/>
              </w:rPr>
              <w:t>Compensation and Talent Management Committee</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7160" w:type="dxa"/>
            <w:vAlign w:val="bottom"/>
            <w:tcBorders>
              <w:bottom w:val="single" w:sz="8" w:color="7F7F7F"/>
            </w:tcBorders>
          </w:tcPr>
          <w:p>
            <w:pPr>
              <w:spacing w:after="0"/>
              <w:rPr>
                <w:sz w:val="6"/>
                <w:szCs w:val="6"/>
                <w:color w:val="auto"/>
              </w:rPr>
            </w:pPr>
          </w:p>
        </w:tc>
        <w:tc>
          <w:tcPr>
            <w:tcW w:w="160" w:type="dxa"/>
            <w:vAlign w:val="bottom"/>
            <w:tcBorders>
              <w:bottom w:val="single" w:sz="8" w:color="7F7F7F"/>
            </w:tcBorders>
          </w:tcPr>
          <w:p>
            <w:pPr>
              <w:spacing w:after="0"/>
              <w:rPr>
                <w:sz w:val="6"/>
                <w:szCs w:val="6"/>
                <w:color w:val="auto"/>
              </w:rPr>
            </w:pPr>
          </w:p>
        </w:tc>
        <w:tc>
          <w:tcPr>
            <w:tcW w:w="24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200" w:type="dxa"/>
            <w:vAlign w:val="bottom"/>
            <w:tcBorders>
              <w:bottom w:val="single" w:sz="8" w:color="7F7F7F"/>
            </w:tcBorders>
          </w:tcPr>
          <w:p>
            <w:pPr>
              <w:spacing w:after="0"/>
              <w:rPr>
                <w:sz w:val="6"/>
                <w:szCs w:val="6"/>
                <w:color w:val="auto"/>
              </w:rPr>
            </w:pPr>
          </w:p>
        </w:tc>
        <w:tc>
          <w:tcPr>
            <w:tcW w:w="1740" w:type="dxa"/>
            <w:vAlign w:val="bottom"/>
            <w:tcBorders>
              <w:bottom w:val="single" w:sz="8" w:color="7F7F7F"/>
            </w:tcBorders>
          </w:tcPr>
          <w:p>
            <w:pPr>
              <w:spacing w:after="0"/>
              <w:rPr>
                <w:sz w:val="6"/>
                <w:szCs w:val="6"/>
                <w:color w:val="auto"/>
              </w:rPr>
            </w:pPr>
          </w:p>
        </w:tc>
        <w:tc>
          <w:tcPr>
            <w:tcW w:w="340" w:type="dxa"/>
            <w:vAlign w:val="bottom"/>
            <w:tcBorders>
              <w:bottom w:val="single" w:sz="8" w:color="7F7F7F"/>
            </w:tcBorders>
          </w:tcPr>
          <w:p>
            <w:pPr>
              <w:spacing w:after="0"/>
              <w:rPr>
                <w:sz w:val="6"/>
                <w:szCs w:val="6"/>
                <w:color w:val="auto"/>
              </w:rPr>
            </w:pPr>
          </w:p>
        </w:tc>
        <w:tc>
          <w:tcPr>
            <w:tcW w:w="20" w:type="dxa"/>
            <w:vAlign w:val="bottom"/>
            <w:tcBorders>
              <w:bottom w:val="single" w:sz="8" w:color="7F7F7F"/>
            </w:tcBorders>
          </w:tcPr>
          <w:p>
            <w:pPr>
              <w:spacing w:after="0"/>
              <w:rPr>
                <w:sz w:val="6"/>
                <w:szCs w:val="6"/>
                <w:color w:val="auto"/>
              </w:rPr>
            </w:pPr>
          </w:p>
        </w:tc>
        <w:tc>
          <w:tcPr>
            <w:tcW w:w="280" w:type="dxa"/>
            <w:vAlign w:val="bottom"/>
            <w:tcBorders>
              <w:bottom w:val="single" w:sz="8" w:color="7F7F7F"/>
            </w:tcBorders>
          </w:tcPr>
          <w:p>
            <w:pPr>
              <w:spacing w:after="0"/>
              <w:rPr>
                <w:sz w:val="6"/>
                <w:szCs w:val="6"/>
                <w:color w:val="auto"/>
              </w:rPr>
            </w:pPr>
          </w:p>
        </w:tc>
        <w:tc>
          <w:tcPr>
            <w:tcW w:w="38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7160" w:type="dxa"/>
            <w:vAlign w:val="bottom"/>
            <w:vMerge w:val="restart"/>
          </w:tcPr>
          <w:p>
            <w:pPr>
              <w:spacing w:after="0"/>
              <w:rPr>
                <w:sz w:val="20"/>
                <w:szCs w:val="20"/>
                <w:color w:val="auto"/>
              </w:rPr>
            </w:pPr>
            <w:r>
              <w:rPr>
                <w:rFonts w:ascii="Arial" w:cs="Arial" w:eastAsia="Arial" w:hAnsi="Arial"/>
                <w:sz w:val="16"/>
                <w:szCs w:val="16"/>
                <w:b w:val="1"/>
                <w:bCs w:val="1"/>
                <w:color w:val="auto"/>
              </w:rPr>
              <w:t>Key Responsibilities: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160" w:type="dxa"/>
            <w:vAlign w:val="bottom"/>
            <w:vMerge w:val="continue"/>
          </w:tcPr>
          <w:p>
            <w:pPr>
              <w:spacing w:after="0"/>
              <w:rPr>
                <w:sz w:val="15"/>
                <w:szCs w:val="15"/>
                <w:color w:val="auto"/>
              </w:rPr>
            </w:pPr>
          </w:p>
        </w:tc>
        <w:tc>
          <w:tcPr>
            <w:tcW w:w="160" w:type="dxa"/>
            <w:vAlign w:val="bottom"/>
            <w:vMerge w:val="restart"/>
          </w:tcPr>
          <w:p>
            <w:pPr>
              <w:ind w:left="60"/>
              <w:spacing w:after="0"/>
              <w:rPr>
                <w:sz w:val="20"/>
                <w:szCs w:val="20"/>
                <w:color w:val="auto"/>
              </w:rPr>
            </w:pPr>
            <w:r>
              <w:rPr>
                <w:rFonts w:ascii="Arial" w:cs="Arial" w:eastAsia="Arial" w:hAnsi="Arial"/>
                <w:sz w:val="11"/>
                <w:szCs w:val="11"/>
                <w:color w:val="auto"/>
                <w:w w:val="72"/>
              </w:rPr>
              <w:t> </w:t>
            </w:r>
          </w:p>
        </w:tc>
        <w:tc>
          <w:tcPr>
            <w:tcW w:w="240" w:type="dxa"/>
            <w:vAlign w:val="bottom"/>
            <w:vMerge w:val="restart"/>
          </w:tcPr>
          <w:p>
            <w:pPr>
              <w:ind w:left="60"/>
              <w:spacing w:after="0"/>
              <w:rPr>
                <w:sz w:val="20"/>
                <w:szCs w:val="20"/>
                <w:color w:val="auto"/>
              </w:rPr>
            </w:pPr>
            <w:r>
              <w:rPr>
                <w:rFonts w:ascii="Arial" w:cs="Arial" w:eastAsia="Arial" w:hAnsi="Arial"/>
                <w:sz w:val="16"/>
                <w:szCs w:val="16"/>
                <w:color w:val="auto"/>
                <w:w w:val="99"/>
              </w:rPr>
              <w:t> </w:t>
            </w:r>
          </w:p>
        </w:tc>
        <w:tc>
          <w:tcPr>
            <w:tcW w:w="100" w:type="dxa"/>
            <w:vAlign w:val="bottom"/>
            <w:shd w:val="clear" w:color="auto" w:fill="EDEDED"/>
          </w:tcPr>
          <w:p>
            <w:pPr>
              <w:spacing w:after="0"/>
              <w:rPr>
                <w:sz w:val="15"/>
                <w:szCs w:val="15"/>
                <w:color w:val="auto"/>
              </w:rPr>
            </w:pPr>
          </w:p>
        </w:tc>
        <w:tc>
          <w:tcPr>
            <w:tcW w:w="200" w:type="dxa"/>
            <w:vAlign w:val="bottom"/>
            <w:vMerge w:val="restart"/>
            <w:shd w:val="clear" w:color="auto" w:fill="EDEDED"/>
          </w:tcPr>
          <w:p>
            <w:pPr>
              <w:spacing w:after="0"/>
              <w:rPr>
                <w:sz w:val="20"/>
                <w:szCs w:val="20"/>
                <w:color w:val="auto"/>
              </w:rPr>
            </w:pPr>
            <w:r>
              <w:rPr>
                <w:rFonts w:ascii="Arial" w:cs="Arial" w:eastAsia="Arial" w:hAnsi="Arial"/>
                <w:sz w:val="16"/>
                <w:szCs w:val="16"/>
                <w:color w:val="auto"/>
              </w:rPr>
              <w:t> </w:t>
            </w:r>
          </w:p>
        </w:tc>
        <w:tc>
          <w:tcPr>
            <w:tcW w:w="2080" w:type="dxa"/>
            <w:vAlign w:val="bottom"/>
            <w:gridSpan w:val="2"/>
            <w:vMerge w:val="restart"/>
            <w:shd w:val="clear" w:color="auto" w:fill="EDEDED"/>
          </w:tcPr>
          <w:p>
            <w:pPr>
              <w:ind w:left="120"/>
              <w:spacing w:after="0"/>
              <w:rPr>
                <w:sz w:val="20"/>
                <w:szCs w:val="20"/>
                <w:color w:val="auto"/>
              </w:rPr>
            </w:pPr>
            <w:r>
              <w:rPr>
                <w:rFonts w:ascii="Arial" w:cs="Arial" w:eastAsia="Arial" w:hAnsi="Arial"/>
                <w:sz w:val="16"/>
                <w:szCs w:val="16"/>
                <w:b w:val="1"/>
                <w:bCs w:val="1"/>
                <w:color w:val="auto"/>
                <w:w w:val="96"/>
              </w:rPr>
              <w:t xml:space="preserve">Members: </w:t>
            </w:r>
            <w:r>
              <w:rPr>
                <w:rFonts w:ascii="Arial" w:cs="Arial" w:eastAsia="Arial" w:hAnsi="Arial"/>
                <w:sz w:val="16"/>
                <w:szCs w:val="16"/>
                <w:b w:val="1"/>
                <w:bCs w:val="1"/>
                <w:color w:val="0A9E50"/>
                <w:w w:val="96"/>
              </w:rPr>
              <w:t>All Independent</w:t>
            </w:r>
          </w:p>
        </w:tc>
        <w:tc>
          <w:tcPr>
            <w:tcW w:w="2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380" w:type="dxa"/>
            <w:vAlign w:val="bottom"/>
            <w:vMerge w:val="restart"/>
            <w:shd w:val="clear" w:color="auto" w:fill="EDEDED"/>
          </w:tcPr>
          <w:p>
            <w:pPr>
              <w:jc w:val="center"/>
              <w:spacing w:after="0"/>
              <w:rPr>
                <w:sz w:val="20"/>
                <w:szCs w:val="20"/>
                <w:color w:val="auto"/>
              </w:rPr>
            </w:pPr>
            <w:r>
              <w:rPr>
                <w:rFonts w:ascii="Arial" w:cs="Arial" w:eastAsia="Arial" w:hAnsi="Arial"/>
                <w:sz w:val="4"/>
                <w:szCs w:val="4"/>
                <w:color w:val="auto"/>
                <w:w w:val="98"/>
              </w:rPr>
              <w:t> </w:t>
            </w:r>
          </w:p>
        </w:tc>
        <w:tc>
          <w:tcPr>
            <w:tcW w:w="0" w:type="dxa"/>
            <w:vAlign w:val="bottom"/>
          </w:tcPr>
          <w:p>
            <w:pPr>
              <w:spacing w:after="0"/>
              <w:rPr>
                <w:sz w:val="1"/>
                <w:szCs w:val="1"/>
                <w:color w:val="auto"/>
              </w:rPr>
            </w:pPr>
          </w:p>
        </w:tc>
      </w:tr>
      <w:tr>
        <w:trPr>
          <w:trHeight w:val="201"/>
        </w:trPr>
        <w:tc>
          <w:tcPr>
            <w:tcW w:w="7160" w:type="dxa"/>
            <w:vAlign w:val="bottom"/>
            <w:vMerge w:val="restart"/>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Develops the Company’s compensation philosophy</w:t>
            </w:r>
          </w:p>
        </w:tc>
        <w:tc>
          <w:tcPr>
            <w:tcW w:w="1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0" w:type="dxa"/>
            <w:vAlign w:val="bottom"/>
            <w:shd w:val="clear" w:color="auto" w:fill="EDEDED"/>
          </w:tcPr>
          <w:p>
            <w:pPr>
              <w:spacing w:after="0"/>
              <w:rPr>
                <w:sz w:val="17"/>
                <w:szCs w:val="17"/>
                <w:color w:val="auto"/>
              </w:rPr>
            </w:pPr>
          </w:p>
        </w:tc>
        <w:tc>
          <w:tcPr>
            <w:tcW w:w="200" w:type="dxa"/>
            <w:vAlign w:val="bottom"/>
            <w:vMerge w:val="continue"/>
            <w:shd w:val="clear" w:color="auto" w:fill="EDEDED"/>
          </w:tcPr>
          <w:p>
            <w:pPr>
              <w:spacing w:after="0"/>
              <w:rPr>
                <w:sz w:val="17"/>
                <w:szCs w:val="17"/>
                <w:color w:val="auto"/>
              </w:rPr>
            </w:pPr>
          </w:p>
        </w:tc>
        <w:tc>
          <w:tcPr>
            <w:tcW w:w="2080" w:type="dxa"/>
            <w:vAlign w:val="bottom"/>
            <w:gridSpan w:val="2"/>
            <w:vMerge w:val="continue"/>
            <w:shd w:val="clear" w:color="auto" w:fill="EDEDED"/>
          </w:tcPr>
          <w:p>
            <w:pPr>
              <w:spacing w:after="0"/>
              <w:rPr>
                <w:sz w:val="17"/>
                <w:szCs w:val="17"/>
                <w:color w:val="auto"/>
              </w:rPr>
            </w:pPr>
          </w:p>
        </w:tc>
        <w:tc>
          <w:tcPr>
            <w:tcW w:w="20" w:type="dxa"/>
            <w:vAlign w:val="bottom"/>
            <w:shd w:val="clear" w:color="auto" w:fill="EDEDED"/>
          </w:tcPr>
          <w:p>
            <w:pPr>
              <w:spacing w:after="0"/>
              <w:rPr>
                <w:sz w:val="17"/>
                <w:szCs w:val="17"/>
                <w:color w:val="auto"/>
              </w:rPr>
            </w:pPr>
          </w:p>
        </w:tc>
        <w:tc>
          <w:tcPr>
            <w:tcW w:w="280" w:type="dxa"/>
            <w:vAlign w:val="bottom"/>
            <w:shd w:val="clear" w:color="auto" w:fill="EDEDED"/>
          </w:tcPr>
          <w:p>
            <w:pPr>
              <w:spacing w:after="0"/>
              <w:rPr>
                <w:sz w:val="17"/>
                <w:szCs w:val="17"/>
                <w:color w:val="auto"/>
              </w:rPr>
            </w:pPr>
          </w:p>
        </w:tc>
        <w:tc>
          <w:tcPr>
            <w:tcW w:w="380" w:type="dxa"/>
            <w:vAlign w:val="bottom"/>
            <w:vMerge w:val="continue"/>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71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1740" w:type="dxa"/>
            <w:vAlign w:val="bottom"/>
            <w:vMerge w:val="restart"/>
            <w:shd w:val="clear" w:color="auto" w:fill="EDEDED"/>
          </w:tcPr>
          <w:p>
            <w:pPr>
              <w:ind w:left="1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Robert S. Cubbin</w:t>
            </w:r>
          </w:p>
        </w:tc>
        <w:tc>
          <w:tcPr>
            <w:tcW w:w="340" w:type="dxa"/>
            <w:vAlign w:val="bottom"/>
            <w:shd w:val="clear" w:color="auto" w:fill="EDEDED"/>
          </w:tcPr>
          <w:p>
            <w:pPr>
              <w:spacing w:after="0"/>
              <w:rPr>
                <w:sz w:val="6"/>
                <w:szCs w:val="6"/>
                <w:color w:val="auto"/>
              </w:rPr>
            </w:pPr>
          </w:p>
        </w:tc>
        <w:tc>
          <w:tcPr>
            <w:tcW w:w="20" w:type="dxa"/>
            <w:vAlign w:val="bottom"/>
            <w:shd w:val="clear" w:color="auto" w:fill="EDEDED"/>
          </w:tcPr>
          <w:p>
            <w:pPr>
              <w:spacing w:after="0"/>
              <w:rPr>
                <w:sz w:val="6"/>
                <w:szCs w:val="6"/>
                <w:color w:val="auto"/>
              </w:rPr>
            </w:pPr>
          </w:p>
        </w:tc>
        <w:tc>
          <w:tcPr>
            <w:tcW w:w="280" w:type="dxa"/>
            <w:vAlign w:val="bottom"/>
            <w:shd w:val="clear" w:color="auto" w:fill="EDEDED"/>
          </w:tcPr>
          <w:p>
            <w:pPr>
              <w:spacing w:after="0"/>
              <w:rPr>
                <w:sz w:val="6"/>
                <w:szCs w:val="6"/>
                <w:color w:val="auto"/>
              </w:rPr>
            </w:pPr>
          </w:p>
        </w:tc>
        <w:tc>
          <w:tcPr>
            <w:tcW w:w="38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7160" w:type="dxa"/>
            <w:vAlign w:val="bottom"/>
            <w:vMerge w:val="restart"/>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Designs and administers the Company’s executive compensation programs and policies aligned with</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shd w:val="clear" w:color="auto" w:fill="EDEDED"/>
          </w:tcPr>
          <w:p>
            <w:pPr>
              <w:spacing w:after="0"/>
              <w:rPr>
                <w:sz w:val="13"/>
                <w:szCs w:val="13"/>
                <w:color w:val="auto"/>
              </w:rPr>
            </w:pPr>
          </w:p>
        </w:tc>
        <w:tc>
          <w:tcPr>
            <w:tcW w:w="200" w:type="dxa"/>
            <w:vAlign w:val="bottom"/>
            <w:shd w:val="clear" w:color="auto" w:fill="EDEDED"/>
          </w:tcPr>
          <w:p>
            <w:pPr>
              <w:spacing w:after="0"/>
              <w:rPr>
                <w:sz w:val="13"/>
                <w:szCs w:val="13"/>
                <w:color w:val="auto"/>
              </w:rPr>
            </w:pPr>
          </w:p>
        </w:tc>
        <w:tc>
          <w:tcPr>
            <w:tcW w:w="1740" w:type="dxa"/>
            <w:vAlign w:val="bottom"/>
            <w:vMerge w:val="continue"/>
            <w:shd w:val="clear" w:color="auto" w:fill="EDEDED"/>
          </w:tcPr>
          <w:p>
            <w:pPr>
              <w:spacing w:after="0"/>
              <w:rPr>
                <w:sz w:val="13"/>
                <w:szCs w:val="13"/>
                <w:color w:val="auto"/>
              </w:rPr>
            </w:pPr>
          </w:p>
        </w:tc>
        <w:tc>
          <w:tcPr>
            <w:tcW w:w="340" w:type="dxa"/>
            <w:vAlign w:val="bottom"/>
            <w:shd w:val="clear" w:color="auto" w:fill="EDEDED"/>
          </w:tcPr>
          <w:p>
            <w:pPr>
              <w:spacing w:after="0"/>
              <w:rPr>
                <w:sz w:val="13"/>
                <w:szCs w:val="13"/>
                <w:color w:val="auto"/>
              </w:rPr>
            </w:pPr>
          </w:p>
        </w:tc>
        <w:tc>
          <w:tcPr>
            <w:tcW w:w="20" w:type="dxa"/>
            <w:vAlign w:val="bottom"/>
            <w:shd w:val="clear" w:color="auto" w:fill="EDEDED"/>
          </w:tcPr>
          <w:p>
            <w:pPr>
              <w:spacing w:after="0"/>
              <w:rPr>
                <w:sz w:val="13"/>
                <w:szCs w:val="13"/>
                <w:color w:val="auto"/>
              </w:rPr>
            </w:pPr>
          </w:p>
        </w:tc>
        <w:tc>
          <w:tcPr>
            <w:tcW w:w="280" w:type="dxa"/>
            <w:vAlign w:val="bottom"/>
            <w:shd w:val="clear" w:color="auto" w:fill="EDEDED"/>
          </w:tcPr>
          <w:p>
            <w:pPr>
              <w:spacing w:after="0"/>
              <w:rPr>
                <w:sz w:val="13"/>
                <w:szCs w:val="13"/>
                <w:color w:val="auto"/>
              </w:rPr>
            </w:pPr>
          </w:p>
        </w:tc>
        <w:tc>
          <w:tcPr>
            <w:tcW w:w="38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71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1740" w:type="dxa"/>
            <w:vAlign w:val="bottom"/>
            <w:vMerge w:val="restart"/>
            <w:shd w:val="clear" w:color="auto" w:fill="EDEDED"/>
          </w:tcPr>
          <w:p>
            <w:pPr>
              <w:ind w:left="260"/>
              <w:spacing w:after="0"/>
              <w:rPr>
                <w:sz w:val="20"/>
                <w:szCs w:val="20"/>
                <w:color w:val="auto"/>
              </w:rPr>
            </w:pPr>
            <w:r>
              <w:rPr>
                <w:rFonts w:ascii="Arial" w:cs="Arial" w:eastAsia="Arial" w:hAnsi="Arial"/>
                <w:sz w:val="16"/>
                <w:szCs w:val="16"/>
                <w:color w:val="auto"/>
              </w:rPr>
              <w:t>(Chair)</w:t>
            </w:r>
          </w:p>
        </w:tc>
        <w:tc>
          <w:tcPr>
            <w:tcW w:w="340" w:type="dxa"/>
            <w:vAlign w:val="bottom"/>
            <w:shd w:val="clear" w:color="auto" w:fill="EDEDED"/>
          </w:tcPr>
          <w:p>
            <w:pPr>
              <w:spacing w:after="0"/>
              <w:rPr>
                <w:sz w:val="6"/>
                <w:szCs w:val="6"/>
                <w:color w:val="auto"/>
              </w:rPr>
            </w:pPr>
          </w:p>
        </w:tc>
        <w:tc>
          <w:tcPr>
            <w:tcW w:w="20" w:type="dxa"/>
            <w:vAlign w:val="bottom"/>
            <w:shd w:val="clear" w:color="auto" w:fill="EDEDED"/>
          </w:tcPr>
          <w:p>
            <w:pPr>
              <w:spacing w:after="0"/>
              <w:rPr>
                <w:sz w:val="6"/>
                <w:szCs w:val="6"/>
                <w:color w:val="auto"/>
              </w:rPr>
            </w:pPr>
          </w:p>
        </w:tc>
        <w:tc>
          <w:tcPr>
            <w:tcW w:w="280" w:type="dxa"/>
            <w:vAlign w:val="bottom"/>
            <w:shd w:val="clear" w:color="auto" w:fill="EDEDED"/>
          </w:tcPr>
          <w:p>
            <w:pPr>
              <w:spacing w:after="0"/>
              <w:rPr>
                <w:sz w:val="6"/>
                <w:szCs w:val="6"/>
                <w:color w:val="auto"/>
              </w:rPr>
            </w:pPr>
          </w:p>
        </w:tc>
        <w:tc>
          <w:tcPr>
            <w:tcW w:w="38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7160" w:type="dxa"/>
            <w:vAlign w:val="bottom"/>
            <w:vMerge w:val="restart"/>
          </w:tcPr>
          <w:p>
            <w:pPr>
              <w:ind w:left="160"/>
              <w:spacing w:after="0"/>
              <w:rPr>
                <w:sz w:val="20"/>
                <w:szCs w:val="20"/>
                <w:color w:val="auto"/>
              </w:rPr>
            </w:pPr>
            <w:r>
              <w:rPr>
                <w:rFonts w:ascii="Arial" w:cs="Arial" w:eastAsia="Arial" w:hAnsi="Arial"/>
                <w:sz w:val="16"/>
                <w:szCs w:val="16"/>
                <w:color w:val="auto"/>
              </w:rPr>
              <w:t>business and compensation objectives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shd w:val="clear" w:color="auto" w:fill="EDEDED"/>
          </w:tcPr>
          <w:p>
            <w:pPr>
              <w:spacing w:after="0"/>
              <w:rPr>
                <w:sz w:val="11"/>
                <w:szCs w:val="11"/>
                <w:color w:val="auto"/>
              </w:rPr>
            </w:pPr>
          </w:p>
        </w:tc>
        <w:tc>
          <w:tcPr>
            <w:tcW w:w="200" w:type="dxa"/>
            <w:vAlign w:val="bottom"/>
            <w:shd w:val="clear" w:color="auto" w:fill="EDEDED"/>
          </w:tcPr>
          <w:p>
            <w:pPr>
              <w:spacing w:after="0"/>
              <w:rPr>
                <w:sz w:val="11"/>
                <w:szCs w:val="11"/>
                <w:color w:val="auto"/>
              </w:rPr>
            </w:pPr>
          </w:p>
        </w:tc>
        <w:tc>
          <w:tcPr>
            <w:tcW w:w="1740" w:type="dxa"/>
            <w:vAlign w:val="bottom"/>
            <w:vMerge w:val="continue"/>
            <w:shd w:val="clear" w:color="auto" w:fill="EDEDED"/>
          </w:tcPr>
          <w:p>
            <w:pPr>
              <w:spacing w:after="0"/>
              <w:rPr>
                <w:sz w:val="11"/>
                <w:szCs w:val="11"/>
                <w:color w:val="auto"/>
              </w:rPr>
            </w:pPr>
          </w:p>
        </w:tc>
        <w:tc>
          <w:tcPr>
            <w:tcW w:w="340" w:type="dxa"/>
            <w:vAlign w:val="bottom"/>
            <w:shd w:val="clear" w:color="auto" w:fill="EDEDED"/>
          </w:tcPr>
          <w:p>
            <w:pPr>
              <w:spacing w:after="0"/>
              <w:rPr>
                <w:sz w:val="11"/>
                <w:szCs w:val="11"/>
                <w:color w:val="auto"/>
              </w:rPr>
            </w:pPr>
          </w:p>
        </w:tc>
        <w:tc>
          <w:tcPr>
            <w:tcW w:w="20" w:type="dxa"/>
            <w:vAlign w:val="bottom"/>
            <w:shd w:val="clear" w:color="auto" w:fill="EDEDED"/>
          </w:tcPr>
          <w:p>
            <w:pPr>
              <w:spacing w:after="0"/>
              <w:rPr>
                <w:sz w:val="11"/>
                <w:szCs w:val="11"/>
                <w:color w:val="auto"/>
              </w:rPr>
            </w:pPr>
          </w:p>
        </w:tc>
        <w:tc>
          <w:tcPr>
            <w:tcW w:w="280" w:type="dxa"/>
            <w:vAlign w:val="bottom"/>
            <w:shd w:val="clear" w:color="auto" w:fill="EDEDED"/>
          </w:tcPr>
          <w:p>
            <w:pPr>
              <w:spacing w:after="0"/>
              <w:rPr>
                <w:sz w:val="11"/>
                <w:szCs w:val="11"/>
                <w:color w:val="auto"/>
              </w:rPr>
            </w:pPr>
          </w:p>
        </w:tc>
        <w:tc>
          <w:tcPr>
            <w:tcW w:w="380" w:type="dxa"/>
            <w:vAlign w:val="bottom"/>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71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1740" w:type="dxa"/>
            <w:vAlign w:val="bottom"/>
            <w:vMerge w:val="restart"/>
            <w:shd w:val="clear" w:color="auto" w:fill="EDEDED"/>
          </w:tcPr>
          <w:p>
            <w:pPr>
              <w:ind w:left="1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Gerald S. Adolph</w:t>
            </w:r>
          </w:p>
        </w:tc>
        <w:tc>
          <w:tcPr>
            <w:tcW w:w="340" w:type="dxa"/>
            <w:vAlign w:val="bottom"/>
            <w:shd w:val="clear" w:color="auto" w:fill="EDEDED"/>
          </w:tcPr>
          <w:p>
            <w:pPr>
              <w:spacing w:after="0"/>
              <w:rPr>
                <w:sz w:val="6"/>
                <w:szCs w:val="6"/>
                <w:color w:val="auto"/>
              </w:rPr>
            </w:pPr>
          </w:p>
        </w:tc>
        <w:tc>
          <w:tcPr>
            <w:tcW w:w="20" w:type="dxa"/>
            <w:vAlign w:val="bottom"/>
            <w:shd w:val="clear" w:color="auto" w:fill="EDEDED"/>
          </w:tcPr>
          <w:p>
            <w:pPr>
              <w:spacing w:after="0"/>
              <w:rPr>
                <w:sz w:val="6"/>
                <w:szCs w:val="6"/>
                <w:color w:val="auto"/>
              </w:rPr>
            </w:pPr>
          </w:p>
        </w:tc>
        <w:tc>
          <w:tcPr>
            <w:tcW w:w="280" w:type="dxa"/>
            <w:vAlign w:val="bottom"/>
            <w:shd w:val="clear" w:color="auto" w:fill="EDEDED"/>
          </w:tcPr>
          <w:p>
            <w:pPr>
              <w:spacing w:after="0"/>
              <w:rPr>
                <w:sz w:val="6"/>
                <w:szCs w:val="6"/>
                <w:color w:val="auto"/>
              </w:rPr>
            </w:pPr>
          </w:p>
        </w:tc>
        <w:tc>
          <w:tcPr>
            <w:tcW w:w="38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7160" w:type="dxa"/>
            <w:vAlign w:val="bottom"/>
            <w:vMerge w:val="restart"/>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Determines annually, for senior officers (including the CEO), corporate and business unit goals and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1740" w:type="dxa"/>
            <w:vAlign w:val="bottom"/>
            <w:vMerge w:val="continue"/>
            <w:shd w:val="clear" w:color="auto" w:fill="EDEDED"/>
          </w:tcPr>
          <w:p>
            <w:pPr>
              <w:spacing w:after="0"/>
              <w:rPr>
                <w:sz w:val="15"/>
                <w:szCs w:val="15"/>
                <w:color w:val="auto"/>
              </w:rPr>
            </w:pPr>
          </w:p>
        </w:tc>
        <w:tc>
          <w:tcPr>
            <w:tcW w:w="340" w:type="dxa"/>
            <w:vAlign w:val="bottom"/>
            <w:shd w:val="clear" w:color="auto" w:fill="EDEDED"/>
          </w:tcPr>
          <w:p>
            <w:pPr>
              <w:spacing w:after="0"/>
              <w:rPr>
                <w:sz w:val="15"/>
                <w:szCs w:val="15"/>
                <w:color w:val="auto"/>
              </w:rPr>
            </w:pPr>
          </w:p>
        </w:tc>
        <w:tc>
          <w:tcPr>
            <w:tcW w:w="2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38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71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shd w:val="clear" w:color="auto" w:fill="EDEDED"/>
          </w:tcPr>
          <w:p>
            <w:pPr>
              <w:spacing w:after="0"/>
              <w:rPr>
                <w:sz w:val="4"/>
                <w:szCs w:val="4"/>
                <w:color w:val="auto"/>
              </w:rPr>
            </w:pPr>
          </w:p>
        </w:tc>
        <w:tc>
          <w:tcPr>
            <w:tcW w:w="200" w:type="dxa"/>
            <w:vAlign w:val="bottom"/>
            <w:shd w:val="clear" w:color="auto" w:fill="EDEDED"/>
          </w:tcPr>
          <w:p>
            <w:pPr>
              <w:spacing w:after="0"/>
              <w:rPr>
                <w:sz w:val="4"/>
                <w:szCs w:val="4"/>
                <w:color w:val="auto"/>
              </w:rPr>
            </w:pPr>
          </w:p>
        </w:tc>
        <w:tc>
          <w:tcPr>
            <w:tcW w:w="1740" w:type="dxa"/>
            <w:vAlign w:val="bottom"/>
            <w:shd w:val="clear" w:color="auto" w:fill="EDEDED"/>
          </w:tcPr>
          <w:p>
            <w:pPr>
              <w:spacing w:after="0"/>
              <w:rPr>
                <w:sz w:val="4"/>
                <w:szCs w:val="4"/>
                <w:color w:val="auto"/>
              </w:rPr>
            </w:pPr>
          </w:p>
        </w:tc>
        <w:tc>
          <w:tcPr>
            <w:tcW w:w="340" w:type="dxa"/>
            <w:vAlign w:val="bottom"/>
            <w:shd w:val="clear" w:color="auto" w:fill="EDEDED"/>
          </w:tcPr>
          <w:p>
            <w:pPr>
              <w:spacing w:after="0"/>
              <w:rPr>
                <w:sz w:val="4"/>
                <w:szCs w:val="4"/>
                <w:color w:val="auto"/>
              </w:rPr>
            </w:pPr>
          </w:p>
        </w:tc>
        <w:tc>
          <w:tcPr>
            <w:tcW w:w="20" w:type="dxa"/>
            <w:vAlign w:val="bottom"/>
            <w:shd w:val="clear" w:color="auto" w:fill="EDEDED"/>
          </w:tcPr>
          <w:p>
            <w:pPr>
              <w:spacing w:after="0"/>
              <w:rPr>
                <w:sz w:val="4"/>
                <w:szCs w:val="4"/>
                <w:color w:val="auto"/>
              </w:rPr>
            </w:pPr>
          </w:p>
        </w:tc>
        <w:tc>
          <w:tcPr>
            <w:tcW w:w="280" w:type="dxa"/>
            <w:vAlign w:val="bottom"/>
            <w:shd w:val="clear" w:color="auto" w:fill="EDEDED"/>
          </w:tcPr>
          <w:p>
            <w:pPr>
              <w:spacing w:after="0"/>
              <w:rPr>
                <w:sz w:val="4"/>
                <w:szCs w:val="4"/>
                <w:color w:val="auto"/>
              </w:rPr>
            </w:pPr>
          </w:p>
        </w:tc>
        <w:tc>
          <w:tcPr>
            <w:tcW w:w="380" w:type="dxa"/>
            <w:vAlign w:val="bottom"/>
            <w:shd w:val="clear" w:color="auto" w:fill="EDEDED"/>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7160" w:type="dxa"/>
            <w:vAlign w:val="bottom"/>
          </w:tcPr>
          <w:p>
            <w:pPr>
              <w:ind w:left="160"/>
              <w:spacing w:after="0"/>
              <w:rPr>
                <w:sz w:val="20"/>
                <w:szCs w:val="20"/>
                <w:color w:val="auto"/>
              </w:rPr>
            </w:pPr>
            <w:r>
              <w:rPr>
                <w:rFonts w:ascii="Arial" w:cs="Arial" w:eastAsia="Arial" w:hAnsi="Arial"/>
                <w:sz w:val="16"/>
                <w:szCs w:val="16"/>
                <w:color w:val="auto"/>
              </w:rPr>
              <w:t>establishes the level of performance that must be achieved for each</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shd w:val="clear" w:color="auto" w:fill="EDEDED"/>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174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InaMarie F. Johnson</w:t>
            </w:r>
          </w:p>
        </w:tc>
        <w:tc>
          <w:tcPr>
            <w:tcW w:w="340" w:type="dxa"/>
            <w:vAlign w:val="bottom"/>
            <w:shd w:val="clear" w:color="auto" w:fill="EDEDED"/>
          </w:tcPr>
          <w:p>
            <w:pPr>
              <w:spacing w:after="0"/>
              <w:rPr>
                <w:sz w:val="17"/>
                <w:szCs w:val="17"/>
                <w:color w:val="auto"/>
              </w:rPr>
            </w:pPr>
          </w:p>
        </w:tc>
        <w:tc>
          <w:tcPr>
            <w:tcW w:w="20" w:type="dxa"/>
            <w:vAlign w:val="bottom"/>
            <w:shd w:val="clear" w:color="auto" w:fill="EDEDED"/>
          </w:tcPr>
          <w:p>
            <w:pPr>
              <w:spacing w:after="0"/>
              <w:rPr>
                <w:sz w:val="17"/>
                <w:szCs w:val="17"/>
                <w:color w:val="auto"/>
              </w:rPr>
            </w:pPr>
          </w:p>
        </w:tc>
        <w:tc>
          <w:tcPr>
            <w:tcW w:w="280" w:type="dxa"/>
            <w:vAlign w:val="bottom"/>
            <w:shd w:val="clear" w:color="auto" w:fill="EDEDED"/>
          </w:tcPr>
          <w:p>
            <w:pPr>
              <w:spacing w:after="0"/>
              <w:rPr>
                <w:sz w:val="17"/>
                <w:szCs w:val="17"/>
                <w:color w:val="auto"/>
              </w:rPr>
            </w:pPr>
          </w:p>
        </w:tc>
        <w:tc>
          <w:tcPr>
            <w:tcW w:w="38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Evaluates and determines the compensation of the CEO, senior officers, and Section 16 officers</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74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Leslie A. Murphy</w:t>
            </w:r>
          </w:p>
        </w:tc>
        <w:tc>
          <w:tcPr>
            <w:tcW w:w="340" w:type="dxa"/>
            <w:vAlign w:val="bottom"/>
            <w:shd w:val="clear" w:color="auto" w:fill="EDEDED"/>
          </w:tcPr>
          <w:p>
            <w:pPr>
              <w:spacing w:after="0"/>
              <w:rPr>
                <w:sz w:val="22"/>
                <w:szCs w:val="22"/>
                <w:color w:val="auto"/>
              </w:rPr>
            </w:pPr>
          </w:p>
        </w:tc>
        <w:tc>
          <w:tcPr>
            <w:tcW w:w="20" w:type="dxa"/>
            <w:vAlign w:val="bottom"/>
            <w:shd w:val="clear" w:color="auto" w:fill="EDEDED"/>
          </w:tcPr>
          <w:p>
            <w:pPr>
              <w:spacing w:after="0"/>
              <w:rPr>
                <w:sz w:val="22"/>
                <w:szCs w:val="22"/>
                <w:color w:val="auto"/>
              </w:rPr>
            </w:pPr>
          </w:p>
        </w:tc>
        <w:tc>
          <w:tcPr>
            <w:tcW w:w="280" w:type="dxa"/>
            <w:vAlign w:val="bottom"/>
            <w:shd w:val="clear" w:color="auto" w:fill="EDEDED"/>
          </w:tcPr>
          <w:p>
            <w:pPr>
              <w:spacing w:after="0"/>
              <w:rPr>
                <w:sz w:val="22"/>
                <w:szCs w:val="22"/>
                <w:color w:val="auto"/>
              </w:rPr>
            </w:pPr>
          </w:p>
        </w:tc>
        <w:tc>
          <w:tcPr>
            <w:tcW w:w="380" w:type="dxa"/>
            <w:vAlign w:val="bottom"/>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Reviews stock ownership requirements for senior officers and Board members and compliance with</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200" w:type="dxa"/>
            <w:vAlign w:val="bottom"/>
            <w:shd w:val="clear" w:color="auto" w:fill="EDEDED"/>
          </w:tcPr>
          <w:p>
            <w:pPr>
              <w:spacing w:after="0"/>
              <w:rPr>
                <w:sz w:val="20"/>
                <w:szCs w:val="20"/>
                <w:color w:val="auto"/>
              </w:rPr>
            </w:pPr>
          </w:p>
        </w:tc>
        <w:tc>
          <w:tcPr>
            <w:tcW w:w="1740" w:type="dxa"/>
            <w:vAlign w:val="bottom"/>
            <w:vMerge w:val="restart"/>
            <w:shd w:val="clear" w:color="auto" w:fill="EDEDED"/>
          </w:tcPr>
          <w:p>
            <w:pPr>
              <w:ind w:left="120"/>
              <w:spacing w:after="0"/>
              <w:rPr>
                <w:sz w:val="20"/>
                <w:szCs w:val="20"/>
                <w:color w:val="auto"/>
              </w:rPr>
            </w:pPr>
            <w:r>
              <w:rPr>
                <w:rFonts w:ascii="Arial" w:cs="Arial" w:eastAsia="Arial" w:hAnsi="Arial"/>
                <w:sz w:val="16"/>
                <w:szCs w:val="16"/>
                <w:b w:val="1"/>
                <w:bCs w:val="1"/>
                <w:color w:val="auto"/>
              </w:rPr>
              <w:t>Meetings in 2023:</w:t>
            </w:r>
          </w:p>
        </w:tc>
        <w:tc>
          <w:tcPr>
            <w:tcW w:w="340" w:type="dxa"/>
            <w:vAlign w:val="bottom"/>
            <w:shd w:val="clear" w:color="auto" w:fill="EDEDED"/>
          </w:tcPr>
          <w:p>
            <w:pPr>
              <w:spacing w:after="0"/>
              <w:rPr>
                <w:sz w:val="20"/>
                <w:szCs w:val="20"/>
                <w:color w:val="auto"/>
              </w:rPr>
            </w:pPr>
          </w:p>
        </w:tc>
        <w:tc>
          <w:tcPr>
            <w:tcW w:w="20" w:type="dxa"/>
            <w:vAlign w:val="bottom"/>
            <w:shd w:val="clear" w:color="auto" w:fill="EDEDED"/>
          </w:tcPr>
          <w:p>
            <w:pPr>
              <w:spacing w:after="0"/>
              <w:rPr>
                <w:sz w:val="20"/>
                <w:szCs w:val="20"/>
                <w:color w:val="auto"/>
              </w:rPr>
            </w:pPr>
          </w:p>
        </w:tc>
        <w:tc>
          <w:tcPr>
            <w:tcW w:w="280" w:type="dxa"/>
            <w:vAlign w:val="bottom"/>
            <w:shd w:val="clear" w:color="auto" w:fill="EDEDED"/>
          </w:tcPr>
          <w:p>
            <w:pPr>
              <w:spacing w:after="0"/>
              <w:rPr>
                <w:sz w:val="20"/>
                <w:szCs w:val="20"/>
                <w:color w:val="auto"/>
              </w:rPr>
            </w:pPr>
          </w:p>
        </w:tc>
        <w:tc>
          <w:tcPr>
            <w:tcW w:w="38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92"/>
        </w:trPr>
        <w:tc>
          <w:tcPr>
            <w:tcW w:w="7160" w:type="dxa"/>
            <w:vAlign w:val="bottom"/>
            <w:vMerge w:val="restart"/>
          </w:tcPr>
          <w:p>
            <w:pPr>
              <w:ind w:left="160"/>
              <w:spacing w:after="0"/>
              <w:rPr>
                <w:sz w:val="20"/>
                <w:szCs w:val="20"/>
                <w:color w:val="auto"/>
              </w:rPr>
            </w:pPr>
            <w:r>
              <w:rPr>
                <w:rFonts w:ascii="Arial" w:cs="Arial" w:eastAsia="Arial" w:hAnsi="Arial"/>
                <w:sz w:val="16"/>
                <w:szCs w:val="16"/>
                <w:color w:val="auto"/>
              </w:rPr>
              <w:t>the requirements</w:t>
            </w: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shd w:val="clear" w:color="auto" w:fill="EDEDED"/>
          </w:tcPr>
          <w:p>
            <w:pPr>
              <w:spacing w:after="0"/>
              <w:rPr>
                <w:sz w:val="7"/>
                <w:szCs w:val="7"/>
                <w:color w:val="auto"/>
              </w:rPr>
            </w:pPr>
          </w:p>
        </w:tc>
        <w:tc>
          <w:tcPr>
            <w:tcW w:w="200" w:type="dxa"/>
            <w:vAlign w:val="bottom"/>
            <w:shd w:val="clear" w:color="auto" w:fill="EDEDED"/>
          </w:tcPr>
          <w:p>
            <w:pPr>
              <w:spacing w:after="0"/>
              <w:rPr>
                <w:sz w:val="7"/>
                <w:szCs w:val="7"/>
                <w:color w:val="auto"/>
              </w:rPr>
            </w:pPr>
          </w:p>
        </w:tc>
        <w:tc>
          <w:tcPr>
            <w:tcW w:w="1740" w:type="dxa"/>
            <w:vAlign w:val="bottom"/>
            <w:vMerge w:val="continue"/>
            <w:shd w:val="clear" w:color="auto" w:fill="EDEDED"/>
          </w:tcPr>
          <w:p>
            <w:pPr>
              <w:spacing w:after="0"/>
              <w:rPr>
                <w:sz w:val="7"/>
                <w:szCs w:val="7"/>
                <w:color w:val="auto"/>
              </w:rPr>
            </w:pPr>
          </w:p>
        </w:tc>
        <w:tc>
          <w:tcPr>
            <w:tcW w:w="340" w:type="dxa"/>
            <w:vAlign w:val="bottom"/>
            <w:shd w:val="clear" w:color="auto" w:fill="EDEDED"/>
          </w:tcPr>
          <w:p>
            <w:pPr>
              <w:spacing w:after="0"/>
              <w:rPr>
                <w:sz w:val="7"/>
                <w:szCs w:val="7"/>
                <w:color w:val="auto"/>
              </w:rPr>
            </w:pPr>
          </w:p>
        </w:tc>
        <w:tc>
          <w:tcPr>
            <w:tcW w:w="20" w:type="dxa"/>
            <w:vAlign w:val="bottom"/>
            <w:shd w:val="clear" w:color="auto" w:fill="EDEDED"/>
          </w:tcPr>
          <w:p>
            <w:pPr>
              <w:spacing w:after="0"/>
              <w:rPr>
                <w:sz w:val="7"/>
                <w:szCs w:val="7"/>
                <w:color w:val="auto"/>
              </w:rPr>
            </w:pPr>
          </w:p>
        </w:tc>
        <w:tc>
          <w:tcPr>
            <w:tcW w:w="280" w:type="dxa"/>
            <w:vAlign w:val="bottom"/>
            <w:shd w:val="clear" w:color="auto" w:fill="EDEDED"/>
          </w:tcPr>
          <w:p>
            <w:pPr>
              <w:spacing w:after="0"/>
              <w:rPr>
                <w:sz w:val="7"/>
                <w:szCs w:val="7"/>
                <w:color w:val="auto"/>
              </w:rPr>
            </w:pPr>
          </w:p>
        </w:tc>
        <w:tc>
          <w:tcPr>
            <w:tcW w:w="38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71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shd w:val="clear" w:color="auto" w:fill="EDEDED"/>
          </w:tcPr>
          <w:p>
            <w:pPr>
              <w:spacing w:after="0"/>
              <w:rPr>
                <w:sz w:val="9"/>
                <w:szCs w:val="9"/>
                <w:color w:val="auto"/>
              </w:rPr>
            </w:pPr>
          </w:p>
        </w:tc>
        <w:tc>
          <w:tcPr>
            <w:tcW w:w="200" w:type="dxa"/>
            <w:vAlign w:val="bottom"/>
            <w:shd w:val="clear" w:color="auto" w:fill="EDEDED"/>
          </w:tcPr>
          <w:p>
            <w:pPr>
              <w:spacing w:after="0"/>
              <w:rPr>
                <w:sz w:val="9"/>
                <w:szCs w:val="9"/>
                <w:color w:val="auto"/>
              </w:rPr>
            </w:pPr>
          </w:p>
        </w:tc>
        <w:tc>
          <w:tcPr>
            <w:tcW w:w="1740" w:type="dxa"/>
            <w:vAlign w:val="bottom"/>
            <w:vMerge w:val="restart"/>
            <w:shd w:val="clear" w:color="auto" w:fill="EDEDED"/>
          </w:tcPr>
          <w:p>
            <w:pPr>
              <w:ind w:left="120"/>
              <w:spacing w:after="0"/>
              <w:rPr>
                <w:sz w:val="20"/>
                <w:szCs w:val="20"/>
                <w:color w:val="auto"/>
              </w:rPr>
            </w:pPr>
            <w:r>
              <w:rPr>
                <w:rFonts w:ascii="Arial" w:cs="Arial" w:eastAsia="Arial" w:hAnsi="Arial"/>
                <w:sz w:val="35"/>
                <w:szCs w:val="35"/>
                <w:b w:val="1"/>
                <w:bCs w:val="1"/>
                <w:color w:val="0A9E50"/>
              </w:rPr>
              <w:t>4</w:t>
            </w:r>
          </w:p>
        </w:tc>
        <w:tc>
          <w:tcPr>
            <w:tcW w:w="340" w:type="dxa"/>
            <w:vAlign w:val="bottom"/>
            <w:shd w:val="clear" w:color="auto" w:fill="EDEDED"/>
          </w:tcPr>
          <w:p>
            <w:pPr>
              <w:spacing w:after="0"/>
              <w:rPr>
                <w:sz w:val="9"/>
                <w:szCs w:val="9"/>
                <w:color w:val="auto"/>
              </w:rPr>
            </w:pPr>
          </w:p>
        </w:tc>
        <w:tc>
          <w:tcPr>
            <w:tcW w:w="20" w:type="dxa"/>
            <w:vAlign w:val="bottom"/>
            <w:shd w:val="clear" w:color="auto" w:fill="EDEDED"/>
          </w:tcPr>
          <w:p>
            <w:pPr>
              <w:spacing w:after="0"/>
              <w:rPr>
                <w:sz w:val="9"/>
                <w:szCs w:val="9"/>
                <w:color w:val="auto"/>
              </w:rPr>
            </w:pPr>
          </w:p>
        </w:tc>
        <w:tc>
          <w:tcPr>
            <w:tcW w:w="280" w:type="dxa"/>
            <w:vAlign w:val="bottom"/>
            <w:shd w:val="clear" w:color="auto" w:fill="EDEDED"/>
          </w:tcPr>
          <w:p>
            <w:pPr>
              <w:spacing w:after="0"/>
              <w:rPr>
                <w:sz w:val="9"/>
                <w:szCs w:val="9"/>
                <w:color w:val="auto"/>
              </w:rPr>
            </w:pPr>
          </w:p>
        </w:tc>
        <w:tc>
          <w:tcPr>
            <w:tcW w:w="380" w:type="dxa"/>
            <w:vAlign w:val="bottom"/>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Reviews and makes recommendations to the Board concerning director compensation</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200" w:type="dxa"/>
            <w:vAlign w:val="bottom"/>
            <w:shd w:val="clear" w:color="auto" w:fill="EDEDED"/>
          </w:tcPr>
          <w:p>
            <w:pPr>
              <w:spacing w:after="0"/>
              <w:rPr>
                <w:sz w:val="20"/>
                <w:szCs w:val="20"/>
                <w:color w:val="auto"/>
              </w:rPr>
            </w:pPr>
          </w:p>
        </w:tc>
        <w:tc>
          <w:tcPr>
            <w:tcW w:w="1740" w:type="dxa"/>
            <w:vAlign w:val="bottom"/>
            <w:vMerge w:val="continue"/>
            <w:shd w:val="clear" w:color="auto" w:fill="EDEDED"/>
          </w:tcPr>
          <w:p>
            <w:pPr>
              <w:spacing w:after="0"/>
              <w:rPr>
                <w:sz w:val="20"/>
                <w:szCs w:val="20"/>
                <w:color w:val="auto"/>
              </w:rPr>
            </w:pPr>
          </w:p>
        </w:tc>
        <w:tc>
          <w:tcPr>
            <w:tcW w:w="340" w:type="dxa"/>
            <w:vAlign w:val="bottom"/>
            <w:shd w:val="clear" w:color="auto" w:fill="EDEDED"/>
          </w:tcPr>
          <w:p>
            <w:pPr>
              <w:spacing w:after="0"/>
              <w:rPr>
                <w:sz w:val="20"/>
                <w:szCs w:val="20"/>
                <w:color w:val="auto"/>
              </w:rPr>
            </w:pPr>
          </w:p>
        </w:tc>
        <w:tc>
          <w:tcPr>
            <w:tcW w:w="20" w:type="dxa"/>
            <w:vAlign w:val="bottom"/>
            <w:shd w:val="clear" w:color="auto" w:fill="EDEDED"/>
          </w:tcPr>
          <w:p>
            <w:pPr>
              <w:spacing w:after="0"/>
              <w:rPr>
                <w:sz w:val="20"/>
                <w:szCs w:val="20"/>
                <w:color w:val="auto"/>
              </w:rPr>
            </w:pPr>
          </w:p>
        </w:tc>
        <w:tc>
          <w:tcPr>
            <w:tcW w:w="280" w:type="dxa"/>
            <w:vAlign w:val="bottom"/>
            <w:shd w:val="clear" w:color="auto" w:fill="EDEDED"/>
          </w:tcPr>
          <w:p>
            <w:pPr>
              <w:spacing w:after="0"/>
              <w:rPr>
                <w:sz w:val="20"/>
                <w:szCs w:val="20"/>
                <w:color w:val="auto"/>
              </w:rPr>
            </w:pPr>
          </w:p>
        </w:tc>
        <w:tc>
          <w:tcPr>
            <w:tcW w:w="38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7160" w:type="dxa"/>
            <w:vAlign w:val="bottom"/>
            <w:vMerge w:val="restart"/>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Reviews and advises the Board concerning CEO and senior officer succession planning and</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shd w:val="clear" w:color="auto" w:fill="EDEDED"/>
          </w:tcPr>
          <w:p>
            <w:pPr>
              <w:spacing w:after="0"/>
              <w:rPr>
                <w:sz w:val="9"/>
                <w:szCs w:val="9"/>
                <w:color w:val="auto"/>
              </w:rPr>
            </w:pPr>
          </w:p>
        </w:tc>
        <w:tc>
          <w:tcPr>
            <w:tcW w:w="200" w:type="dxa"/>
            <w:vAlign w:val="bottom"/>
            <w:shd w:val="clear" w:color="auto" w:fill="EDEDED"/>
          </w:tcPr>
          <w:p>
            <w:pPr>
              <w:spacing w:after="0"/>
              <w:rPr>
                <w:sz w:val="9"/>
                <w:szCs w:val="9"/>
                <w:color w:val="auto"/>
              </w:rPr>
            </w:pPr>
          </w:p>
        </w:tc>
        <w:tc>
          <w:tcPr>
            <w:tcW w:w="1740" w:type="dxa"/>
            <w:vAlign w:val="bottom"/>
            <w:vMerge w:val="continue"/>
            <w:shd w:val="clear" w:color="auto" w:fill="EDEDED"/>
          </w:tcPr>
          <w:p>
            <w:pPr>
              <w:spacing w:after="0"/>
              <w:rPr>
                <w:sz w:val="9"/>
                <w:szCs w:val="9"/>
                <w:color w:val="auto"/>
              </w:rPr>
            </w:pPr>
          </w:p>
        </w:tc>
        <w:tc>
          <w:tcPr>
            <w:tcW w:w="340" w:type="dxa"/>
            <w:vAlign w:val="bottom"/>
            <w:shd w:val="clear" w:color="auto" w:fill="EDEDED"/>
          </w:tcPr>
          <w:p>
            <w:pPr>
              <w:spacing w:after="0"/>
              <w:rPr>
                <w:sz w:val="9"/>
                <w:szCs w:val="9"/>
                <w:color w:val="auto"/>
              </w:rPr>
            </w:pPr>
          </w:p>
        </w:tc>
        <w:tc>
          <w:tcPr>
            <w:tcW w:w="20" w:type="dxa"/>
            <w:vAlign w:val="bottom"/>
            <w:shd w:val="clear" w:color="auto" w:fill="EDEDED"/>
          </w:tcPr>
          <w:p>
            <w:pPr>
              <w:spacing w:after="0"/>
              <w:rPr>
                <w:sz w:val="9"/>
                <w:szCs w:val="9"/>
                <w:color w:val="auto"/>
              </w:rPr>
            </w:pPr>
          </w:p>
        </w:tc>
        <w:tc>
          <w:tcPr>
            <w:tcW w:w="280" w:type="dxa"/>
            <w:vAlign w:val="bottom"/>
            <w:shd w:val="clear" w:color="auto" w:fill="EDEDED"/>
          </w:tcPr>
          <w:p>
            <w:pPr>
              <w:spacing w:after="0"/>
              <w:rPr>
                <w:sz w:val="9"/>
                <w:szCs w:val="9"/>
                <w:color w:val="auto"/>
              </w:rPr>
            </w:pPr>
          </w:p>
        </w:tc>
        <w:tc>
          <w:tcPr>
            <w:tcW w:w="380" w:type="dxa"/>
            <w:vAlign w:val="bottom"/>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7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EDEDED"/>
            </w:tcBorders>
            <w:shd w:val="clear" w:color="auto" w:fill="EDEDED"/>
          </w:tcPr>
          <w:p>
            <w:pPr>
              <w:spacing w:after="0"/>
              <w:rPr>
                <w:sz w:val="14"/>
                <w:szCs w:val="14"/>
                <w:color w:val="auto"/>
              </w:rPr>
            </w:pPr>
          </w:p>
        </w:tc>
        <w:tc>
          <w:tcPr>
            <w:tcW w:w="200" w:type="dxa"/>
            <w:vAlign w:val="bottom"/>
            <w:tcBorders>
              <w:bottom w:val="single" w:sz="8" w:color="EDEDED"/>
            </w:tcBorders>
            <w:shd w:val="clear" w:color="auto" w:fill="EDEDED"/>
          </w:tcPr>
          <w:p>
            <w:pPr>
              <w:spacing w:after="0"/>
              <w:rPr>
                <w:sz w:val="14"/>
                <w:szCs w:val="14"/>
                <w:color w:val="auto"/>
              </w:rPr>
            </w:pPr>
          </w:p>
        </w:tc>
        <w:tc>
          <w:tcPr>
            <w:tcW w:w="1740" w:type="dxa"/>
            <w:vAlign w:val="bottom"/>
            <w:tcBorders>
              <w:bottom w:val="single" w:sz="8" w:color="EDEDED"/>
            </w:tcBorders>
            <w:shd w:val="clear" w:color="auto" w:fill="EDEDED"/>
          </w:tcPr>
          <w:p>
            <w:pPr>
              <w:spacing w:after="0"/>
              <w:rPr>
                <w:sz w:val="14"/>
                <w:szCs w:val="14"/>
                <w:color w:val="auto"/>
              </w:rPr>
            </w:pPr>
          </w:p>
        </w:tc>
        <w:tc>
          <w:tcPr>
            <w:tcW w:w="340" w:type="dxa"/>
            <w:vAlign w:val="bottom"/>
            <w:tcBorders>
              <w:bottom w:val="single" w:sz="8" w:color="EDEDED"/>
            </w:tcBorders>
            <w:shd w:val="clear" w:color="auto" w:fill="EDEDED"/>
          </w:tcPr>
          <w:p>
            <w:pPr>
              <w:spacing w:after="0"/>
              <w:rPr>
                <w:sz w:val="14"/>
                <w:szCs w:val="14"/>
                <w:color w:val="auto"/>
              </w:rPr>
            </w:pPr>
          </w:p>
        </w:tc>
        <w:tc>
          <w:tcPr>
            <w:tcW w:w="20" w:type="dxa"/>
            <w:vAlign w:val="bottom"/>
            <w:tcBorders>
              <w:bottom w:val="single" w:sz="8" w:color="EDEDED"/>
            </w:tcBorders>
            <w:shd w:val="clear" w:color="auto" w:fill="EDEDED"/>
          </w:tcPr>
          <w:p>
            <w:pPr>
              <w:spacing w:after="0"/>
              <w:rPr>
                <w:sz w:val="14"/>
                <w:szCs w:val="14"/>
                <w:color w:val="auto"/>
              </w:rPr>
            </w:pPr>
          </w:p>
        </w:tc>
        <w:tc>
          <w:tcPr>
            <w:tcW w:w="280" w:type="dxa"/>
            <w:vAlign w:val="bottom"/>
            <w:tcBorders>
              <w:bottom w:val="single" w:sz="8" w:color="EDEDED"/>
            </w:tcBorders>
            <w:shd w:val="clear" w:color="auto" w:fill="EDEDED"/>
          </w:tcPr>
          <w:p>
            <w:pPr>
              <w:spacing w:after="0"/>
              <w:rPr>
                <w:sz w:val="14"/>
                <w:szCs w:val="14"/>
                <w:color w:val="auto"/>
              </w:rPr>
            </w:pPr>
          </w:p>
        </w:tc>
        <w:tc>
          <w:tcPr>
            <w:tcW w:w="380" w:type="dxa"/>
            <w:vAlign w:val="bottom"/>
            <w:tcBorders>
              <w:bottom w:val="single" w:sz="8" w:color="EDEDED"/>
            </w:tcBorders>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60" w:type="dxa"/>
            <w:vAlign w:val="bottom"/>
          </w:tcPr>
          <w:p>
            <w:pPr>
              <w:ind w:left="160"/>
              <w:spacing w:after="0" w:line="180" w:lineRule="exact"/>
              <w:rPr>
                <w:sz w:val="20"/>
                <w:szCs w:val="20"/>
                <w:color w:val="auto"/>
              </w:rPr>
            </w:pPr>
            <w:r>
              <w:rPr>
                <w:rFonts w:ascii="Arial" w:cs="Arial" w:eastAsia="Arial" w:hAnsi="Arial"/>
                <w:sz w:val="16"/>
                <w:szCs w:val="16"/>
                <w:color w:val="auto"/>
              </w:rPr>
              <w:t>developmental opportunities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vMerge w:val="restart"/>
          </w:tcPr>
          <w:p>
            <w:pPr>
              <w:ind w:left="920"/>
              <w:spacing w:after="0"/>
              <w:rPr>
                <w:sz w:val="20"/>
                <w:szCs w:val="20"/>
                <w:color w:val="auto"/>
              </w:rPr>
            </w:pPr>
            <w:r>
              <w:rPr>
                <w:rFonts w:ascii="Arial" w:cs="Arial" w:eastAsia="Arial" w:hAnsi="Arial"/>
                <w:sz w:val="21"/>
                <w:szCs w:val="21"/>
                <w:color w:val="auto"/>
              </w:rPr>
              <w:t> </w:t>
            </w:r>
          </w:p>
        </w:tc>
        <w:tc>
          <w:tcPr>
            <w:tcW w:w="340" w:type="dxa"/>
            <w:vAlign w:val="bottom"/>
            <w:vMerge w:val="restart"/>
          </w:tcPr>
          <w:p>
            <w:pPr>
              <w:ind w:left="60"/>
              <w:spacing w:after="0"/>
              <w:rPr>
                <w:sz w:val="20"/>
                <w:szCs w:val="20"/>
                <w:color w:val="auto"/>
              </w:rPr>
            </w:pPr>
            <w:r>
              <w:rPr>
                <w:rFonts w:ascii="Arial" w:cs="Arial" w:eastAsia="Arial" w:hAnsi="Arial"/>
                <w:sz w:val="21"/>
                <w:szCs w:val="21"/>
                <w:color w:val="auto"/>
                <w:w w:val="96"/>
              </w:rPr>
              <w:t xml:space="preserve">  </w:t>
            </w:r>
          </w:p>
        </w:tc>
        <w:tc>
          <w:tcPr>
            <w:tcW w:w="20" w:type="dxa"/>
            <w:vAlign w:val="bottom"/>
          </w:tcPr>
          <w:p>
            <w:pPr>
              <w:spacing w:after="0"/>
              <w:rPr>
                <w:sz w:val="15"/>
                <w:szCs w:val="15"/>
                <w:color w:val="auto"/>
              </w:rPr>
            </w:pPr>
          </w:p>
        </w:tc>
        <w:tc>
          <w:tcPr>
            <w:tcW w:w="280" w:type="dxa"/>
            <w:vAlign w:val="bottom"/>
            <w:vMerge w:val="restart"/>
          </w:tcPr>
          <w:p>
            <w:pPr>
              <w:ind w:left="80"/>
              <w:spacing w:after="0"/>
              <w:rPr>
                <w:sz w:val="20"/>
                <w:szCs w:val="20"/>
                <w:color w:val="auto"/>
              </w:rPr>
            </w:pPr>
            <w:r>
              <w:rPr>
                <w:rFonts w:ascii="Arial" w:cs="Arial" w:eastAsia="Arial" w:hAnsi="Arial"/>
                <w:sz w:val="20"/>
                <w:szCs w:val="20"/>
                <w:color w:val="auto"/>
                <w:w w:val="70"/>
              </w:rPr>
              <w:t>  </w:t>
            </w:r>
          </w:p>
        </w:tc>
        <w:tc>
          <w:tcPr>
            <w:tcW w:w="380" w:type="dxa"/>
            <w:vAlign w:val="bottom"/>
            <w:vMerge w:val="restart"/>
          </w:tcPr>
          <w:p>
            <w:pPr>
              <w:jc w:val="center"/>
              <w:spacing w:after="0"/>
              <w:rPr>
                <w:sz w:val="20"/>
                <w:szCs w:val="20"/>
                <w:color w:val="auto"/>
              </w:rPr>
            </w:pPr>
            <w:r>
              <w:rPr>
                <w:rFonts w:ascii="Arial" w:cs="Arial" w:eastAsia="Arial" w:hAnsi="Arial"/>
                <w:sz w:val="21"/>
                <w:szCs w:val="21"/>
                <w:color w:val="auto"/>
                <w:w w:val="93"/>
              </w:rPr>
              <w:t>25</w:t>
            </w:r>
          </w:p>
        </w:tc>
        <w:tc>
          <w:tcPr>
            <w:tcW w:w="0" w:type="dxa"/>
            <w:vAlign w:val="bottom"/>
          </w:tcPr>
          <w:p>
            <w:pPr>
              <w:spacing w:after="0"/>
              <w:rPr>
                <w:sz w:val="1"/>
                <w:szCs w:val="1"/>
                <w:color w:val="auto"/>
              </w:rPr>
            </w:pPr>
          </w:p>
        </w:tc>
      </w:tr>
      <w:tr>
        <w:trPr>
          <w:trHeight w:val="145"/>
        </w:trPr>
        <w:tc>
          <w:tcPr>
            <w:tcW w:w="7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7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28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7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5950585</wp:posOffset>
            </wp:positionH>
            <wp:positionV relativeFrom="paragraph">
              <wp:posOffset>-222250</wp:posOffset>
            </wp:positionV>
            <wp:extent cx="396240" cy="189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96240" cy="18986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9060" w:type="dxa"/>
            <w:vAlign w:val="bottom"/>
          </w:tcPr>
          <w:p>
            <w:pPr>
              <w:spacing w:after="0"/>
              <w:rPr>
                <w:sz w:val="20"/>
                <w:szCs w:val="20"/>
                <w:color w:val="auto"/>
              </w:rPr>
            </w:pPr>
            <w:r>
              <w:rPr>
                <w:rFonts w:ascii="Arial" w:cs="Arial" w:eastAsia="Arial" w:hAnsi="Arial"/>
                <w:sz w:val="13"/>
                <w:szCs w:val="13"/>
                <w:b w:val="1"/>
                <w:bCs w:val="1"/>
                <w:color w:val="auto"/>
              </w:rPr>
              <w:t>Corporate Governance</w:t>
            </w:r>
          </w:p>
        </w:tc>
        <w:tc>
          <w:tcPr>
            <w:tcW w:w="1380" w:type="dxa"/>
            <w:vAlign w:val="bottom"/>
          </w:tcPr>
          <w:p>
            <w:pPr>
              <w:spacing w:after="0"/>
              <w:rPr>
                <w:sz w:val="15"/>
                <w:szCs w:val="15"/>
                <w:color w:val="auto"/>
              </w:rPr>
            </w:pPr>
          </w:p>
        </w:tc>
      </w:tr>
      <w:tr>
        <w:trPr>
          <w:trHeight w:val="369"/>
        </w:trPr>
        <w:tc>
          <w:tcPr>
            <w:tcW w:w="90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Reviews and makes recommendations to the Company’s ESG Strategy and related risk</w:t>
            </w:r>
          </w:p>
        </w:tc>
        <w:tc>
          <w:tcPr>
            <w:tcW w:w="1380" w:type="dxa"/>
            <w:vAlign w:val="bottom"/>
          </w:tcPr>
          <w:p>
            <w:pPr>
              <w:spacing w:after="0"/>
              <w:rPr>
                <w:sz w:val="24"/>
                <w:szCs w:val="24"/>
                <w:color w:val="auto"/>
              </w:rPr>
            </w:pPr>
          </w:p>
        </w:tc>
      </w:tr>
      <w:tr>
        <w:trPr>
          <w:trHeight w:val="205"/>
        </w:trPr>
        <w:tc>
          <w:tcPr>
            <w:tcW w:w="9060" w:type="dxa"/>
            <w:vAlign w:val="bottom"/>
          </w:tcPr>
          <w:p>
            <w:pPr>
              <w:ind w:left="160"/>
              <w:spacing w:after="0"/>
              <w:rPr>
                <w:sz w:val="20"/>
                <w:szCs w:val="20"/>
                <w:color w:val="auto"/>
              </w:rPr>
            </w:pPr>
            <w:r>
              <w:rPr>
                <w:rFonts w:ascii="Arial" w:cs="Arial" w:eastAsia="Arial" w:hAnsi="Arial"/>
                <w:sz w:val="16"/>
                <w:szCs w:val="16"/>
                <w:color w:val="auto"/>
              </w:rPr>
              <w:t>management policies and procedures relative to human capital management</w:t>
            </w:r>
          </w:p>
        </w:tc>
        <w:tc>
          <w:tcPr>
            <w:tcW w:w="1380" w:type="dxa"/>
            <w:vAlign w:val="bottom"/>
          </w:tcPr>
          <w:p>
            <w:pPr>
              <w:spacing w:after="0"/>
              <w:rPr>
                <w:sz w:val="17"/>
                <w:szCs w:val="17"/>
                <w:color w:val="auto"/>
              </w:rPr>
            </w:pPr>
          </w:p>
        </w:tc>
      </w:tr>
      <w:tr>
        <w:trPr>
          <w:trHeight w:val="237"/>
        </w:trPr>
        <w:tc>
          <w:tcPr>
            <w:tcW w:w="9060" w:type="dxa"/>
            <w:vAlign w:val="bottom"/>
          </w:tcPr>
          <w:p>
            <w:pPr>
              <w:spacing w:after="0"/>
              <w:rPr>
                <w:sz w:val="20"/>
                <w:szCs w:val="20"/>
                <w:color w:val="auto"/>
              </w:rPr>
            </w:pPr>
            <w:r>
              <w:rPr>
                <w:rFonts w:ascii="Times New Roman" w:cs="Times New Roman" w:eastAsia="Times New Roman" w:hAnsi="Times New Roman"/>
                <w:sz w:val="12"/>
                <w:szCs w:val="12"/>
                <w:color w:val="0A9E50"/>
                <w:w w:val="98"/>
              </w:rPr>
              <w:t>●</w:t>
            </w:r>
            <w:r>
              <w:rPr>
                <w:rFonts w:ascii="Arial" w:cs="Arial" w:eastAsia="Arial" w:hAnsi="Arial"/>
                <w:sz w:val="15"/>
                <w:szCs w:val="15"/>
                <w:color w:val="000000"/>
                <w:w w:val="98"/>
              </w:rPr>
              <w:t xml:space="preserve">  Appoints, compensates and oversees the work performed by an independent compensation or legal       </w:t>
            </w:r>
            <w:r>
              <w:rPr>
                <w:rFonts w:ascii="Arial" w:cs="Arial" w:eastAsia="Arial" w:hAnsi="Arial"/>
                <w:sz w:val="4"/>
                <w:szCs w:val="4"/>
                <w:color w:val="auto"/>
                <w:w w:val="98"/>
              </w:rPr>
              <w:t> </w:t>
            </w:r>
          </w:p>
        </w:tc>
        <w:tc>
          <w:tcPr>
            <w:tcW w:w="1380" w:type="dxa"/>
            <w:vAlign w:val="bottom"/>
          </w:tcPr>
          <w:p>
            <w:pPr>
              <w:ind w:left="1340"/>
              <w:spacing w:after="0"/>
              <w:rPr>
                <w:sz w:val="20"/>
                <w:szCs w:val="20"/>
                <w:color w:val="auto"/>
              </w:rPr>
            </w:pPr>
            <w:r>
              <w:rPr>
                <w:rFonts w:ascii="Arial" w:cs="Arial" w:eastAsia="Arial" w:hAnsi="Arial"/>
                <w:sz w:val="2"/>
                <w:szCs w:val="2"/>
                <w:color w:val="auto"/>
                <w:w w:val="97"/>
              </w:rPr>
              <w:t> </w:t>
            </w:r>
          </w:p>
        </w:tc>
      </w:tr>
      <w:tr>
        <w:trPr>
          <w:trHeight w:val="205"/>
        </w:trPr>
        <w:tc>
          <w:tcPr>
            <w:tcW w:w="9060" w:type="dxa"/>
            <w:vAlign w:val="bottom"/>
          </w:tcPr>
          <w:p>
            <w:pPr>
              <w:ind w:left="160"/>
              <w:spacing w:after="0"/>
              <w:rPr>
                <w:sz w:val="20"/>
                <w:szCs w:val="20"/>
                <w:color w:val="auto"/>
              </w:rPr>
            </w:pPr>
            <w:r>
              <w:rPr>
                <w:rFonts w:ascii="Arial" w:cs="Arial" w:eastAsia="Arial" w:hAnsi="Arial"/>
                <w:sz w:val="16"/>
                <w:szCs w:val="16"/>
                <w:color w:val="auto"/>
              </w:rPr>
              <w:t>advisor</w:t>
            </w:r>
          </w:p>
        </w:tc>
        <w:tc>
          <w:tcPr>
            <w:tcW w:w="1380" w:type="dxa"/>
            <w:vAlign w:val="bottom"/>
          </w:tcPr>
          <w:p>
            <w:pPr>
              <w:spacing w:after="0"/>
              <w:rPr>
                <w:sz w:val="17"/>
                <w:szCs w:val="17"/>
                <w:color w:val="auto"/>
              </w:rPr>
            </w:pPr>
          </w:p>
        </w:tc>
      </w:tr>
      <w:tr>
        <w:trPr>
          <w:trHeight w:val="237"/>
        </w:trPr>
        <w:tc>
          <w:tcPr>
            <w:tcW w:w="90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Oversees the Company’s strategies, initiatives, and programs related to human capital management</w:t>
            </w:r>
          </w:p>
        </w:tc>
        <w:tc>
          <w:tcPr>
            <w:tcW w:w="1380" w:type="dxa"/>
            <w:vAlign w:val="bottom"/>
          </w:tcPr>
          <w:p>
            <w:pPr>
              <w:spacing w:after="0"/>
              <w:rPr>
                <w:sz w:val="20"/>
                <w:szCs w:val="20"/>
                <w:color w:val="auto"/>
              </w:rPr>
            </w:pPr>
          </w:p>
        </w:tc>
      </w:tr>
      <w:tr>
        <w:trPr>
          <w:trHeight w:val="182"/>
        </w:trPr>
        <w:tc>
          <w:tcPr>
            <w:tcW w:w="9060" w:type="dxa"/>
            <w:vAlign w:val="bottom"/>
          </w:tcPr>
          <w:p>
            <w:pPr>
              <w:ind w:left="160"/>
              <w:spacing w:after="0" w:line="182" w:lineRule="exact"/>
              <w:rPr>
                <w:sz w:val="20"/>
                <w:szCs w:val="20"/>
                <w:color w:val="auto"/>
              </w:rPr>
            </w:pPr>
            <w:r>
              <w:rPr>
                <w:rFonts w:ascii="Arial" w:cs="Arial" w:eastAsia="Arial" w:hAnsi="Arial"/>
                <w:sz w:val="16"/>
                <w:szCs w:val="16"/>
                <w:color w:val="auto"/>
              </w:rPr>
              <w:t>and determines their effectiveness, including with respect to diversity, equity, and inclusion,</w:t>
            </w:r>
          </w:p>
        </w:tc>
        <w:tc>
          <w:tcPr>
            <w:tcW w:w="1380" w:type="dxa"/>
            <w:vAlign w:val="bottom"/>
          </w:tcPr>
          <w:p>
            <w:pPr>
              <w:spacing w:after="0"/>
              <w:rPr>
                <w:sz w:val="15"/>
                <w:szCs w:val="15"/>
                <w:color w:val="auto"/>
              </w:rPr>
            </w:pPr>
          </w:p>
        </w:tc>
      </w:tr>
      <w:tr>
        <w:trPr>
          <w:trHeight w:val="182"/>
        </w:trPr>
        <w:tc>
          <w:tcPr>
            <w:tcW w:w="9060" w:type="dxa"/>
            <w:vAlign w:val="bottom"/>
          </w:tcPr>
          <w:p>
            <w:pPr>
              <w:ind w:left="160"/>
              <w:spacing w:after="0" w:line="182" w:lineRule="exact"/>
              <w:rPr>
                <w:sz w:val="20"/>
                <w:szCs w:val="20"/>
                <w:color w:val="auto"/>
              </w:rPr>
            </w:pPr>
            <w:r>
              <w:rPr>
                <w:rFonts w:ascii="Arial" w:cs="Arial" w:eastAsia="Arial" w:hAnsi="Arial"/>
                <w:sz w:val="16"/>
                <w:szCs w:val="16"/>
                <w:color w:val="auto"/>
              </w:rPr>
              <w:t>workplace and culture, benefits and well-being, employee engagement, performance management,</w:t>
            </w:r>
          </w:p>
        </w:tc>
        <w:tc>
          <w:tcPr>
            <w:tcW w:w="1380" w:type="dxa"/>
            <w:vAlign w:val="bottom"/>
          </w:tcPr>
          <w:p>
            <w:pPr>
              <w:spacing w:after="0"/>
              <w:rPr>
                <w:sz w:val="15"/>
                <w:szCs w:val="15"/>
                <w:color w:val="auto"/>
              </w:rPr>
            </w:pPr>
          </w:p>
        </w:tc>
      </w:tr>
      <w:tr>
        <w:trPr>
          <w:trHeight w:val="205"/>
        </w:trPr>
        <w:tc>
          <w:tcPr>
            <w:tcW w:w="9060" w:type="dxa"/>
            <w:vAlign w:val="bottom"/>
          </w:tcPr>
          <w:p>
            <w:pPr>
              <w:ind w:left="160"/>
              <w:spacing w:after="0"/>
              <w:rPr>
                <w:sz w:val="20"/>
                <w:szCs w:val="20"/>
                <w:color w:val="auto"/>
              </w:rPr>
            </w:pPr>
            <w:r>
              <w:rPr>
                <w:rFonts w:ascii="Arial" w:cs="Arial" w:eastAsia="Arial" w:hAnsi="Arial"/>
                <w:sz w:val="16"/>
                <w:szCs w:val="16"/>
                <w:color w:val="auto"/>
              </w:rPr>
              <w:t>and talent recruitment, development, and retention</w:t>
            </w:r>
          </w:p>
        </w:tc>
        <w:tc>
          <w:tcPr>
            <w:tcW w:w="1380" w:type="dxa"/>
            <w:vAlign w:val="bottom"/>
          </w:tcPr>
          <w:p>
            <w:pPr>
              <w:spacing w:after="0"/>
              <w:rPr>
                <w:sz w:val="17"/>
                <w:szCs w:val="17"/>
                <w:color w:val="auto"/>
              </w:rPr>
            </w:pPr>
          </w:p>
        </w:tc>
      </w:tr>
      <w:tr>
        <w:trPr>
          <w:trHeight w:val="338"/>
        </w:trPr>
        <w:tc>
          <w:tcPr>
            <w:tcW w:w="9060" w:type="dxa"/>
            <w:vAlign w:val="bottom"/>
          </w:tcPr>
          <w:p>
            <w:pPr>
              <w:spacing w:after="0"/>
              <w:rPr>
                <w:sz w:val="20"/>
                <w:szCs w:val="20"/>
                <w:color w:val="auto"/>
              </w:rPr>
            </w:pPr>
            <w:r>
              <w:rPr>
                <w:rFonts w:ascii="Arial" w:cs="Arial" w:eastAsia="Arial" w:hAnsi="Arial"/>
                <w:sz w:val="16"/>
                <w:szCs w:val="16"/>
                <w:i w:val="1"/>
                <w:iCs w:val="1"/>
                <w:color w:val="auto"/>
              </w:rPr>
              <w:t>Compensation and Talent Management Committee Interlocks and Insider Participation</w:t>
            </w:r>
          </w:p>
        </w:tc>
        <w:tc>
          <w:tcPr>
            <w:tcW w:w="1380" w:type="dxa"/>
            <w:vAlign w:val="bottom"/>
          </w:tcPr>
          <w:p>
            <w:pPr>
              <w:spacing w:after="0"/>
              <w:rPr>
                <w:sz w:val="24"/>
                <w:szCs w:val="24"/>
                <w:color w:val="auto"/>
              </w:rPr>
            </w:pPr>
          </w:p>
        </w:tc>
      </w:tr>
      <w:tr>
        <w:trPr>
          <w:trHeight w:val="237"/>
        </w:trPr>
        <w:tc>
          <w:tcPr>
            <w:tcW w:w="9060" w:type="dxa"/>
            <w:vAlign w:val="bottom"/>
          </w:tcPr>
          <w:p>
            <w:pPr>
              <w:spacing w:after="0"/>
              <w:rPr>
                <w:sz w:val="20"/>
                <w:szCs w:val="20"/>
                <w:color w:val="auto"/>
              </w:rPr>
            </w:pPr>
            <w:r>
              <w:rPr>
                <w:rFonts w:ascii="Arial" w:cs="Arial" w:eastAsia="Arial" w:hAnsi="Arial"/>
                <w:sz w:val="16"/>
                <w:szCs w:val="16"/>
                <w:color w:val="auto"/>
              </w:rPr>
              <w:t>During 2023, none of the Company’s executive officers served on the Board of Directors of any entities</w:t>
            </w:r>
          </w:p>
        </w:tc>
        <w:tc>
          <w:tcPr>
            <w:tcW w:w="1380" w:type="dxa"/>
            <w:vAlign w:val="bottom"/>
          </w:tcPr>
          <w:p>
            <w:pPr>
              <w:spacing w:after="0"/>
              <w:rPr>
                <w:sz w:val="20"/>
                <w:szCs w:val="20"/>
                <w:color w:val="auto"/>
              </w:rPr>
            </w:pPr>
          </w:p>
        </w:tc>
      </w:tr>
      <w:tr>
        <w:trPr>
          <w:trHeight w:val="182"/>
        </w:trPr>
        <w:tc>
          <w:tcPr>
            <w:tcW w:w="9060" w:type="dxa"/>
            <w:vAlign w:val="bottom"/>
          </w:tcPr>
          <w:p>
            <w:pPr>
              <w:spacing w:after="0" w:line="182" w:lineRule="exact"/>
              <w:rPr>
                <w:sz w:val="20"/>
                <w:szCs w:val="20"/>
                <w:color w:val="auto"/>
              </w:rPr>
            </w:pPr>
            <w:r>
              <w:rPr>
                <w:rFonts w:ascii="Arial" w:cs="Arial" w:eastAsia="Arial" w:hAnsi="Arial"/>
                <w:sz w:val="16"/>
                <w:szCs w:val="16"/>
                <w:color w:val="auto"/>
              </w:rPr>
              <w:t>whose directors or officers served on the Company’s Compensation and Talent Management</w:t>
            </w:r>
          </w:p>
        </w:tc>
        <w:tc>
          <w:tcPr>
            <w:tcW w:w="1380" w:type="dxa"/>
            <w:vAlign w:val="bottom"/>
          </w:tcPr>
          <w:p>
            <w:pPr>
              <w:spacing w:after="0"/>
              <w:rPr>
                <w:sz w:val="15"/>
                <w:szCs w:val="15"/>
                <w:color w:val="auto"/>
              </w:rPr>
            </w:pPr>
          </w:p>
        </w:tc>
      </w:tr>
      <w:tr>
        <w:trPr>
          <w:trHeight w:val="182"/>
        </w:trPr>
        <w:tc>
          <w:tcPr>
            <w:tcW w:w="9060" w:type="dxa"/>
            <w:vAlign w:val="bottom"/>
          </w:tcPr>
          <w:p>
            <w:pPr>
              <w:spacing w:after="0" w:line="182" w:lineRule="exact"/>
              <w:rPr>
                <w:sz w:val="20"/>
                <w:szCs w:val="20"/>
                <w:color w:val="auto"/>
              </w:rPr>
            </w:pPr>
            <w:r>
              <w:rPr>
                <w:rFonts w:ascii="Arial" w:cs="Arial" w:eastAsia="Arial" w:hAnsi="Arial"/>
                <w:sz w:val="16"/>
                <w:szCs w:val="16"/>
                <w:color w:val="auto"/>
              </w:rPr>
              <w:t>Committee. No current or past executive officers of the Company or its subsidiaries serve on the</w:t>
            </w:r>
          </w:p>
        </w:tc>
        <w:tc>
          <w:tcPr>
            <w:tcW w:w="1380" w:type="dxa"/>
            <w:vAlign w:val="bottom"/>
          </w:tcPr>
          <w:p>
            <w:pPr>
              <w:spacing w:after="0"/>
              <w:rPr>
                <w:sz w:val="15"/>
                <w:szCs w:val="15"/>
                <w:color w:val="auto"/>
              </w:rPr>
            </w:pPr>
          </w:p>
        </w:tc>
      </w:tr>
      <w:tr>
        <w:trPr>
          <w:trHeight w:val="205"/>
        </w:trPr>
        <w:tc>
          <w:tcPr>
            <w:tcW w:w="9060" w:type="dxa"/>
            <w:vAlign w:val="bottom"/>
          </w:tcPr>
          <w:p>
            <w:pPr>
              <w:spacing w:after="0"/>
              <w:rPr>
                <w:sz w:val="20"/>
                <w:szCs w:val="20"/>
                <w:color w:val="auto"/>
              </w:rPr>
            </w:pPr>
            <w:r>
              <w:rPr>
                <w:rFonts w:ascii="Arial" w:cs="Arial" w:eastAsia="Arial" w:hAnsi="Arial"/>
                <w:sz w:val="16"/>
                <w:szCs w:val="16"/>
                <w:color w:val="auto"/>
              </w:rPr>
              <w:t>Compensation and Talent Management Committee.</w:t>
            </w:r>
          </w:p>
        </w:tc>
        <w:tc>
          <w:tcPr>
            <w:tcW w:w="1380" w:type="dxa"/>
            <w:vAlign w:val="bottom"/>
          </w:tcPr>
          <w:p>
            <w:pPr>
              <w:spacing w:after="0"/>
              <w:rPr>
                <w:sz w:val="17"/>
                <w:szCs w:val="17"/>
                <w:color w:val="auto"/>
              </w:rPr>
            </w:pPr>
          </w:p>
        </w:tc>
      </w:tr>
    </w:tbl>
    <w:p>
      <w:pPr>
        <w:spacing w:after="0" w:line="327"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0A9E50"/>
        </w:rPr>
        <w:t>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78105</wp:posOffset>
            </wp:positionV>
            <wp:extent cx="6740525" cy="26435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40525" cy="2643505"/>
                    </a:xfrm>
                    <a:prstGeom prst="rect">
                      <a:avLst/>
                    </a:prstGeom>
                    <a:noFill/>
                  </pic:spPr>
                </pic:pic>
              </a:graphicData>
            </a:graphic>
          </wp:anchor>
        </w:drawing>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7140" w:type="dxa"/>
            <w:vAlign w:val="bottom"/>
          </w:tcPr>
          <w:p>
            <w:pPr>
              <w:spacing w:after="0"/>
              <w:rPr>
                <w:sz w:val="20"/>
                <w:szCs w:val="20"/>
                <w:color w:val="auto"/>
              </w:rPr>
            </w:pPr>
            <w:r>
              <w:rPr>
                <w:rFonts w:ascii="Arial" w:cs="Arial" w:eastAsia="Arial" w:hAnsi="Arial"/>
                <w:sz w:val="16"/>
                <w:szCs w:val="16"/>
                <w:b w:val="1"/>
                <w:bCs w:val="1"/>
                <w:color w:val="auto"/>
              </w:rPr>
              <w:t>Key Responsibilities:</w:t>
            </w:r>
          </w:p>
        </w:tc>
        <w:tc>
          <w:tcPr>
            <w:tcW w:w="420" w:type="dxa"/>
            <w:vAlign w:val="bottom"/>
          </w:tcPr>
          <w:p>
            <w:pPr>
              <w:spacing w:after="0"/>
              <w:rPr>
                <w:sz w:val="22"/>
                <w:szCs w:val="22"/>
                <w:color w:val="auto"/>
              </w:rPr>
            </w:pPr>
          </w:p>
        </w:tc>
        <w:tc>
          <w:tcPr>
            <w:tcW w:w="280" w:type="dxa"/>
            <w:vAlign w:val="bottom"/>
            <w:tcBorders>
              <w:bottom w:val="single" w:sz="8" w:color="EDEDED"/>
            </w:tcBorders>
            <w:shd w:val="clear" w:color="auto" w:fill="EDEDED"/>
          </w:tcPr>
          <w:p>
            <w:pPr>
              <w:spacing w:after="0"/>
              <w:rPr>
                <w:sz w:val="22"/>
                <w:szCs w:val="22"/>
                <w:color w:val="auto"/>
              </w:rPr>
            </w:pPr>
          </w:p>
        </w:tc>
        <w:tc>
          <w:tcPr>
            <w:tcW w:w="2320" w:type="dxa"/>
            <w:vAlign w:val="bottom"/>
            <w:tcBorders>
              <w:bottom w:val="single" w:sz="8" w:color="EDEDED"/>
            </w:tcBorders>
            <w:shd w:val="clear" w:color="auto" w:fill="EDEDED"/>
          </w:tcPr>
          <w:p>
            <w:pPr>
              <w:spacing w:after="0"/>
              <w:rPr>
                <w:sz w:val="22"/>
                <w:szCs w:val="22"/>
                <w:color w:val="auto"/>
              </w:rPr>
            </w:pPr>
          </w:p>
        </w:tc>
        <w:tc>
          <w:tcPr>
            <w:tcW w:w="460" w:type="dxa"/>
            <w:vAlign w:val="bottom"/>
            <w:tcBorders>
              <w:bottom w:val="single" w:sz="8" w:color="EDEDED"/>
            </w:tcBorders>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Develops and oversees compliance with the Company’s Corporate Governance Principles</w:t>
            </w:r>
          </w:p>
        </w:tc>
        <w:tc>
          <w:tcPr>
            <w:tcW w:w="420" w:type="dxa"/>
            <w:vAlign w:val="bottom"/>
          </w:tcPr>
          <w:p>
            <w:pPr>
              <w:ind w:left="80"/>
              <w:spacing w:after="0"/>
              <w:rPr>
                <w:sz w:val="20"/>
                <w:szCs w:val="20"/>
                <w:color w:val="auto"/>
              </w:rPr>
            </w:pPr>
            <w:r>
              <w:rPr>
                <w:rFonts w:ascii="Arial" w:cs="Arial" w:eastAsia="Arial" w:hAnsi="Arial"/>
                <w:sz w:val="16"/>
                <w:szCs w:val="16"/>
                <w:color w:val="auto"/>
              </w:rPr>
              <w:t xml:space="preserve">    </w:t>
            </w:r>
          </w:p>
        </w:tc>
        <w:tc>
          <w:tcPr>
            <w:tcW w:w="280" w:type="dxa"/>
            <w:vAlign w:val="bottom"/>
          </w:tcPr>
          <w:p>
            <w:pPr>
              <w:ind w:left="100"/>
              <w:spacing w:after="0"/>
              <w:rPr>
                <w:sz w:val="20"/>
                <w:szCs w:val="20"/>
                <w:color w:val="auto"/>
              </w:rPr>
            </w:pPr>
            <w:r>
              <w:rPr>
                <w:rFonts w:ascii="Arial" w:cs="Arial" w:eastAsia="Arial" w:hAnsi="Arial"/>
                <w:sz w:val="16"/>
                <w:szCs w:val="16"/>
                <w:color w:val="auto"/>
                <w:w w:val="99"/>
              </w:rPr>
              <w:t> </w:t>
            </w:r>
          </w:p>
        </w:tc>
        <w:tc>
          <w:tcPr>
            <w:tcW w:w="2320" w:type="dxa"/>
            <w:vAlign w:val="bottom"/>
          </w:tcPr>
          <w:p>
            <w:pPr>
              <w:ind w:left="140"/>
              <w:spacing w:after="0"/>
              <w:rPr>
                <w:sz w:val="20"/>
                <w:szCs w:val="20"/>
                <w:color w:val="auto"/>
              </w:rPr>
            </w:pPr>
            <w:r>
              <w:rPr>
                <w:rFonts w:ascii="Arial" w:cs="Arial" w:eastAsia="Arial" w:hAnsi="Arial"/>
                <w:sz w:val="16"/>
                <w:szCs w:val="16"/>
                <w:b w:val="1"/>
                <w:bCs w:val="1"/>
                <w:color w:val="auto"/>
              </w:rPr>
              <w:t xml:space="preserve">Members: </w:t>
            </w:r>
            <w:r>
              <w:rPr>
                <w:rFonts w:ascii="Arial" w:cs="Arial" w:eastAsia="Arial" w:hAnsi="Arial"/>
                <w:sz w:val="16"/>
                <w:szCs w:val="16"/>
                <w:b w:val="1"/>
                <w:bCs w:val="1"/>
                <w:color w:val="0A9E50"/>
              </w:rPr>
              <w:t>All Independent</w:t>
            </w:r>
          </w:p>
        </w:tc>
        <w:tc>
          <w:tcPr>
            <w:tcW w:w="460" w:type="dxa"/>
            <w:vAlign w:val="bottom"/>
          </w:tcPr>
          <w:p>
            <w:pPr>
              <w:ind w:left="24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2"/>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Reviews and makes recommendations to the Board with respect to corporate governance matters</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Gerald S. Adolph</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140" w:type="dxa"/>
            <w:vAlign w:val="bottom"/>
          </w:tcPr>
          <w:p>
            <w:pPr>
              <w:ind w:left="160"/>
              <w:spacing w:after="0"/>
              <w:rPr>
                <w:sz w:val="20"/>
                <w:szCs w:val="20"/>
                <w:color w:val="auto"/>
              </w:rPr>
            </w:pPr>
            <w:r>
              <w:rPr>
                <w:rFonts w:ascii="Arial" w:cs="Arial" w:eastAsia="Arial" w:hAnsi="Arial"/>
                <w:sz w:val="16"/>
                <w:szCs w:val="16"/>
                <w:color w:val="auto"/>
              </w:rPr>
              <w:t>generally</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tcPr>
          <w:p>
            <w:pPr>
              <w:ind w:left="280"/>
              <w:spacing w:after="0"/>
              <w:rPr>
                <w:sz w:val="20"/>
                <w:szCs w:val="20"/>
                <w:color w:val="auto"/>
              </w:rPr>
            </w:pPr>
            <w:r>
              <w:rPr>
                <w:rFonts w:ascii="Arial" w:cs="Arial" w:eastAsia="Arial" w:hAnsi="Arial"/>
                <w:sz w:val="16"/>
                <w:szCs w:val="16"/>
                <w:color w:val="auto"/>
              </w:rPr>
              <w:t>(Chair)</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Engages in succession planning for our Board of Directors</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20" w:type="dxa"/>
            <w:vAlign w:val="bottom"/>
          </w:tcPr>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Robert S. Cubbin</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Makes recommendations to the Board regarding the size, composition, and leadership structure of</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Amala Duggirala</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140" w:type="dxa"/>
            <w:vAlign w:val="bottom"/>
          </w:tcPr>
          <w:p>
            <w:pPr>
              <w:ind w:left="160"/>
              <w:spacing w:after="0"/>
              <w:rPr>
                <w:sz w:val="20"/>
                <w:szCs w:val="20"/>
                <w:color w:val="auto"/>
              </w:rPr>
            </w:pPr>
            <w:r>
              <w:rPr>
                <w:rFonts w:ascii="Arial" w:cs="Arial" w:eastAsia="Arial" w:hAnsi="Arial"/>
                <w:sz w:val="16"/>
                <w:szCs w:val="16"/>
                <w:color w:val="auto"/>
              </w:rPr>
              <w:t>the Board and its committees</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InaMarie F. Johnson</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7140" w:type="dxa"/>
            <w:vAlign w:val="bottom"/>
            <w:vMerge w:val="restart"/>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Identifies and assesses the independence, backgrounds, and skills required for members of the</w:t>
            </w: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71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140" w:type="dxa"/>
            <w:vAlign w:val="bottom"/>
          </w:tcPr>
          <w:p>
            <w:pPr>
              <w:ind w:left="160"/>
              <w:spacing w:after="0" w:line="183" w:lineRule="exact"/>
              <w:rPr>
                <w:sz w:val="20"/>
                <w:szCs w:val="20"/>
                <w:color w:val="auto"/>
              </w:rPr>
            </w:pPr>
            <w:r>
              <w:rPr>
                <w:rFonts w:ascii="Arial" w:cs="Arial" w:eastAsia="Arial" w:hAnsi="Arial"/>
                <w:sz w:val="16"/>
                <w:szCs w:val="16"/>
                <w:color w:val="auto"/>
              </w:rPr>
              <w:t>Board and Board committees</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tcPr>
          <w:p>
            <w:pPr>
              <w:ind w:left="140"/>
              <w:spacing w:after="0" w:line="183" w:lineRule="exact"/>
              <w:rPr>
                <w:sz w:val="20"/>
                <w:szCs w:val="20"/>
                <w:color w:val="auto"/>
              </w:rPr>
            </w:pPr>
            <w:r>
              <w:rPr>
                <w:rFonts w:ascii="Arial" w:cs="Arial" w:eastAsia="Arial" w:hAnsi="Arial"/>
                <w:sz w:val="16"/>
                <w:szCs w:val="16"/>
                <w:b w:val="1"/>
                <w:bCs w:val="1"/>
                <w:color w:val="auto"/>
              </w:rPr>
              <w:t>Meetings in 2023:</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Identifies, considers, and recommends, consistent with criteria approved by the Board, qualified</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20" w:type="dxa"/>
            <w:vAlign w:val="bottom"/>
            <w:vMerge w:val="restart"/>
          </w:tcPr>
          <w:p>
            <w:pPr>
              <w:ind w:left="140"/>
              <w:spacing w:after="0"/>
              <w:rPr>
                <w:sz w:val="20"/>
                <w:szCs w:val="20"/>
                <w:color w:val="auto"/>
              </w:rPr>
            </w:pPr>
            <w:r>
              <w:rPr>
                <w:rFonts w:ascii="Arial" w:cs="Arial" w:eastAsia="Arial" w:hAnsi="Arial"/>
                <w:sz w:val="35"/>
                <w:szCs w:val="35"/>
                <w:b w:val="1"/>
                <w:bCs w:val="1"/>
                <w:color w:val="0A9E50"/>
              </w:rPr>
              <w:t>4</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140" w:type="dxa"/>
            <w:vAlign w:val="bottom"/>
          </w:tcPr>
          <w:p>
            <w:pPr>
              <w:ind w:left="160"/>
              <w:spacing w:after="0"/>
              <w:rPr>
                <w:sz w:val="20"/>
                <w:szCs w:val="20"/>
                <w:color w:val="auto"/>
              </w:rPr>
            </w:pPr>
            <w:r>
              <w:rPr>
                <w:rFonts w:ascii="Arial" w:cs="Arial" w:eastAsia="Arial" w:hAnsi="Arial"/>
                <w:sz w:val="16"/>
                <w:szCs w:val="16"/>
                <w:color w:val="auto"/>
                <w:w w:val="98"/>
              </w:rPr>
              <w:t>candidates for election as directors, including the slate of directors to be nominated by the Board for</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5066665</wp:posOffset>
            </wp:positionH>
            <wp:positionV relativeFrom="paragraph">
              <wp:posOffset>-1396365</wp:posOffset>
            </wp:positionV>
            <wp:extent cx="1875155" cy="23463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75155" cy="234632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election at the Company’s Annual Meeting</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Oversees the orientation and education of new directors</w:t>
      </w:r>
    </w:p>
    <w:p>
      <w:pPr>
        <w:spacing w:after="0" w:line="87" w:lineRule="exact"/>
        <w:rPr>
          <w:sz w:val="20"/>
          <w:szCs w:val="20"/>
          <w:color w:val="auto"/>
        </w:rPr>
      </w:pPr>
    </w:p>
    <w:p>
      <w:pPr>
        <w:ind w:left="480" w:right="3760" w:hanging="155"/>
        <w:spacing w:after="0" w:line="298"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Facilitates the annual assessment of the performance of the Board and its committees, as well as</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the director peer review</w:t>
      </w:r>
    </w:p>
    <w:p>
      <w:pPr>
        <w:spacing w:after="0" w:line="13" w:lineRule="exact"/>
        <w:rPr>
          <w:sz w:val="20"/>
          <w:szCs w:val="20"/>
          <w:color w:val="auto"/>
        </w:rPr>
      </w:pPr>
    </w:p>
    <w:p>
      <w:pPr>
        <w:ind w:left="480" w:right="3840" w:hanging="155"/>
        <w:spacing w:after="0" w:line="296"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Oversees and periodically reports to the Board on matters concerning the Company’s Corporate</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ESG Strategy including corporate responsibility and sustainability performance</w:t>
      </w:r>
    </w:p>
    <w:p>
      <w:pPr>
        <w:spacing w:after="0" w:line="15" w:lineRule="exact"/>
        <w:rPr>
          <w:sz w:val="20"/>
          <w:szCs w:val="20"/>
          <w:color w:val="auto"/>
        </w:rPr>
      </w:pPr>
    </w:p>
    <w:p>
      <w:pPr>
        <w:ind w:left="480" w:right="3780" w:hanging="155"/>
        <w:spacing w:after="0" w:line="296"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Reviews and makes recommendations to the Board regarding corporate governance trends, best</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practices, and regulations applicable to the corporate governance of the Company</w:t>
      </w:r>
    </w:p>
    <w:p>
      <w:pPr>
        <w:spacing w:after="0" w:line="30"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26 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Corporate Governance</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Risk Governance and Oversight</w:t>
      </w:r>
    </w:p>
    <w:p>
      <w:pPr>
        <w:spacing w:after="0" w:line="85" w:lineRule="exact"/>
        <w:rPr>
          <w:sz w:val="20"/>
          <w:szCs w:val="20"/>
          <w:color w:val="auto"/>
        </w:rPr>
      </w:pPr>
    </w:p>
    <w:p>
      <w:pPr>
        <w:ind w:left="320" w:right="220"/>
        <w:spacing w:after="0" w:line="265" w:lineRule="auto"/>
        <w:rPr>
          <w:sz w:val="20"/>
          <w:szCs w:val="20"/>
          <w:color w:val="auto"/>
        </w:rPr>
      </w:pPr>
      <w:r>
        <w:rPr>
          <w:rFonts w:ascii="Arial" w:cs="Arial" w:eastAsia="Arial" w:hAnsi="Arial"/>
          <w:sz w:val="16"/>
          <w:szCs w:val="16"/>
          <w:color w:val="auto"/>
        </w:rPr>
        <w:t>Risk is inherent in business, and while management is responsible for managing risk, the Board’s oversight, assessment, and decisions regarding risks occur in conjunction with the other activities of the Board and its committees.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Risk Governance and Oversight Responsibilities</w:t>
      </w:r>
    </w:p>
    <w:p>
      <w:pPr>
        <w:spacing w:after="0" w:line="150"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0A9E50"/>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60960</wp:posOffset>
            </wp:positionV>
            <wp:extent cx="67405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94" w:lineRule="exact"/>
        <w:rPr>
          <w:sz w:val="20"/>
          <w:szCs w:val="20"/>
          <w:color w:val="auto"/>
        </w:rPr>
      </w:pPr>
    </w:p>
    <w:p>
      <w:pPr>
        <w:ind w:left="440" w:right="140"/>
        <w:spacing w:after="0" w:line="244" w:lineRule="auto"/>
        <w:rPr>
          <w:sz w:val="20"/>
          <w:szCs w:val="20"/>
          <w:color w:val="auto"/>
        </w:rPr>
      </w:pPr>
      <w:r>
        <w:rPr>
          <w:rFonts w:ascii="Arial" w:cs="Arial" w:eastAsia="Arial" w:hAnsi="Arial"/>
          <w:sz w:val="16"/>
          <w:szCs w:val="16"/>
          <w:color w:val="auto"/>
        </w:rPr>
        <w:t>Oversees mission critical risks to the Company, including strategic issues and risks, as well as management’s actions to address and mitigate those risks. The Board receives reports at regular Board meetings from the committee chairs regarding committees’ risk oversight activities. These reports and Board attention focus on risk management strategy and risks of greatest significance and seek to ensure that risks assumed by the Company are consistent with the Company’s risk tolerance and risk appetite. Risk oversight is also addressed as part of the full Board’s regular oversight of strategic planning.</w:t>
      </w:r>
    </w:p>
    <w:p>
      <w:pPr>
        <w:sectPr>
          <w:pgSz w:w="11900" w:h="16838" w:orient="portrait"/>
          <w:cols w:equalWidth="0" w:num="1">
            <w:col w:w="10940"/>
          </w:cols>
          <w:pgMar w:left="320" w:top="471" w:right="639" w:bottom="1440" w:gutter="0" w:footer="0" w:header="0"/>
        </w:sectPr>
      </w:pPr>
    </w:p>
    <w:p>
      <w:pPr>
        <w:spacing w:after="0" w:line="381"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0A9E50"/>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11430</wp:posOffset>
            </wp:positionV>
            <wp:extent cx="2362835" cy="25939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62835" cy="2593975"/>
                    </a:xfrm>
                    <a:prstGeom prst="rect">
                      <a:avLst/>
                    </a:prstGeom>
                    <a:noFill/>
                  </pic:spPr>
                </pic:pic>
              </a:graphicData>
            </a:graphic>
          </wp:anchor>
        </w:drawing>
      </w:r>
    </w:p>
    <w:p>
      <w:pPr>
        <w:spacing w:after="0" w:line="7" w:lineRule="exact"/>
        <w:rPr>
          <w:sz w:val="20"/>
          <w:szCs w:val="20"/>
          <w:color w:val="auto"/>
        </w:rPr>
      </w:pPr>
    </w:p>
    <w:p>
      <w:pPr>
        <w:ind w:left="540" w:right="200" w:hanging="225"/>
        <w:spacing w:after="0" w:line="238" w:lineRule="auto"/>
        <w:tabs>
          <w:tab w:leader="none" w:pos="52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Provides oversight of risks, and management’s mitigations of same, that could have a financial impact, such as financial reporting and disclosure, accounting practices, internal controls, conflicts of interest, compliance with legal and regulatory requirements, and cybersecurity</w:t>
      </w:r>
    </w:p>
    <w:p>
      <w:pPr>
        <w:spacing w:after="0" w:line="43" w:lineRule="exact"/>
        <w:rPr>
          <w:sz w:val="20"/>
          <w:szCs w:val="20"/>
          <w:color w:val="auto"/>
        </w:rPr>
      </w:pPr>
    </w:p>
    <w:p>
      <w:pPr>
        <w:ind w:left="540" w:right="160" w:hanging="225"/>
        <w:spacing w:after="0" w:line="256" w:lineRule="auto"/>
        <w:tabs>
          <w:tab w:leader="none" w:pos="52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Oversees the Company’s overall risk management governance structure, risk assessment, and enterprise risk management processes</w:t>
      </w:r>
    </w:p>
    <w:p>
      <w:pPr>
        <w:spacing w:after="0" w:line="31" w:lineRule="exact"/>
        <w:rPr>
          <w:sz w:val="20"/>
          <w:szCs w:val="20"/>
          <w:color w:val="auto"/>
        </w:rPr>
      </w:pPr>
    </w:p>
    <w:p>
      <w:pPr>
        <w:jc w:val="both"/>
        <w:ind w:left="540" w:right="680" w:hanging="225"/>
        <w:spacing w:after="0" w:line="248" w:lineRule="auto"/>
        <w:tabs>
          <w:tab w:leader="none" w:pos="52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Oversees risks associated with information technology security, cybersecurity, artificial intelligence, and data privacy, and breach preparedness and response plans</w:t>
      </w:r>
    </w:p>
    <w:p>
      <w:pPr>
        <w:spacing w:after="0" w:line="37" w:lineRule="exact"/>
        <w:rPr>
          <w:sz w:val="20"/>
          <w:szCs w:val="20"/>
          <w:color w:val="auto"/>
        </w:rPr>
      </w:pPr>
    </w:p>
    <w:p>
      <w:pPr>
        <w:jc w:val="right"/>
        <w:ind w:left="320" w:right="140"/>
        <w:spacing w:after="0" w:line="279"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Reviews all quarterly and annual reports, including</w:t>
      </w:r>
      <w:r>
        <w:rPr>
          <w:rFonts w:ascii="Times New Roman" w:cs="Times New Roman" w:eastAsia="Times New Roman" w:hAnsi="Times New Roman"/>
          <w:sz w:val="12"/>
          <w:szCs w:val="12"/>
          <w:color w:val="0A9E50"/>
        </w:rPr>
        <w:t xml:space="preserve"> </w:t>
      </w:r>
      <w:r>
        <w:rPr>
          <w:rFonts w:ascii="Arial" w:cs="Arial" w:eastAsia="Arial" w:hAnsi="Arial"/>
          <w:sz w:val="14"/>
          <w:szCs w:val="14"/>
          <w:color w:val="000000"/>
        </w:rPr>
        <w:t>any disclosure of risk factors affecting the business</w:t>
      </w:r>
    </w:p>
    <w:p>
      <w:pPr>
        <w:spacing w:after="0" w:line="15" w:lineRule="exact"/>
        <w:rPr>
          <w:sz w:val="20"/>
          <w:szCs w:val="20"/>
          <w:color w:val="auto"/>
        </w:rPr>
      </w:pPr>
    </w:p>
    <w:p>
      <w:pPr>
        <w:ind w:left="540" w:hanging="225"/>
        <w:spacing w:after="0" w:line="234" w:lineRule="auto"/>
        <w:tabs>
          <w:tab w:leader="none" w:pos="52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Oversees the performance of the Company’s Internal Audit function including Chief Audit Executive (“CAE”)</w:t>
      </w:r>
    </w:p>
    <w:p>
      <w:pPr>
        <w:spacing w:after="0" w:line="42" w:lineRule="exact"/>
        <w:rPr>
          <w:sz w:val="20"/>
          <w:szCs w:val="20"/>
          <w:color w:val="auto"/>
        </w:rPr>
      </w:pPr>
    </w:p>
    <w:p>
      <w:pPr>
        <w:ind w:left="540" w:right="180" w:hanging="225"/>
        <w:spacing w:after="0" w:line="246" w:lineRule="auto"/>
        <w:tabs>
          <w:tab w:leader="none" w:pos="52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Reviews and approves Internal Audit’s budget and resource plan</w:t>
      </w:r>
    </w:p>
    <w:p>
      <w:pPr>
        <w:spacing w:after="0" w:line="37" w:lineRule="exact"/>
        <w:rPr>
          <w:sz w:val="20"/>
          <w:szCs w:val="20"/>
          <w:color w:val="auto"/>
        </w:rPr>
      </w:pPr>
    </w:p>
    <w:p>
      <w:pPr>
        <w:jc w:val="both"/>
        <w:ind w:left="540" w:right="500" w:hanging="225"/>
        <w:spacing w:after="0" w:line="234" w:lineRule="auto"/>
        <w:tabs>
          <w:tab w:leader="none" w:pos="52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Monitors the qualifications, performance, and independence of the Company’s independent auditors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A9E50"/>
        </w:rPr>
        <w:t>Compensation and Talent Management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A9E50"/>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21558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5825" cy="8255"/>
                    </a:xfrm>
                    <a:prstGeom prst="rect">
                      <a:avLst/>
                    </a:prstGeom>
                    <a:noFill/>
                  </pic:spPr>
                </pic:pic>
              </a:graphicData>
            </a:graphic>
          </wp:anchor>
        </w:drawing>
      </w:r>
    </w:p>
    <w:p>
      <w:pPr>
        <w:ind w:left="220" w:hanging="224"/>
        <w:spacing w:after="0" w:line="238"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Oversees our compensation plans, policies, and practices to ensure alignment with our Executive Compensation Risk Assessment Framework and reports to the Board any compensation program that is reasonably likely to have a material adverse effect on the Company</w:t>
      </w:r>
    </w:p>
    <w:p>
      <w:pPr>
        <w:spacing w:after="0" w:line="43" w:lineRule="exact"/>
        <w:rPr>
          <w:sz w:val="20"/>
          <w:szCs w:val="20"/>
          <w:color w:val="auto"/>
        </w:rPr>
      </w:pPr>
    </w:p>
    <w:p>
      <w:pPr>
        <w:ind w:left="220" w:right="140" w:hanging="224"/>
        <w:spacing w:after="0" w:line="227"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Together with the Committee’s independent consultant, provides input to management regarding their annual assessment of potential risks created by our compensation plans, policies, and practices</w:t>
      </w:r>
    </w:p>
    <w:p>
      <w:pPr>
        <w:spacing w:after="0" w:line="43" w:lineRule="exact"/>
        <w:rPr>
          <w:sz w:val="20"/>
          <w:szCs w:val="20"/>
          <w:color w:val="auto"/>
        </w:rPr>
      </w:pPr>
    </w:p>
    <w:p>
      <w:pPr>
        <w:ind w:left="220" w:right="40" w:hanging="224"/>
        <w:spacing w:after="0" w:line="242"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Sets performance goals under our annual and long-term incentive plans that provide an appropriate balance between the achievement of short- and long-term performance objectives, with emphasis on managing the sustainability of the business and mitigation of risk</w:t>
      </w:r>
    </w:p>
    <w:p>
      <w:pPr>
        <w:spacing w:after="0" w:line="41" w:lineRule="exact"/>
        <w:rPr>
          <w:sz w:val="20"/>
          <w:szCs w:val="20"/>
          <w:color w:val="auto"/>
        </w:rPr>
      </w:pPr>
    </w:p>
    <w:p>
      <w:pPr>
        <w:ind w:left="220" w:right="160" w:hanging="224"/>
        <w:spacing w:after="0" w:line="246"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Manages risk associated with CEO and senior officer succession planning</w:t>
      </w:r>
    </w:p>
    <w:p>
      <w:pPr>
        <w:spacing w:after="0" w:line="37" w:lineRule="exact"/>
        <w:rPr>
          <w:sz w:val="20"/>
          <w:szCs w:val="20"/>
          <w:color w:val="auto"/>
        </w:rPr>
      </w:pPr>
    </w:p>
    <w:p>
      <w:pPr>
        <w:ind w:left="220" w:right="220" w:hanging="224"/>
        <w:spacing w:after="0" w:line="246"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Oversees management of risks related to the Company’s human capital</w:t>
      </w:r>
    </w:p>
    <w:p>
      <w:pPr>
        <w:spacing w:after="0" w:line="3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Oversees the Company’s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164465</wp:posOffset>
            </wp:positionV>
            <wp:extent cx="67405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A9E50"/>
        </w:rPr>
        <w:t>Corporate Governance and Nominating</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A9E50"/>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2540</wp:posOffset>
            </wp:positionV>
            <wp:extent cx="2147570" cy="25939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47570" cy="2593975"/>
                    </a:xfrm>
                    <a:prstGeom prst="rect">
                      <a:avLst/>
                    </a:prstGeom>
                    <a:noFill/>
                  </pic:spPr>
                </pic:pic>
              </a:graphicData>
            </a:graphic>
          </wp:anchor>
        </w:drawing>
      </w:r>
    </w:p>
    <w:p>
      <w:pPr>
        <w:ind w:left="220" w:right="60" w:hanging="224"/>
        <w:spacing w:after="0" w:line="238"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Manages risk associated with governance issues, such as the independence, skills, experience and diversity of the Board and its committees, Board and committee effectiveness and organization, corporate governance, and director succession planning</w:t>
      </w:r>
    </w:p>
    <w:p>
      <w:pPr>
        <w:spacing w:after="0" w:line="43" w:lineRule="exact"/>
        <w:rPr>
          <w:sz w:val="20"/>
          <w:szCs w:val="20"/>
          <w:color w:val="auto"/>
        </w:rPr>
      </w:pPr>
    </w:p>
    <w:p>
      <w:pPr>
        <w:ind w:left="220" w:right="220" w:hanging="224"/>
        <w:spacing w:after="0" w:line="224"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Maintains Corporate Governance Principles and procedures designed to assure compliance with all applicable legal and regulatory requirements and governance standards and the Company’s Code of Business Conduct and Ethics and Insider Trading Policy</w:t>
      </w:r>
    </w:p>
    <w:p>
      <w:pPr>
        <w:spacing w:after="0" w:line="44" w:lineRule="exact"/>
        <w:rPr>
          <w:sz w:val="20"/>
          <w:szCs w:val="20"/>
          <w:color w:val="auto"/>
        </w:rPr>
      </w:pPr>
    </w:p>
    <w:p>
      <w:pPr>
        <w:ind w:left="200" w:right="80" w:hanging="224"/>
        <w:spacing w:after="0" w:line="256" w:lineRule="auto"/>
        <w:tabs>
          <w:tab w:leader="none" w:pos="18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Annually reviews the Company’s ESG Strategy, initiatives, and policies and monitors associated risk (including reputational)</w:t>
      </w:r>
    </w:p>
    <w:p>
      <w:pPr>
        <w:spacing w:after="0" w:line="31" w:lineRule="exact"/>
        <w:rPr>
          <w:sz w:val="20"/>
          <w:szCs w:val="20"/>
          <w:color w:val="auto"/>
        </w:rPr>
      </w:pPr>
    </w:p>
    <w:p>
      <w:pPr>
        <w:ind w:left="220" w:right="80" w:hanging="224"/>
        <w:spacing w:after="0" w:line="246"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Oversees emergency succession planning for the CEO and Chairman</w:t>
      </w:r>
    </w:p>
    <w:p>
      <w:pPr>
        <w:spacing w:after="0" w:line="37" w:lineRule="exact"/>
        <w:rPr>
          <w:sz w:val="20"/>
          <w:szCs w:val="20"/>
          <w:color w:val="auto"/>
        </w:rPr>
      </w:pPr>
    </w:p>
    <w:p>
      <w:pPr>
        <w:ind w:left="220" w:right="20" w:hanging="224"/>
        <w:spacing w:after="0" w:line="227"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Oversees the orientation and education of directors to ensure clear understanding of their Board responsibilities and recommends continuing education programs, as appropriate.</w:t>
      </w:r>
    </w:p>
    <w:p>
      <w:pPr>
        <w:spacing w:after="0" w:line="158" w:lineRule="exact"/>
        <w:rPr>
          <w:sz w:val="20"/>
          <w:szCs w:val="20"/>
          <w:color w:val="auto"/>
        </w:rPr>
      </w:pPr>
    </w:p>
    <w:p>
      <w:pPr>
        <w:sectPr>
          <w:pgSz w:w="11900" w:h="16838" w:orient="portrait"/>
          <w:cols w:equalWidth="0" w:num="3">
            <w:col w:w="4000" w:space="160"/>
            <w:col w:w="3380" w:space="120"/>
            <w:col w:w="3280"/>
          </w:cols>
          <w:pgMar w:left="320" w:top="471" w:right="639" w:bottom="1440" w:gutter="0" w:footer="0" w:header="0"/>
          <w:type w:val="continuous"/>
        </w:sectPr>
      </w:pP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-211455</wp:posOffset>
            </wp:positionV>
            <wp:extent cx="8255" cy="2228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Corporate Governance</w:t>
      </w:r>
    </w:p>
    <w:p>
      <w:pPr>
        <w:spacing w:after="0" w:line="166"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0A9E50"/>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3175</wp:posOffset>
            </wp:positionV>
            <wp:extent cx="67405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02" w:lineRule="exact"/>
        <w:rPr>
          <w:sz w:val="20"/>
          <w:szCs w:val="20"/>
          <w:color w:val="auto"/>
        </w:rPr>
      </w:pPr>
    </w:p>
    <w:p>
      <w:pPr>
        <w:ind w:left="440"/>
        <w:spacing w:after="0" w:line="241" w:lineRule="auto"/>
        <w:rPr>
          <w:sz w:val="20"/>
          <w:szCs w:val="20"/>
          <w:color w:val="auto"/>
        </w:rPr>
      </w:pPr>
      <w:r>
        <w:rPr>
          <w:rFonts w:ascii="Arial" w:cs="Arial" w:eastAsia="Arial" w:hAnsi="Arial"/>
          <w:sz w:val="16"/>
          <w:szCs w:val="16"/>
          <w:color w:val="auto"/>
        </w:rPr>
        <w:t>Management assesses and manages critical risks, including the execution of the Company’s Enterprise Risk Management (“ERM”) program. The Company’s risk-related departments and functions, in collaboration with the Vice President and Chief Risk, Compliance, and Privacy Officer (“Chief Risk Officer”), are responsible for risk assessment and mitigation. The Chief Risk Officer reports directly to the Company’s Senior Vice President, General Counsel and Corporate Secretary (“General Counsel”). For ESG-related risk, the Company maintains the ESG Advisory Committee to oversee goals and progress toward the achievement of goals as established by the ESG team. The ESG Advisory Committee meets monthly and includes the following members from cross-functional areas of the organization: the Company’s General Counsel, Chief Financial Officer, Chief People Officer, Chief Risk Officer, Chief Diversity Officer, Chief Accounting Officer, Chief Audit Executive, Corporate Sustainability Specialist, and representatives from the Company’s business units. The General Counsel reports results of the ESG Advisory Committee reviews to the Corporate Governance and Nominating Committee on a quarterly basis.</w:t>
      </w:r>
    </w:p>
    <w:p>
      <w:pPr>
        <w:spacing w:after="0" w:line="93" w:lineRule="exact"/>
        <w:rPr>
          <w:sz w:val="20"/>
          <w:szCs w:val="20"/>
          <w:color w:val="auto"/>
        </w:rPr>
      </w:pPr>
    </w:p>
    <w:p>
      <w:pPr>
        <w:ind w:left="440" w:right="580"/>
        <w:spacing w:after="0" w:line="265" w:lineRule="auto"/>
        <w:rPr>
          <w:sz w:val="20"/>
          <w:szCs w:val="20"/>
          <w:color w:val="auto"/>
        </w:rPr>
      </w:pPr>
      <w:r>
        <w:rPr>
          <w:rFonts w:ascii="Arial" w:cs="Arial" w:eastAsia="Arial" w:hAnsi="Arial"/>
          <w:sz w:val="16"/>
          <w:szCs w:val="16"/>
          <w:color w:val="auto"/>
        </w:rPr>
        <w:t>With respect to the risk assessment of the Company’s compensation programs, management is responsible for the framework and approach as outlined below under Risk Assessment of Employee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30480</wp:posOffset>
            </wp:positionV>
            <wp:extent cx="67405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33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Enterprise Risk Management Program</w:t>
      </w:r>
    </w:p>
    <w:p>
      <w:pPr>
        <w:spacing w:after="0" w:line="82" w:lineRule="exact"/>
        <w:rPr>
          <w:sz w:val="20"/>
          <w:szCs w:val="20"/>
          <w:color w:val="auto"/>
        </w:rPr>
      </w:pPr>
    </w:p>
    <w:p>
      <w:pPr>
        <w:ind w:left="320" w:right="200"/>
        <w:spacing w:after="0" w:line="244" w:lineRule="auto"/>
        <w:rPr>
          <w:sz w:val="20"/>
          <w:szCs w:val="20"/>
          <w:color w:val="auto"/>
        </w:rPr>
      </w:pPr>
      <w:r>
        <w:rPr>
          <w:rFonts w:ascii="Arial" w:cs="Arial" w:eastAsia="Arial" w:hAnsi="Arial"/>
          <w:sz w:val="16"/>
          <w:szCs w:val="16"/>
          <w:color w:val="auto"/>
        </w:rPr>
        <w:t>The Company’s ERM program serves as the primary means of identifying and managing the Company’s key risks. The Company’s ERM team, among other activities, performs assessments of risks to the Company, participates in the development and execution of mitigation programs for critical risks, facilitates the corporate risk appetite and tolerance statement, oversees the privacy governance function, provides risk assessment, guidance, and mitigation related to cybersecurity, and assists in the integration of risk concepts within the Company’s strategic planning process and in alignment with the functional and business risk owners.</w:t>
      </w:r>
    </w:p>
    <w:p>
      <w:pPr>
        <w:spacing w:after="0" w:line="40" w:lineRule="exact"/>
        <w:rPr>
          <w:sz w:val="20"/>
          <w:szCs w:val="20"/>
          <w:color w:val="auto"/>
        </w:rPr>
      </w:pPr>
    </w:p>
    <w:p>
      <w:pPr>
        <w:ind w:left="320" w:right="260"/>
        <w:spacing w:after="0" w:line="244" w:lineRule="auto"/>
        <w:rPr>
          <w:sz w:val="20"/>
          <w:szCs w:val="20"/>
          <w:color w:val="auto"/>
        </w:rPr>
      </w:pPr>
      <w:r>
        <w:rPr>
          <w:rFonts w:ascii="Arial" w:cs="Arial" w:eastAsia="Arial" w:hAnsi="Arial"/>
          <w:sz w:val="16"/>
          <w:szCs w:val="16"/>
          <w:color w:val="auto"/>
        </w:rPr>
        <w:t>The ERM team reports its findings to the Audit Committee on a quarterly basis, providing both written reports and in-person presentations. Its current activities remain focused on mitigation and oversight of specific risk exposures, analysis of the breadth and effectiveness of existing risk management practices, and maturation of measurement and monitoring practices concerning high-priority strategic and operational risks. Current areas of particular emphasis include cybersecurity, artificial intelligence, data privacy, strategic risk , integration of risk appetite practices into the Company’s ongoing operations, wage-hour risk , third-party risk , and improvements to the Company’s compliance governance practices.</w:t>
      </w:r>
    </w:p>
    <w:p>
      <w:pPr>
        <w:spacing w:after="0" w:line="40" w:lineRule="exact"/>
        <w:rPr>
          <w:sz w:val="20"/>
          <w:szCs w:val="20"/>
          <w:color w:val="auto"/>
        </w:rPr>
      </w:pPr>
    </w:p>
    <w:p>
      <w:pPr>
        <w:ind w:left="320" w:right="40"/>
        <w:spacing w:after="0" w:line="246" w:lineRule="auto"/>
        <w:rPr>
          <w:sz w:val="20"/>
          <w:szCs w:val="20"/>
          <w:color w:val="auto"/>
        </w:rPr>
      </w:pPr>
      <w:r>
        <w:rPr>
          <w:rFonts w:ascii="Arial" w:cs="Arial" w:eastAsia="Arial" w:hAnsi="Arial"/>
          <w:sz w:val="16"/>
          <w:szCs w:val="16"/>
          <w:color w:val="auto"/>
        </w:rPr>
        <w:t>The Company’s information technology and internal audit groups provide regular quarterly updates to the Audit Committee with respect to the Company’s proactive approach to cybersecurity and other compliance controls. Controls are reviewed for operational effectiveness and to provide reasonable assurance that: business risk is managed; data, corporate information, and other assets are safeguarded; business processing infrastructure and applications are maintained; and all risks are mitigated to the extent practicable.</w:t>
      </w:r>
    </w:p>
    <w:p>
      <w:pPr>
        <w:spacing w:after="0" w:line="52" w:lineRule="exact"/>
        <w:rPr>
          <w:sz w:val="20"/>
          <w:szCs w:val="20"/>
          <w:color w:val="auto"/>
        </w:rPr>
      </w:pPr>
    </w:p>
    <w:p>
      <w:pPr>
        <w:ind w:left="320"/>
        <w:spacing w:after="0" w:line="284" w:lineRule="auto"/>
        <w:rPr>
          <w:sz w:val="20"/>
          <w:szCs w:val="20"/>
          <w:color w:val="auto"/>
        </w:rPr>
      </w:pPr>
      <w:r>
        <w:rPr>
          <w:rFonts w:ascii="Arial" w:cs="Arial" w:eastAsia="Arial" w:hAnsi="Arial"/>
          <w:sz w:val="14"/>
          <w:szCs w:val="14"/>
          <w:color w:val="auto"/>
        </w:rPr>
        <w:t>The Company’s ERM program provides ongoing risk identification, oversight, guidance, and mitigation in coordination with the Company’s information technology group. Teams from the Company’s information technology, data privacy, and compliance functions coordinate on cybersecurity, artificial intelligence, and privacy governance. This includes internal monitoring to proactively identify potential security threats, maintenance of access controls, asset management, response and recovery activities, and training and awareness programs. The company’s training program provides specialized training on a quarterly basis to employees and directors, including mandatory new hire cyber and privacy training, two focused cyber trainings per quarter, and monthly training exercises for identifying phishing attempts. Evaluation of these practices is reported to the Audit Committee on a quarterly basis.</w:t>
      </w:r>
    </w:p>
    <w:p>
      <w:pPr>
        <w:spacing w:after="0" w:line="15" w:lineRule="exact"/>
        <w:rPr>
          <w:sz w:val="20"/>
          <w:szCs w:val="20"/>
          <w:color w:val="auto"/>
        </w:rPr>
      </w:pPr>
    </w:p>
    <w:p>
      <w:pPr>
        <w:jc w:val="both"/>
        <w:ind w:left="320" w:right="520"/>
        <w:spacing w:after="0" w:line="251" w:lineRule="auto"/>
        <w:rPr>
          <w:sz w:val="20"/>
          <w:szCs w:val="20"/>
          <w:color w:val="auto"/>
        </w:rPr>
      </w:pPr>
      <w:r>
        <w:rPr>
          <w:rFonts w:ascii="Arial" w:cs="Arial" w:eastAsia="Arial" w:hAnsi="Arial"/>
          <w:sz w:val="16"/>
          <w:szCs w:val="16"/>
          <w:color w:val="auto"/>
        </w:rPr>
        <w:t>In addition to the reports submitted quarterly by the Company’s Chief Risk Officer, the Vice President of Internal Audit independently assesses the Company’s risk management process and separately reports on the effectiveness of the Company’s risk identification, prioritization, and mitigation processes to the Audit Committee.</w:t>
      </w:r>
    </w:p>
    <w:p>
      <w:pPr>
        <w:spacing w:after="0" w:line="34" w:lineRule="exact"/>
        <w:rPr>
          <w:sz w:val="20"/>
          <w:szCs w:val="20"/>
          <w:color w:val="auto"/>
        </w:rPr>
      </w:pPr>
    </w:p>
    <w:p>
      <w:pPr>
        <w:jc w:val="both"/>
        <w:ind w:left="320" w:right="380"/>
        <w:spacing w:after="0" w:line="251" w:lineRule="auto"/>
        <w:rPr>
          <w:sz w:val="20"/>
          <w:szCs w:val="20"/>
          <w:color w:val="auto"/>
        </w:rPr>
      </w:pPr>
      <w:r>
        <w:rPr>
          <w:rFonts w:ascii="Arial" w:cs="Arial" w:eastAsia="Arial" w:hAnsi="Arial"/>
          <w:sz w:val="16"/>
          <w:szCs w:val="16"/>
          <w:color w:val="auto"/>
        </w:rPr>
        <w:t>The ERM team plays a key role in the Company’s response to domestic and global crises, e.g. the COVID-19 pandemic and the Russian invasion of Ukraine, providing Board updates and scenario planning regarding impacts on cybersecurity, employee health and safety, corporate operations, and global markets.</w:t>
      </w:r>
    </w:p>
    <w:p>
      <w:pPr>
        <w:spacing w:after="0" w:line="49"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28 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20"/>
          </w:cols>
          <w:pgMar w:left="320" w:top="471" w:right="6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384175</wp:posOffset>
            </wp:positionV>
            <wp:extent cx="6740525" cy="27260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4052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INFORMATION SECURITY AND BUSINESS CONTINUITY</w:t>
      </w:r>
    </w:p>
    <w:p>
      <w:pPr>
        <w:spacing w:after="0" w:line="167"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Emergency Management Team</w:t>
      </w:r>
    </w:p>
    <w:p>
      <w:pPr>
        <w:spacing w:after="0" w:line="78"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Global, interdepartmental group empowered to quickly</w:t>
      </w:r>
    </w:p>
    <w:p>
      <w:pPr>
        <w:ind w:left="320"/>
        <w:spacing w:after="0"/>
        <w:tabs>
          <w:tab w:leader="none" w:pos="1620" w:val="left"/>
        </w:tabs>
        <w:rPr>
          <w:sz w:val="20"/>
          <w:szCs w:val="20"/>
          <w:color w:val="auto"/>
        </w:rPr>
      </w:pPr>
      <w:r>
        <w:rPr>
          <w:rFonts w:ascii="Arial" w:cs="Arial" w:eastAsia="Arial" w:hAnsi="Arial"/>
          <w:sz w:val="16"/>
          <w:szCs w:val="16"/>
          <w:color w:val="auto"/>
        </w:rPr>
        <w:t xml:space="preserve">    </w:t>
      </w:r>
      <w:r>
        <w:rPr>
          <w:sz w:val="20"/>
          <w:szCs w:val="20"/>
          <w:color w:val="auto"/>
        </w:rPr>
        <w:tab/>
      </w:r>
      <w:r>
        <w:rPr>
          <w:rFonts w:ascii="Arial" w:cs="Arial" w:eastAsia="Arial" w:hAnsi="Arial"/>
          <w:sz w:val="14"/>
          <w:szCs w:val="14"/>
          <w:color w:val="auto"/>
        </w:rPr>
        <w:t>make strategic decisions in response to critical events that</w:t>
      </w:r>
    </w:p>
    <w:p>
      <w:pPr>
        <w:spacing w:after="0" w:line="13"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affect our employees or facilities.</w:t>
      </w:r>
    </w:p>
    <w:p>
      <w:pPr>
        <w:spacing w:after="0" w:line="11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Business Continuity Plan Testing</w:t>
      </w:r>
    </w:p>
    <w:p>
      <w:pPr>
        <w:spacing w:after="0" w:line="78"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Kelly’s Business Continuity and IT Disaster Recovery</w:t>
      </w:r>
    </w:p>
    <w:p>
      <w:pPr>
        <w:ind w:left="320"/>
        <w:spacing w:after="0"/>
        <w:tabs>
          <w:tab w:leader="none" w:pos="1620" w:val="left"/>
        </w:tabs>
        <w:rPr>
          <w:sz w:val="20"/>
          <w:szCs w:val="20"/>
          <w:color w:val="auto"/>
        </w:rPr>
      </w:pPr>
      <w:r>
        <w:rPr>
          <w:rFonts w:ascii="Arial" w:cs="Arial" w:eastAsia="Arial" w:hAnsi="Arial"/>
          <w:sz w:val="16"/>
          <w:szCs w:val="16"/>
          <w:color w:val="auto"/>
        </w:rPr>
        <w:t xml:space="preserve">    </w:t>
      </w:r>
      <w:r>
        <w:rPr>
          <w:sz w:val="20"/>
          <w:szCs w:val="20"/>
          <w:color w:val="auto"/>
        </w:rPr>
        <w:tab/>
      </w:r>
      <w:r>
        <w:rPr>
          <w:rFonts w:ascii="Arial" w:cs="Arial" w:eastAsia="Arial" w:hAnsi="Arial"/>
          <w:sz w:val="14"/>
          <w:szCs w:val="14"/>
          <w:color w:val="auto"/>
        </w:rPr>
        <w:t>programs are tested at least annually and most recently</w:t>
      </w:r>
    </w:p>
    <w:p>
      <w:pPr>
        <w:spacing w:after="0" w:line="13" w:lineRule="exact"/>
        <w:rPr>
          <w:sz w:val="20"/>
          <w:szCs w:val="20"/>
          <w:color w:val="auto"/>
        </w:rPr>
      </w:pPr>
    </w:p>
    <w:p>
      <w:pPr>
        <w:ind w:left="1640" w:right="760"/>
        <w:spacing w:after="0" w:line="242" w:lineRule="auto"/>
        <w:rPr>
          <w:sz w:val="20"/>
          <w:szCs w:val="20"/>
          <w:color w:val="auto"/>
        </w:rPr>
      </w:pPr>
      <w:r>
        <w:rPr>
          <w:rFonts w:ascii="Arial" w:cs="Arial" w:eastAsia="Arial" w:hAnsi="Arial"/>
          <w:sz w:val="16"/>
          <w:szCs w:val="16"/>
          <w:color w:val="auto"/>
        </w:rPr>
        <w:t>tested in August 2023 and October 2023, respectively. These plans performed successfully in practice and real-world scenarios.</w:t>
      </w:r>
    </w:p>
    <w:p>
      <w:pPr>
        <w:spacing w:after="0" w:line="104" w:lineRule="exact"/>
        <w:rPr>
          <w:sz w:val="20"/>
          <w:szCs w:val="20"/>
          <w:color w:val="auto"/>
        </w:rPr>
      </w:pPr>
    </w:p>
    <w:tbl>
      <w:tblPr>
        <w:tblLayout w:type="fixed"/>
        <w:tblInd w:w="320" w:type="dxa"/>
        <w:tblCellMar>
          <w:top w:w="0" w:type="dxa"/>
          <w:left w:w="0" w:type="dxa"/>
          <w:bottom w:w="0" w:type="dxa"/>
          <w:right w:w="0" w:type="dxa"/>
        </w:tblCellMar>
      </w:tblPr>
      <w:tr>
        <w:trPr>
          <w:trHeight w:val="215"/>
        </w:trPr>
        <w:tc>
          <w:tcPr>
            <w:tcW w:w="760" w:type="dxa"/>
            <w:vAlign w:val="bottom"/>
          </w:tcPr>
          <w:p>
            <w:pPr>
              <w:spacing w:after="0"/>
              <w:rPr>
                <w:sz w:val="18"/>
                <w:szCs w:val="18"/>
                <w:color w:val="auto"/>
              </w:rPr>
            </w:pPr>
          </w:p>
        </w:tc>
        <w:tc>
          <w:tcPr>
            <w:tcW w:w="4500" w:type="dxa"/>
            <w:vAlign w:val="bottom"/>
          </w:tcPr>
          <w:p>
            <w:pPr>
              <w:ind w:left="560"/>
              <w:spacing w:after="0"/>
              <w:rPr>
                <w:sz w:val="20"/>
                <w:szCs w:val="20"/>
                <w:color w:val="auto"/>
              </w:rPr>
            </w:pPr>
            <w:r>
              <w:rPr>
                <w:rFonts w:ascii="Arial" w:cs="Arial" w:eastAsia="Arial" w:hAnsi="Arial"/>
                <w:sz w:val="16"/>
                <w:szCs w:val="16"/>
                <w:b w:val="1"/>
                <w:bCs w:val="1"/>
                <w:color w:val="auto"/>
              </w:rPr>
              <w:t>Cyber Governance</w:t>
            </w:r>
          </w:p>
        </w:tc>
        <w:tc>
          <w:tcPr>
            <w:tcW w:w="0" w:type="dxa"/>
            <w:vAlign w:val="bottom"/>
          </w:tcPr>
          <w:p>
            <w:pPr>
              <w:spacing w:after="0"/>
              <w:rPr>
                <w:sz w:val="1"/>
                <w:szCs w:val="1"/>
                <w:color w:val="auto"/>
              </w:rPr>
            </w:pPr>
          </w:p>
        </w:tc>
      </w:tr>
      <w:tr>
        <w:trPr>
          <w:trHeight w:val="229"/>
        </w:trPr>
        <w:tc>
          <w:tcPr>
            <w:tcW w:w="760" w:type="dxa"/>
            <w:vAlign w:val="bottom"/>
            <w:vMerge w:val="restart"/>
          </w:tcPr>
          <w:p>
            <w:pPr>
              <w:spacing w:after="0"/>
              <w:rPr>
                <w:sz w:val="20"/>
                <w:szCs w:val="20"/>
                <w:color w:val="auto"/>
              </w:rPr>
            </w:pPr>
            <w:r>
              <w:rPr>
                <w:rFonts w:ascii="Arial" w:cs="Arial" w:eastAsia="Arial" w:hAnsi="Arial"/>
                <w:sz w:val="16"/>
                <w:szCs w:val="16"/>
                <w:color w:val="auto"/>
              </w:rPr>
              <w:t xml:space="preserve">    </w:t>
            </w:r>
          </w:p>
        </w:tc>
        <w:tc>
          <w:tcPr>
            <w:tcW w:w="4500" w:type="dxa"/>
            <w:vAlign w:val="bottom"/>
          </w:tcPr>
          <w:p>
            <w:pPr>
              <w:ind w:left="560"/>
              <w:spacing w:after="0"/>
              <w:rPr>
                <w:sz w:val="20"/>
                <w:szCs w:val="20"/>
                <w:color w:val="auto"/>
              </w:rPr>
            </w:pPr>
            <w:r>
              <w:rPr>
                <w:rFonts w:ascii="Arial" w:cs="Arial" w:eastAsia="Arial" w:hAnsi="Arial"/>
                <w:sz w:val="16"/>
                <w:szCs w:val="16"/>
                <w:color w:val="auto"/>
                <w:w w:val="96"/>
              </w:rPr>
              <w:t>Kelly uses external frameworks to assess the Company’s</w:t>
            </w:r>
          </w:p>
        </w:tc>
        <w:tc>
          <w:tcPr>
            <w:tcW w:w="0" w:type="dxa"/>
            <w:vAlign w:val="bottom"/>
          </w:tcPr>
          <w:p>
            <w:pPr>
              <w:spacing w:after="0"/>
              <w:rPr>
                <w:sz w:val="1"/>
                <w:szCs w:val="1"/>
                <w:color w:val="auto"/>
              </w:rPr>
            </w:pPr>
          </w:p>
        </w:tc>
      </w:tr>
      <w:tr>
        <w:trPr>
          <w:trHeight w:val="114"/>
        </w:trPr>
        <w:tc>
          <w:tcPr>
            <w:tcW w:w="760" w:type="dxa"/>
            <w:vAlign w:val="bottom"/>
            <w:vMerge w:val="continue"/>
          </w:tcPr>
          <w:p>
            <w:pPr>
              <w:spacing w:after="0"/>
              <w:rPr>
                <w:sz w:val="9"/>
                <w:szCs w:val="9"/>
                <w:color w:val="auto"/>
              </w:rPr>
            </w:pPr>
          </w:p>
        </w:tc>
        <w:tc>
          <w:tcPr>
            <w:tcW w:w="4500" w:type="dxa"/>
            <w:vAlign w:val="bottom"/>
            <w:vMerge w:val="restart"/>
          </w:tcPr>
          <w:p>
            <w:pPr>
              <w:ind w:left="560"/>
              <w:spacing w:after="0" w:line="182" w:lineRule="exact"/>
              <w:rPr>
                <w:sz w:val="20"/>
                <w:szCs w:val="20"/>
                <w:color w:val="auto"/>
              </w:rPr>
            </w:pPr>
            <w:r>
              <w:rPr>
                <w:rFonts w:ascii="Arial" w:cs="Arial" w:eastAsia="Arial" w:hAnsi="Arial"/>
                <w:sz w:val="16"/>
                <w:szCs w:val="16"/>
                <w:color w:val="auto"/>
              </w:rPr>
              <w:t>cybersecurity maturity as well as internal governance</w:t>
            </w: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760" w:type="dxa"/>
            <w:vAlign w:val="bottom"/>
          </w:tcPr>
          <w:p>
            <w:pPr>
              <w:spacing w:after="0"/>
              <w:rPr>
                <w:sz w:val="17"/>
                <w:szCs w:val="17"/>
                <w:color w:val="auto"/>
              </w:rPr>
            </w:pPr>
          </w:p>
        </w:tc>
        <w:tc>
          <w:tcPr>
            <w:tcW w:w="4500" w:type="dxa"/>
            <w:vAlign w:val="bottom"/>
          </w:tcPr>
          <w:p>
            <w:pPr>
              <w:ind w:left="560"/>
              <w:spacing w:after="0"/>
              <w:rPr>
                <w:sz w:val="20"/>
                <w:szCs w:val="20"/>
                <w:color w:val="auto"/>
              </w:rPr>
            </w:pPr>
            <w:r>
              <w:rPr>
                <w:rFonts w:ascii="Arial" w:cs="Arial" w:eastAsia="Arial" w:hAnsi="Arial"/>
                <w:sz w:val="16"/>
                <w:szCs w:val="16"/>
                <w:color w:val="auto"/>
              </w:rPr>
              <w:t>structures to mitigate cybersecurity risks.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Party Risk Management</w:t>
      </w:r>
    </w:p>
    <w:p>
      <w:pPr>
        <w:spacing w:after="0" w:line="78" w:lineRule="exact"/>
        <w:rPr>
          <w:sz w:val="20"/>
          <w:szCs w:val="20"/>
          <w:color w:val="auto"/>
        </w:rPr>
      </w:pPr>
    </w:p>
    <w:p>
      <w:pPr>
        <w:ind w:right="240"/>
        <w:spacing w:after="0" w:line="337" w:lineRule="auto"/>
        <w:rPr>
          <w:sz w:val="20"/>
          <w:szCs w:val="20"/>
          <w:color w:val="auto"/>
        </w:rPr>
      </w:pPr>
      <w:r>
        <w:rPr>
          <w:rFonts w:ascii="Arial" w:cs="Arial" w:eastAsia="Arial" w:hAnsi="Arial"/>
          <w:sz w:val="14"/>
          <w:szCs w:val="14"/>
          <w:color w:val="auto"/>
        </w:rPr>
        <w:t>We monitor critical engagements with vendors and partners for cyber risk to reduce third-party exposure.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Training and Awareness</w:t>
      </w:r>
    </w:p>
    <w:p>
      <w:pPr>
        <w:spacing w:after="0" w:line="78" w:lineRule="exact"/>
        <w:rPr>
          <w:sz w:val="20"/>
          <w:szCs w:val="20"/>
          <w:color w:val="auto"/>
        </w:rPr>
      </w:pPr>
    </w:p>
    <w:p>
      <w:pPr>
        <w:ind w:right="60"/>
        <w:spacing w:after="0" w:line="293" w:lineRule="auto"/>
        <w:rPr>
          <w:sz w:val="20"/>
          <w:szCs w:val="20"/>
          <w:color w:val="auto"/>
        </w:rPr>
      </w:pPr>
      <w:r>
        <w:rPr>
          <w:rFonts w:ascii="Arial" w:cs="Arial" w:eastAsia="Arial" w:hAnsi="Arial"/>
          <w:sz w:val="14"/>
          <w:szCs w:val="14"/>
          <w:color w:val="auto"/>
        </w:rPr>
        <w:t>We train employees on industry-specific cybersecurity threats and test to identify common attack vectors, including business email compromise, domain spoofing, social engineering, and other phishing techniques.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External Assessments</w:t>
      </w:r>
    </w:p>
    <w:p>
      <w:pPr>
        <w:spacing w:after="0" w:line="78"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Kelly adopted the National Institute of Standards and Technology Cybersecurity Framework (“NIST CSF”) and measures our cyber maturity through an annual assessment by a third-party aligned with NIST SP</w:t>
      </w:r>
    </w:p>
    <w:p>
      <w:pPr>
        <w:ind w:right="300"/>
        <w:spacing w:after="0" w:line="247" w:lineRule="auto"/>
        <w:rPr>
          <w:sz w:val="20"/>
          <w:szCs w:val="20"/>
          <w:color w:val="auto"/>
        </w:rPr>
      </w:pPr>
      <w:r>
        <w:rPr>
          <w:rFonts w:ascii="Arial" w:cs="Arial" w:eastAsia="Arial" w:hAnsi="Arial"/>
          <w:sz w:val="16"/>
          <w:szCs w:val="16"/>
          <w:color w:val="auto"/>
        </w:rPr>
        <w:t>800-53 Security and Privacy Controls for Information Systems and Organizations.</w:t>
      </w:r>
    </w:p>
    <w:p>
      <w:pPr>
        <w:spacing w:after="0" w:line="200" w:lineRule="exact"/>
        <w:rPr>
          <w:sz w:val="20"/>
          <w:szCs w:val="20"/>
          <w:color w:val="auto"/>
        </w:rPr>
      </w:pPr>
    </w:p>
    <w:p>
      <w:pPr>
        <w:sectPr>
          <w:pgSz w:w="11900" w:h="16838" w:orient="portrait"/>
          <w:cols w:equalWidth="0" w:num="2">
            <w:col w:w="6300" w:space="720"/>
            <w:col w:w="3920"/>
          </w:cols>
          <w:pgMar w:left="320" w:top="471" w:right="639" w:bottom="1440" w:gutter="0" w:footer="0" w:header="0"/>
        </w:sect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Risk Assessment of Employee Compensation Programs</w:t>
      </w:r>
    </w:p>
    <w:p>
      <w:pPr>
        <w:spacing w:after="0" w:line="82" w:lineRule="exact"/>
        <w:rPr>
          <w:sz w:val="20"/>
          <w:szCs w:val="20"/>
          <w:color w:val="auto"/>
        </w:rPr>
      </w:pPr>
    </w:p>
    <w:p>
      <w:pPr>
        <w:ind w:left="320" w:right="180"/>
        <w:spacing w:after="0" w:line="246" w:lineRule="auto"/>
        <w:rPr>
          <w:sz w:val="20"/>
          <w:szCs w:val="20"/>
          <w:color w:val="auto"/>
        </w:rPr>
      </w:pPr>
      <w:r>
        <w:rPr>
          <w:rFonts w:ascii="Arial" w:cs="Arial" w:eastAsia="Arial" w:hAnsi="Arial"/>
          <w:sz w:val="16"/>
          <w:szCs w:val="16"/>
          <w:color w:val="auto"/>
        </w:rPr>
        <w:t>Annually, at its February meeting, the Compensation and Talent Management Committee reviews management’s Compensation Program Risk Assessment Report, prepared by the Company’s Compensation group and reviewed by the Company’s General Counsel. The review and update of the Executive Compensation Program Risk Assessment Framework occurs, as needed, including review by the independent compensation consultant, to ensure a robust and comprehensive assessment process.</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0A9E50"/>
        </w:rPr>
        <w:t>The Company’s Executive Compensation Program Risk Assessment Framework takes into consideration the following guiding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36195</wp:posOffset>
            </wp:positionV>
            <wp:extent cx="67405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71" w:lineRule="exact"/>
        <w:rPr>
          <w:sz w:val="20"/>
          <w:szCs w:val="20"/>
          <w:color w:val="auto"/>
        </w:rPr>
      </w:pPr>
    </w:p>
    <w:p>
      <w:pPr>
        <w:ind w:left="560"/>
        <w:spacing w:after="0"/>
        <w:tabs>
          <w:tab w:leader="none" w:pos="76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Short- and long-term incentive performance measures and equity award types do not encourage excessive risk-taking</w:t>
      </w:r>
    </w:p>
    <w:p>
      <w:pPr>
        <w:spacing w:after="0" w:line="73" w:lineRule="exact"/>
        <w:rPr>
          <w:sz w:val="20"/>
          <w:szCs w:val="20"/>
          <w:color w:val="auto"/>
        </w:rPr>
      </w:pPr>
    </w:p>
    <w:p>
      <w:pPr>
        <w:ind w:left="760" w:right="120" w:hanging="224"/>
        <w:spacing w:after="0" w:line="246" w:lineRule="auto"/>
        <w:tabs>
          <w:tab w:leader="none" w:pos="74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A balanced compensation structure that includes an appropriate mix of fixed and variable cash and equity; with a balance of short- and long-term incentive opportunities</w:t>
      </w:r>
    </w:p>
    <w:p>
      <w:pPr>
        <w:spacing w:after="0" w:line="37" w:lineRule="exact"/>
        <w:rPr>
          <w:sz w:val="20"/>
          <w:szCs w:val="20"/>
          <w:color w:val="auto"/>
        </w:rPr>
      </w:pPr>
    </w:p>
    <w:p>
      <w:pPr>
        <w:ind w:left="780" w:right="20" w:hanging="224"/>
        <w:spacing w:after="0" w:line="246" w:lineRule="auto"/>
        <w:tabs>
          <w:tab w:leader="none" w:pos="76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Performance criteria and corresponding objectives include a balance of performance and the quality of such performance; include the appropriate use of top line vs. bottom-line metrics; and use annual and long-term measures that complement each other</w:t>
      </w:r>
    </w:p>
    <w:p>
      <w:pPr>
        <w:spacing w:after="0" w:line="37" w:lineRule="exact"/>
        <w:rPr>
          <w:sz w:val="20"/>
          <w:szCs w:val="20"/>
          <w:color w:val="auto"/>
        </w:rPr>
      </w:pPr>
    </w:p>
    <w:p>
      <w:pPr>
        <w:ind w:left="560"/>
        <w:spacing w:after="0"/>
        <w:tabs>
          <w:tab w:leader="none" w:pos="76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Well-designed plans that do not include steep payout curves, uncapped incentive payouts, or misaligned payout timing</w:t>
      </w:r>
    </w:p>
    <w:p>
      <w:pPr>
        <w:spacing w:after="0" w:line="73" w:lineRule="exact"/>
        <w:rPr>
          <w:sz w:val="20"/>
          <w:szCs w:val="20"/>
          <w:color w:val="auto"/>
        </w:rPr>
      </w:pPr>
    </w:p>
    <w:p>
      <w:pPr>
        <w:ind w:left="560" w:right="1200"/>
        <w:spacing w:after="0" w:line="348"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Incentive plans tested for multiple scenarios under realistic assumptions to ensure that potential payouts are reasonable relative to results</w:t>
      </w:r>
      <w:r>
        <w:rPr>
          <w:rFonts w:ascii="Times New Roman" w:cs="Times New Roman" w:eastAsia="Times New Roman" w:hAnsi="Times New Roman"/>
          <w:sz w:val="12"/>
          <w:szCs w:val="12"/>
          <w:color w:val="0A9E50"/>
        </w:rPr>
        <w:t xml:space="preserve"> ●</w:t>
      </w:r>
      <w:r>
        <w:rPr>
          <w:rFonts w:ascii="Arial" w:cs="Arial" w:eastAsia="Arial" w:hAnsi="Arial"/>
          <w:sz w:val="14"/>
          <w:szCs w:val="14"/>
          <w:color w:val="000000"/>
        </w:rPr>
        <w:t xml:space="preserve">  A thorough and qualitative assessment of the achievement, quality, and sustainability of results</w:t>
      </w:r>
    </w:p>
    <w:p>
      <w:pPr>
        <w:spacing w:after="0" w:line="1" w:lineRule="exact"/>
        <w:rPr>
          <w:sz w:val="20"/>
          <w:szCs w:val="20"/>
          <w:color w:val="auto"/>
        </w:rPr>
      </w:pPr>
    </w:p>
    <w:p>
      <w:pPr>
        <w:ind w:left="780" w:right="160" w:hanging="224"/>
        <w:spacing w:after="0" w:line="246" w:lineRule="auto"/>
        <w:tabs>
          <w:tab w:leader="none" w:pos="76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Benchmarked incentive plan payouts relative to performance, to ensure competitive practices in comparison with a representative peer group and general industry</w:t>
      </w:r>
    </w:p>
    <w:p>
      <w:pPr>
        <w:spacing w:after="0" w:line="37" w:lineRule="exact"/>
        <w:rPr>
          <w:sz w:val="20"/>
          <w:szCs w:val="20"/>
          <w:color w:val="auto"/>
        </w:rPr>
      </w:pPr>
    </w:p>
    <w:p>
      <w:pPr>
        <w:ind w:left="780" w:right="20" w:hanging="224"/>
        <w:spacing w:after="0" w:line="246" w:lineRule="auto"/>
        <w:tabs>
          <w:tab w:leader="none" w:pos="76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Implementation of risk-mitigating features such as a Clawback Policy and a policy that establishes expected share ownership for executives and directors of shares received from incentive award payouts</w:t>
      </w:r>
    </w:p>
    <w:p>
      <w:pPr>
        <w:spacing w:after="0" w:line="37" w:lineRule="exact"/>
        <w:rPr>
          <w:sz w:val="20"/>
          <w:szCs w:val="20"/>
          <w:color w:val="auto"/>
        </w:rPr>
      </w:pPr>
    </w:p>
    <w:p>
      <w:pPr>
        <w:ind w:left="780" w:right="400" w:hanging="224"/>
        <w:spacing w:after="0" w:line="246" w:lineRule="auto"/>
        <w:tabs>
          <w:tab w:leader="none" w:pos="76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Incentive plan governance includes involvement at a variety of levels from the Compensation and Talent Management Committee to various corporate functions including Corporate Governance, Compensation, Finance, HR, Legal, and the Committee’s outside compensation consultant</w:t>
      </w:r>
    </w:p>
    <w:p>
      <w:pPr>
        <w:spacing w:after="0" w:line="37" w:lineRule="exact"/>
        <w:rPr>
          <w:sz w:val="20"/>
          <w:szCs w:val="20"/>
          <w:color w:val="auto"/>
        </w:rPr>
      </w:pPr>
    </w:p>
    <w:p>
      <w:pPr>
        <w:ind w:left="780" w:right="160" w:hanging="224"/>
        <w:spacing w:after="0" w:line="246" w:lineRule="auto"/>
        <w:tabs>
          <w:tab w:leader="none" w:pos="76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Potential risk discussed with the Compensation and Talent Management Committee, recorded in Committee minutes, and discussed in the Compensation Discussion and Analysis section of the Company’s Annual Proxy Statement</w:t>
      </w:r>
    </w:p>
    <w:p>
      <w:pPr>
        <w:spacing w:after="0" w:line="5" w:lineRule="exact"/>
        <w:rPr>
          <w:sz w:val="20"/>
          <w:szCs w:val="20"/>
          <w:color w:val="auto"/>
        </w:rPr>
      </w:pP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-283210</wp:posOffset>
            </wp:positionV>
            <wp:extent cx="67405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-184150</wp:posOffset>
            </wp:positionV>
            <wp:extent cx="8255" cy="2228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Corporate Governance</w:t>
      </w:r>
    </w:p>
    <w:p>
      <w:pPr>
        <w:spacing w:after="0" w:line="137" w:lineRule="exact"/>
        <w:rPr>
          <w:sz w:val="20"/>
          <w:szCs w:val="20"/>
          <w:color w:val="auto"/>
        </w:rPr>
      </w:pPr>
    </w:p>
    <w:p>
      <w:pPr>
        <w:ind w:left="320" w:right="160"/>
        <w:spacing w:after="0" w:line="246" w:lineRule="auto"/>
        <w:rPr>
          <w:sz w:val="20"/>
          <w:szCs w:val="20"/>
          <w:color w:val="auto"/>
        </w:rPr>
      </w:pPr>
      <w:r>
        <w:rPr>
          <w:rFonts w:ascii="Arial" w:cs="Arial" w:eastAsia="Arial" w:hAnsi="Arial"/>
          <w:sz w:val="16"/>
          <w:szCs w:val="16"/>
          <w:color w:val="auto"/>
        </w:rPr>
        <w:t>To assess the risk of employee compensation programs below the executive level, the Company’s Compensation group implemented an internal Governance Committee to review and approve plan design and address any significant issues that arise. The Governance Committee utilizes its Global Incentive Plan Design and Risk Mitigation Framework to consider alignment to the Company’s strategy and risks associated with the following elements of the design and implementation of each incentive plan:</w:t>
      </w:r>
    </w:p>
    <w:p>
      <w:pPr>
        <w:spacing w:after="0" w:line="52" w:lineRule="exact"/>
        <w:rPr>
          <w:sz w:val="20"/>
          <w:szCs w:val="20"/>
          <w:color w:val="auto"/>
        </w:rPr>
      </w:pPr>
    </w:p>
    <w:p>
      <w:pPr>
        <w:ind w:left="520" w:hanging="204"/>
        <w:spacing w:after="0" w:line="202" w:lineRule="auto"/>
        <w:tabs>
          <w:tab w:leader="none" w:pos="520" w:val="left"/>
        </w:tabs>
        <w:numPr>
          <w:ilvl w:val="0"/>
          <w:numId w:val="22"/>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linkage of incentive measures with business objectives, analysis of total compensation market data, determination of design elements/payout threshold levels, potential range of payouts, and timely and accurate tracking of performance data;</w:t>
      </w:r>
    </w:p>
    <w:p>
      <w:pPr>
        <w:ind w:left="520" w:hanging="204"/>
        <w:spacing w:after="0" w:line="226" w:lineRule="auto"/>
        <w:tabs>
          <w:tab w:leader="none" w:pos="520" w:val="left"/>
        </w:tabs>
        <w:numPr>
          <w:ilvl w:val="0"/>
          <w:numId w:val="22"/>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modeling, approval, and communication of incentive plans;</w:t>
      </w:r>
    </w:p>
    <w:p>
      <w:pPr>
        <w:spacing w:after="0" w:line="69" w:lineRule="exact"/>
        <w:rPr>
          <w:rFonts w:ascii="Times New Roman" w:cs="Times New Roman" w:eastAsia="Times New Roman" w:hAnsi="Times New Roman"/>
          <w:sz w:val="24"/>
          <w:szCs w:val="24"/>
          <w:color w:val="0A9E50"/>
          <w:vertAlign w:val="superscript"/>
        </w:rPr>
      </w:pPr>
    </w:p>
    <w:p>
      <w:pPr>
        <w:ind w:left="520" w:hanging="204"/>
        <w:spacing w:after="0" w:line="181" w:lineRule="auto"/>
        <w:tabs>
          <w:tab w:leader="none" w:pos="520" w:val="left"/>
        </w:tabs>
        <w:numPr>
          <w:ilvl w:val="0"/>
          <w:numId w:val="22"/>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calculation, audit, approval, and communication of incentive payments; and</w:t>
      </w:r>
    </w:p>
    <w:p>
      <w:pPr>
        <w:spacing w:after="0" w:line="69" w:lineRule="exact"/>
        <w:rPr>
          <w:rFonts w:ascii="Times New Roman" w:cs="Times New Roman" w:eastAsia="Times New Roman" w:hAnsi="Times New Roman"/>
          <w:sz w:val="22"/>
          <w:szCs w:val="22"/>
          <w:color w:val="0A9E50"/>
          <w:vertAlign w:val="superscript"/>
        </w:rPr>
      </w:pPr>
    </w:p>
    <w:p>
      <w:pPr>
        <w:ind w:left="520" w:hanging="204"/>
        <w:spacing w:after="0" w:line="181" w:lineRule="auto"/>
        <w:tabs>
          <w:tab w:leader="none" w:pos="520" w:val="left"/>
        </w:tabs>
        <w:numPr>
          <w:ilvl w:val="0"/>
          <w:numId w:val="22"/>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annual plan reviews to ensure planned design updates align with business goals and budgets, and do not present a material risk to the Company.</w:t>
      </w:r>
    </w:p>
    <w:p>
      <w:pPr>
        <w:spacing w:after="0" w:line="69" w:lineRule="exact"/>
        <w:rPr>
          <w:sz w:val="20"/>
          <w:szCs w:val="20"/>
          <w:color w:val="auto"/>
        </w:rPr>
      </w:pPr>
    </w:p>
    <w:p>
      <w:pPr>
        <w:ind w:left="320" w:right="60"/>
        <w:spacing w:after="0" w:line="316" w:lineRule="auto"/>
        <w:rPr>
          <w:sz w:val="20"/>
          <w:szCs w:val="20"/>
          <w:color w:val="auto"/>
        </w:rPr>
      </w:pPr>
      <w:r>
        <w:rPr>
          <w:rFonts w:ascii="Arial" w:cs="Arial" w:eastAsia="Arial" w:hAnsi="Arial"/>
          <w:sz w:val="14"/>
          <w:szCs w:val="14"/>
          <w:color w:val="auto"/>
        </w:rPr>
        <w:t>After due consideration of management’s 2023 Compensation Program Risk Assessment Report, the Compensation and Talent Management Committee concluded that the Company’s compensation programs do not create a reasonable likelihood of a material adverse effect on the Company.</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 xml:space="preserve">Kelly’s Corporate Sustainability and ESG Strategy – </w:t>
      </w:r>
      <w:r>
        <w:rPr>
          <w:rFonts w:ascii="Arial" w:cs="Arial" w:eastAsia="Arial" w:hAnsi="Arial"/>
          <w:sz w:val="21"/>
          <w:szCs w:val="21"/>
          <w:i w:val="1"/>
          <w:iCs w:val="1"/>
          <w:color w:val="auto"/>
        </w:rPr>
        <w:t>Growing with Purpose</w:t>
      </w:r>
    </w:p>
    <w:p>
      <w:pPr>
        <w:spacing w:after="0" w:line="72" w:lineRule="exact"/>
        <w:rPr>
          <w:sz w:val="20"/>
          <w:szCs w:val="20"/>
          <w:color w:val="auto"/>
        </w:rPr>
      </w:pPr>
    </w:p>
    <w:p>
      <w:pPr>
        <w:ind w:left="320" w:right="80"/>
        <w:spacing w:after="0" w:line="303" w:lineRule="auto"/>
        <w:rPr>
          <w:sz w:val="20"/>
          <w:szCs w:val="20"/>
          <w:color w:val="auto"/>
        </w:rPr>
      </w:pPr>
      <w:r>
        <w:rPr>
          <w:rFonts w:ascii="Arial" w:cs="Arial" w:eastAsia="Arial" w:hAnsi="Arial"/>
          <w:sz w:val="14"/>
          <w:szCs w:val="14"/>
          <w:color w:val="auto"/>
        </w:rPr>
        <w:t>Kelly recognizes the critical importance of sustainability in addressing the world’s most pressing environmental and social challenges. Kelly’s approach is based on the concept of creating shared value. We aim to create economic value by addressing societal needs and going beyond traditional corporate social responsibility. Our focus on sustainable growth helps us manage risks efficiently while we continue to develop long-term business opportunities.</w:t>
      </w:r>
    </w:p>
    <w:p>
      <w:pPr>
        <w:spacing w:after="0" w:line="2" w:lineRule="exact"/>
        <w:rPr>
          <w:sz w:val="20"/>
          <w:szCs w:val="20"/>
          <w:color w:val="auto"/>
        </w:rPr>
      </w:pPr>
    </w:p>
    <w:p>
      <w:pPr>
        <w:ind w:left="320" w:right="80"/>
        <w:spacing w:after="0" w:line="243" w:lineRule="auto"/>
        <w:rPr>
          <w:sz w:val="20"/>
          <w:szCs w:val="20"/>
          <w:color w:val="auto"/>
        </w:rPr>
      </w:pPr>
      <w:r>
        <w:rPr>
          <w:rFonts w:ascii="Arial" w:cs="Arial" w:eastAsia="Arial" w:hAnsi="Arial"/>
          <w:sz w:val="16"/>
          <w:szCs w:val="16"/>
          <w:color w:val="auto"/>
        </w:rPr>
        <w:t>In 2023, our Corporate Sustainability and Environmental, Social, and Governance Strategy (“ESG Strategy”) was primarily focused on strengthening relationships and alignment between our key corporate functions and business teams, which continue to set the stage for our sustainability goals moving forward. To ensure alignment, we expanded our ESG Advisory Committee with a representative from each of our Business Units. Additionally, we integrated our sustainability and ESG efforts with Enterprise Risk Management for optimal organizational synergy. From strengthening relationships with stakeholders through community focus and an emphasis on skills-based volunteering, to eliminating barriers to accessing work opportunities with programs like Equity@Work, we consistently create shared value.</w:t>
      </w:r>
    </w:p>
    <w:p>
      <w:pPr>
        <w:spacing w:after="0" w:line="53" w:lineRule="exact"/>
        <w:rPr>
          <w:sz w:val="20"/>
          <w:szCs w:val="20"/>
          <w:color w:val="auto"/>
        </w:rPr>
      </w:pPr>
    </w:p>
    <w:p>
      <w:pPr>
        <w:ind w:left="320" w:right="120"/>
        <w:spacing w:after="0" w:line="246" w:lineRule="auto"/>
        <w:rPr>
          <w:sz w:val="20"/>
          <w:szCs w:val="20"/>
          <w:color w:val="auto"/>
        </w:rPr>
      </w:pPr>
      <w:r>
        <w:rPr>
          <w:rFonts w:ascii="Arial" w:cs="Arial" w:eastAsia="Arial" w:hAnsi="Arial"/>
          <w:sz w:val="16"/>
          <w:szCs w:val="16"/>
          <w:color w:val="auto"/>
        </w:rPr>
        <w:t>Our ESG Strategy aligns to Kelly’s Enterprise Goals and growth strategy with seven core pillars responding to stakeholder expectations and critical risks and opportunities across environmental, social, and governance issues. These core pillars are based on nine United Nations Sustainable Development Goals (“UN SDGs”) and support all programs and initiatives within our Corporate Sustainability and ESG strategy to ensure that internal resources and activities positively impact our triple bottom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123190</wp:posOffset>
            </wp:positionV>
            <wp:extent cx="4997450" cy="21062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97450" cy="210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0" w:right="140"/>
        <w:spacing w:after="0" w:line="267" w:lineRule="auto"/>
        <w:rPr>
          <w:sz w:val="20"/>
          <w:szCs w:val="20"/>
          <w:color w:val="auto"/>
        </w:rPr>
      </w:pPr>
      <w:r>
        <w:rPr>
          <w:rFonts w:ascii="Arial" w:cs="Arial" w:eastAsia="Arial" w:hAnsi="Arial"/>
          <w:sz w:val="16"/>
          <w:szCs w:val="16"/>
          <w:b w:val="1"/>
          <w:bCs w:val="1"/>
          <w:color w:val="auto"/>
        </w:rPr>
        <w:t xml:space="preserve">Stakeholder engagement: </w:t>
      </w:r>
      <w:r>
        <w:rPr>
          <w:rFonts w:ascii="Arial" w:cs="Arial" w:eastAsia="Arial" w:hAnsi="Arial"/>
          <w:sz w:val="16"/>
          <w:szCs w:val="16"/>
          <w:color w:val="auto"/>
        </w:rPr>
        <w:t>We continually engage with diverse stakeholders through various ongoing initiatives and activities to better understand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concerns and deliver added value of our services.</w:t>
      </w:r>
    </w:p>
    <w:p>
      <w:pPr>
        <w:spacing w:after="0" w:line="37"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30 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20"/>
          </w:cols>
          <w:pgMar w:left="320" w:top="471" w:right="6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9520"/>
        <w:spacing w:after="0"/>
        <w:rPr>
          <w:sz w:val="20"/>
          <w:szCs w:val="20"/>
          <w:color w:val="auto"/>
        </w:rPr>
      </w:pPr>
      <w:r>
        <w:rPr>
          <w:rFonts w:ascii="Arial" w:cs="Arial" w:eastAsia="Arial" w:hAnsi="Arial"/>
          <w:sz w:val="13"/>
          <w:szCs w:val="13"/>
          <w:b w:val="1"/>
          <w:bCs w:val="1"/>
          <w:color w:val="auto"/>
        </w:rPr>
        <w:t>Corporate Governance</w:t>
      </w:r>
    </w:p>
    <w:p>
      <w:pPr>
        <w:spacing w:after="0" w:line="135" w:lineRule="exact"/>
        <w:rPr>
          <w:sz w:val="20"/>
          <w:szCs w:val="20"/>
          <w:color w:val="auto"/>
        </w:rPr>
      </w:pPr>
    </w:p>
    <w:p>
      <w:pPr>
        <w:ind w:left="320" w:right="20"/>
        <w:spacing w:after="0" w:line="243" w:lineRule="auto"/>
        <w:rPr>
          <w:sz w:val="20"/>
          <w:szCs w:val="20"/>
          <w:color w:val="auto"/>
        </w:rPr>
      </w:pPr>
      <w:r>
        <w:rPr>
          <w:rFonts w:ascii="Arial" w:cs="Arial" w:eastAsia="Arial" w:hAnsi="Arial"/>
          <w:sz w:val="16"/>
          <w:szCs w:val="16"/>
          <w:b w:val="1"/>
          <w:bCs w:val="1"/>
          <w:color w:val="auto"/>
        </w:rPr>
        <w:t xml:space="preserve">Stakeholder Perception Analysis (formerly referred to as Materiality): </w:t>
      </w:r>
      <w:r>
        <w:rPr>
          <w:rFonts w:ascii="Arial" w:cs="Arial" w:eastAsia="Arial" w:hAnsi="Arial"/>
          <w:sz w:val="16"/>
          <w:szCs w:val="16"/>
          <w:color w:val="auto"/>
        </w:rPr>
        <w:t>Our ESG Strategy is anchored in a formal assessment that analyzes</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environmental, social, and governance issues with respect to stakeholder relevance, the severity to business risk, and the impact on our business success. We conducted our latest assessment in 2021 through surveys, with participation from a group of diverse stakeholders representing suppliers, customers, Kelly employees, talent, and other stakeholders. Kelly’s most recent assessment considered a “double materiality” analysis to assess the level of risk that each ESG issue could have on the business from a financial and non-financial perspective, including our license to operate and impact on the overall value of our organization.</w:t>
      </w:r>
    </w:p>
    <w:p>
      <w:pPr>
        <w:spacing w:after="0" w:line="53" w:lineRule="exact"/>
        <w:rPr>
          <w:sz w:val="20"/>
          <w:szCs w:val="20"/>
          <w:color w:val="auto"/>
        </w:rPr>
      </w:pPr>
    </w:p>
    <w:p>
      <w:pPr>
        <w:ind w:left="320" w:right="20"/>
        <w:spacing w:after="0" w:line="243" w:lineRule="auto"/>
        <w:rPr>
          <w:sz w:val="20"/>
          <w:szCs w:val="20"/>
          <w:color w:val="auto"/>
        </w:rPr>
      </w:pPr>
      <w:r>
        <w:rPr>
          <w:rFonts w:ascii="Arial" w:cs="Arial" w:eastAsia="Arial" w:hAnsi="Arial"/>
          <w:sz w:val="16"/>
          <w:szCs w:val="16"/>
          <w:b w:val="1"/>
          <w:bCs w:val="1"/>
          <w:color w:val="auto"/>
        </w:rPr>
        <w:t xml:space="preserve">Board ESG Oversight: </w:t>
      </w:r>
      <w:r>
        <w:rPr>
          <w:rFonts w:ascii="Arial" w:cs="Arial" w:eastAsia="Arial" w:hAnsi="Arial"/>
          <w:sz w:val="16"/>
          <w:szCs w:val="16"/>
          <w:color w:val="auto"/>
        </w:rPr>
        <w:t>Our Board of Directors is responsible for overseeing the effective execution of our ESG strategy along with multiple Board</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committees that oversee various ESG topics. Our Governance and Nominating Committee provides oversight to Corporate Governance principles and ESG strategy policies, initiatives, and associated risk. Our Audit Committee plays a key role in the Board’s risk oversight process particularly with financial impact risk, and risks associated with information security. Our Compensation and Talent Management Committee provides oversight to talent attraction, retention, and compensation plans, policies, and practices. Senior management reports to the Board on key ESG topics at least bi-annually through our ESG Advisory Committee comprised of a diverse and multidisciplinary leadership team.</w:t>
      </w:r>
    </w:p>
    <w:p>
      <w:pPr>
        <w:spacing w:after="0" w:line="275"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2023 Goals and Achievements</w:t>
      </w:r>
    </w:p>
    <w:p>
      <w:pPr>
        <w:spacing w:after="0" w:line="72" w:lineRule="exact"/>
        <w:rPr>
          <w:sz w:val="20"/>
          <w:szCs w:val="20"/>
          <w:color w:val="auto"/>
        </w:rPr>
      </w:pPr>
    </w:p>
    <w:p>
      <w:pPr>
        <w:ind w:left="320" w:right="240"/>
        <w:spacing w:after="0" w:line="251" w:lineRule="auto"/>
        <w:rPr>
          <w:sz w:val="20"/>
          <w:szCs w:val="20"/>
          <w:color w:val="auto"/>
        </w:rPr>
      </w:pPr>
      <w:r>
        <w:rPr>
          <w:rFonts w:ascii="Arial" w:cs="Arial" w:eastAsia="Arial" w:hAnsi="Arial"/>
          <w:sz w:val="16"/>
          <w:szCs w:val="16"/>
          <w:color w:val="auto"/>
        </w:rPr>
        <w:t>Beginning in 2022, our strategy shifted focus to long-term sustainability goals. These goals address the interconnected challenges of social, economic, and environmental sustainability, with the intent to balance the needs of present and future generations. In 2023, we continued to report on progress towards these objectives, and to show transparency and accountability in our actions.</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0A9E50"/>
        </w:rPr>
        <w:t>Environmental:</w:t>
      </w:r>
    </w:p>
    <w:p>
      <w:pPr>
        <w:spacing w:after="0" w:line="72" w:lineRule="exact"/>
        <w:rPr>
          <w:sz w:val="20"/>
          <w:szCs w:val="20"/>
          <w:color w:val="auto"/>
        </w:rPr>
      </w:pPr>
    </w:p>
    <w:p>
      <w:pPr>
        <w:ind w:left="320" w:right="980"/>
        <w:spacing w:after="0" w:line="265" w:lineRule="auto"/>
        <w:rPr>
          <w:sz w:val="20"/>
          <w:szCs w:val="20"/>
          <w:color w:val="auto"/>
        </w:rPr>
      </w:pPr>
      <w:r>
        <w:rPr>
          <w:rFonts w:ascii="Arial" w:cs="Arial" w:eastAsia="Arial" w:hAnsi="Arial"/>
          <w:sz w:val="16"/>
          <w:szCs w:val="16"/>
          <w:color w:val="auto"/>
        </w:rPr>
        <w:t>Kelly is committed to protecting our planet for future generations. Our environmental initiatives focus on providing safe and sustainable work environments for our employees and talent while mitigating the environmental footprint of our operations.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2023 Environmental Highlights:</w:t>
      </w:r>
    </w:p>
    <w:p>
      <w:pPr>
        <w:spacing w:after="0" w:line="83" w:lineRule="exact"/>
        <w:rPr>
          <w:sz w:val="20"/>
          <w:szCs w:val="20"/>
          <w:color w:val="auto"/>
        </w:rPr>
      </w:pPr>
    </w:p>
    <w:p>
      <w:pPr>
        <w:ind w:left="320" w:right="40"/>
        <w:spacing w:after="0" w:line="243" w:lineRule="auto"/>
        <w:rPr>
          <w:sz w:val="20"/>
          <w:szCs w:val="20"/>
          <w:color w:val="auto"/>
        </w:rPr>
      </w:pPr>
      <w:r>
        <w:rPr>
          <w:rFonts w:ascii="Arial" w:cs="Arial" w:eastAsia="Arial" w:hAnsi="Arial"/>
          <w:sz w:val="16"/>
          <w:szCs w:val="16"/>
          <w:b w:val="1"/>
          <w:bCs w:val="1"/>
          <w:color w:val="auto"/>
        </w:rPr>
        <w:t xml:space="preserve">Green House Gas (“GHG”) emission reduction. </w:t>
      </w:r>
      <w:r>
        <w:rPr>
          <w:rFonts w:ascii="Arial" w:cs="Arial" w:eastAsia="Arial" w:hAnsi="Arial"/>
          <w:sz w:val="16"/>
          <w:szCs w:val="16"/>
          <w:color w:val="auto"/>
        </w:rPr>
        <w:t>We continue to adjust our carbon emissions and improve calculation methodologies across all scopes,</w:t>
      </w:r>
      <w:r>
        <w:rPr>
          <w:rFonts w:ascii="Arial" w:cs="Arial" w:eastAsia="Arial" w:hAnsi="Arial"/>
          <w:sz w:val="16"/>
          <w:szCs w:val="16"/>
          <w:b w:val="1"/>
          <w:bCs w:val="1"/>
          <w:color w:val="auto"/>
        </w:rPr>
        <w:t xml:space="preserve"> </w:t>
      </w:r>
      <w:r>
        <w:rPr>
          <w:rFonts w:ascii="Arial" w:cs="Arial" w:eastAsia="Arial" w:hAnsi="Arial"/>
          <w:sz w:val="16"/>
          <w:szCs w:val="16"/>
          <w:color w:val="auto"/>
        </w:rPr>
        <w:t>while expanding the approach of Scopes 1 and 2 to include global locations within our operational control. In 2023, we updated our climate risk assessment and continued to pursue a climate strategy to mitigate, remove, and compensate for our impact, and align emission reduction targets to limit global warming to a 1.5°C ambition level by 2050. We use a climate change scenario approach to help us explore different possible outcomes and inform decision-making and planning. We communicate our progress on climate-related disclosure metrics through our annual Corporate Sustainability and ESG report, Carbon Disclosure Project (“CDP”), and external sustainability assessments that evaluate our performance.</w:t>
      </w:r>
    </w:p>
    <w:p>
      <w:pPr>
        <w:spacing w:after="0" w:line="40" w:lineRule="exact"/>
        <w:rPr>
          <w:sz w:val="20"/>
          <w:szCs w:val="20"/>
          <w:color w:val="auto"/>
        </w:rPr>
      </w:pPr>
    </w:p>
    <w:p>
      <w:pPr>
        <w:ind w:left="320" w:right="40"/>
        <w:spacing w:after="0" w:line="243" w:lineRule="auto"/>
        <w:rPr>
          <w:sz w:val="20"/>
          <w:szCs w:val="20"/>
          <w:color w:val="auto"/>
        </w:rPr>
      </w:pPr>
      <w:r>
        <w:rPr>
          <w:rFonts w:ascii="Arial" w:cs="Arial" w:eastAsia="Arial" w:hAnsi="Arial"/>
          <w:sz w:val="16"/>
          <w:szCs w:val="16"/>
          <w:b w:val="1"/>
          <w:bCs w:val="1"/>
          <w:color w:val="auto"/>
        </w:rPr>
        <w:t xml:space="preserve">Workplace safety solutions and performance across our specialty businesses. </w:t>
      </w:r>
      <w:r>
        <w:rPr>
          <w:rFonts w:ascii="Arial" w:cs="Arial" w:eastAsia="Arial" w:hAnsi="Arial"/>
          <w:sz w:val="16"/>
          <w:szCs w:val="16"/>
          <w:color w:val="auto"/>
        </w:rPr>
        <w:t>Since 2010, Kelly has maintained our zero-injury program, Absolute</w:t>
      </w:r>
      <w:r>
        <w:rPr>
          <w:rFonts w:ascii="Arial" w:cs="Arial" w:eastAsia="Arial" w:hAnsi="Arial"/>
          <w:sz w:val="16"/>
          <w:szCs w:val="16"/>
          <w:b w:val="1"/>
          <w:bCs w:val="1"/>
          <w:color w:val="auto"/>
        </w:rPr>
        <w:t xml:space="preserve"> </w:t>
      </w:r>
      <w:r>
        <w:rPr>
          <w:rFonts w:ascii="Arial" w:cs="Arial" w:eastAsia="Arial" w:hAnsi="Arial"/>
          <w:sz w:val="16"/>
          <w:szCs w:val="16"/>
          <w:color w:val="auto"/>
        </w:rPr>
        <w:t>Zero. In 2023, the Company outperformed our peers in the staffing industry by 91% Total Recordable Incident Rate (“TRIR”) and 92% Days Away/Restricted and Transferred Incident Rate (“DART”) compared to 2022 Bureau of Labor Statistics (“BLS”) industry averages. Current year industry averages were not available at the time of publishing. We began developing a technology tool within our internal risk management system that will allow us to track impactful metrics and capture incidents and accidents more consistently. The Company has one Certified Safety Professional (“CSP”) and one Certified Industrial Hygienist (“CIH”) on staff to serve as a resource to our clients and talent.</w:t>
      </w:r>
    </w:p>
    <w:p>
      <w:pPr>
        <w:spacing w:after="0" w:line="275"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0A9E50"/>
        </w:rPr>
        <w:t>Social:</w:t>
      </w:r>
    </w:p>
    <w:p>
      <w:pPr>
        <w:spacing w:after="0" w:line="72" w:lineRule="exact"/>
        <w:rPr>
          <w:sz w:val="20"/>
          <w:szCs w:val="20"/>
          <w:color w:val="auto"/>
        </w:rPr>
      </w:pPr>
    </w:p>
    <w:p>
      <w:pPr>
        <w:jc w:val="both"/>
        <w:ind w:left="320" w:right="80"/>
        <w:spacing w:after="0" w:line="247" w:lineRule="auto"/>
        <w:rPr>
          <w:sz w:val="20"/>
          <w:szCs w:val="20"/>
          <w:color w:val="auto"/>
        </w:rPr>
      </w:pPr>
      <w:r>
        <w:rPr>
          <w:rFonts w:ascii="Arial" w:cs="Arial" w:eastAsia="Arial" w:hAnsi="Arial"/>
          <w:sz w:val="16"/>
          <w:szCs w:val="16"/>
          <w:color w:val="auto"/>
        </w:rPr>
        <w:t>Kelly’s noble purpose is to connect people to work in ways that enrich their lives. We strive to contribute to a more inclusive and equitable workforce that creates better access, opportunities, fair treatment, and advancement for all people so that they may contribute to communities where they live and work. This drives our actions and allows us to create shared value for all our stakeholders.</w:t>
      </w:r>
    </w:p>
    <w:p>
      <w:pPr>
        <w:spacing w:after="0" w:line="1" w:lineRule="exact"/>
        <w:rPr>
          <w:sz w:val="20"/>
          <w:szCs w:val="20"/>
          <w:color w:val="auto"/>
        </w:rPr>
      </w:pP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-222250</wp:posOffset>
            </wp:positionV>
            <wp:extent cx="8255" cy="2228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Corporate Governance</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2023 Social Highlights:</w:t>
      </w:r>
    </w:p>
    <w:p>
      <w:pPr>
        <w:spacing w:after="0" w:line="83" w:lineRule="exact"/>
        <w:rPr>
          <w:sz w:val="20"/>
          <w:szCs w:val="20"/>
          <w:color w:val="auto"/>
        </w:rPr>
      </w:pPr>
    </w:p>
    <w:p>
      <w:pPr>
        <w:ind w:left="320" w:right="40"/>
        <w:spacing w:after="0" w:line="283" w:lineRule="auto"/>
        <w:rPr>
          <w:sz w:val="20"/>
          <w:szCs w:val="20"/>
          <w:color w:val="auto"/>
        </w:rPr>
      </w:pPr>
      <w:r>
        <w:rPr>
          <w:rFonts w:ascii="Arial" w:cs="Arial" w:eastAsia="Arial" w:hAnsi="Arial"/>
          <w:sz w:val="14"/>
          <w:szCs w:val="14"/>
          <w:b w:val="1"/>
          <w:bCs w:val="1"/>
          <w:color w:val="auto"/>
        </w:rPr>
        <w:t xml:space="preserve">Equity@Work as a shared value proposition. </w:t>
      </w:r>
      <w:r>
        <w:rPr>
          <w:rFonts w:ascii="Arial" w:cs="Arial" w:eastAsia="Arial" w:hAnsi="Arial"/>
          <w:sz w:val="14"/>
          <w:szCs w:val="14"/>
          <w:color w:val="auto"/>
        </w:rPr>
        <w:t>In 2023, we helped remove barriers to employment for approximately 5,639 individuals. Partnering with</w:t>
      </w:r>
      <w:r>
        <w:rPr>
          <w:rFonts w:ascii="Arial" w:cs="Arial" w:eastAsia="Arial" w:hAnsi="Arial"/>
          <w:sz w:val="14"/>
          <w:szCs w:val="14"/>
          <w:b w:val="1"/>
          <w:bCs w:val="1"/>
          <w:color w:val="auto"/>
        </w:rPr>
        <w:t xml:space="preserve"> </w:t>
      </w:r>
      <w:r>
        <w:rPr>
          <w:rFonts w:ascii="Arial" w:cs="Arial" w:eastAsia="Arial" w:hAnsi="Arial"/>
          <w:sz w:val="14"/>
          <w:szCs w:val="14"/>
          <w:color w:val="auto"/>
        </w:rPr>
        <w:t>45 clients across multiple industries including automotive, manufacturing, agriculture, logistics, and pharmaceuticals, we removed barriers such as testing, unnecessary interviews, and restrictive background and drug screens, to connect qualified individuals to meaningful work. Clients implementing Equity@Work see positive outcomes, including reduced turnover and improved fill rates. We engage with entities such as the Departments of Corrections in Iowa, Pennsylvania, Kentucky, Tennessee, and Missouri, as well as impactful non-profits like the Vera Institute of Justice, Responsible Business Initiative for Justice, and the Second Chance Business Coalition. Partnering with organizations and industry allies such as the American Staffing Association (ASA) and CEO Action, we amplify initiatives like Equity@Work and the Kelly33 second chance hiring program.</w:t>
      </w:r>
    </w:p>
    <w:p>
      <w:pPr>
        <w:spacing w:after="0" w:line="11" w:lineRule="exact"/>
        <w:rPr>
          <w:sz w:val="20"/>
          <w:szCs w:val="20"/>
          <w:color w:val="auto"/>
        </w:rPr>
      </w:pPr>
    </w:p>
    <w:p>
      <w:pPr>
        <w:ind w:left="320" w:right="20"/>
        <w:spacing w:after="0" w:line="252" w:lineRule="auto"/>
        <w:rPr>
          <w:sz w:val="20"/>
          <w:szCs w:val="20"/>
          <w:color w:val="auto"/>
        </w:rPr>
      </w:pPr>
      <w:r>
        <w:rPr>
          <w:rFonts w:ascii="Arial" w:cs="Arial" w:eastAsia="Arial" w:hAnsi="Arial"/>
          <w:sz w:val="16"/>
          <w:szCs w:val="16"/>
          <w:b w:val="1"/>
          <w:bCs w:val="1"/>
          <w:color w:val="auto"/>
        </w:rPr>
        <w:t xml:space="preserve">Giving back in communities where we live and work. </w:t>
      </w:r>
      <w:r>
        <w:rPr>
          <w:rFonts w:ascii="Arial" w:cs="Arial" w:eastAsia="Arial" w:hAnsi="Arial"/>
          <w:sz w:val="16"/>
          <w:szCs w:val="16"/>
          <w:color w:val="auto"/>
        </w:rPr>
        <w:t>We launched a new technology platform to capture corporate volunteering and empower 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with volunteering and giving initiatives, while increasing collaboration on social impact opportunities. In 2023, we achieved over 6,600 hours of volunteering, engaging more than 840 employees in the U.S. and Canada.</w:t>
      </w:r>
    </w:p>
    <w:p>
      <w:pPr>
        <w:spacing w:after="0" w:line="34" w:lineRule="exact"/>
        <w:rPr>
          <w:sz w:val="20"/>
          <w:szCs w:val="20"/>
          <w:color w:val="auto"/>
        </w:rPr>
      </w:pPr>
    </w:p>
    <w:p>
      <w:pPr>
        <w:ind w:left="320"/>
        <w:spacing w:after="0" w:line="244" w:lineRule="auto"/>
        <w:rPr>
          <w:sz w:val="20"/>
          <w:szCs w:val="20"/>
          <w:color w:val="auto"/>
        </w:rPr>
      </w:pPr>
      <w:r>
        <w:rPr>
          <w:rFonts w:ascii="Arial" w:cs="Arial" w:eastAsia="Arial" w:hAnsi="Arial"/>
          <w:sz w:val="16"/>
          <w:szCs w:val="16"/>
          <w:color w:val="auto"/>
        </w:rPr>
        <w:t>Kelly employees contributed over $26,800 towards our Kelly Relief Fund and roughly $7,200 in grants were distributed to support 6 employees in need. In addition, approximately 520 employees contributed nearly $71,000 towards charitable giving opportunities during Kelly’s annual benefits enrollment. The Company donated approximately $158,481 towards social investment programs and charitable organizations, committed to increasing education, training, and employment networking opportunities for underserved talent. By investing in local organizations aligned with our business strategy and core values, we increase our shared value and leverage our effort for providing inclusion and equality for the workforce.</w:t>
      </w:r>
    </w:p>
    <w:p>
      <w:pPr>
        <w:spacing w:after="0" w:line="51" w:lineRule="exact"/>
        <w:rPr>
          <w:sz w:val="20"/>
          <w:szCs w:val="20"/>
          <w:color w:val="auto"/>
        </w:rPr>
      </w:pPr>
    </w:p>
    <w:p>
      <w:pPr>
        <w:ind w:left="320" w:right="200"/>
        <w:spacing w:after="0" w:line="245" w:lineRule="auto"/>
        <w:rPr>
          <w:sz w:val="20"/>
          <w:szCs w:val="20"/>
          <w:color w:val="auto"/>
        </w:rPr>
      </w:pPr>
      <w:r>
        <w:rPr>
          <w:rFonts w:ascii="Arial" w:cs="Arial" w:eastAsia="Arial" w:hAnsi="Arial"/>
          <w:sz w:val="16"/>
          <w:szCs w:val="16"/>
          <w:b w:val="1"/>
          <w:bCs w:val="1"/>
          <w:color w:val="auto"/>
        </w:rPr>
        <w:t xml:space="preserve">Strengthened our Employer Value Proposition (EVP) and engagement. </w:t>
      </w:r>
      <w:r>
        <w:rPr>
          <w:rFonts w:ascii="Arial" w:cs="Arial" w:eastAsia="Arial" w:hAnsi="Arial"/>
          <w:sz w:val="16"/>
          <w:szCs w:val="16"/>
          <w:color w:val="auto"/>
        </w:rPr>
        <w:t>We modified our Kelly employee engagement survey process from a large,</w:t>
      </w:r>
      <w:r>
        <w:rPr>
          <w:rFonts w:ascii="Arial" w:cs="Arial" w:eastAsia="Arial" w:hAnsi="Arial"/>
          <w:sz w:val="16"/>
          <w:szCs w:val="16"/>
          <w:b w:val="1"/>
          <w:bCs w:val="1"/>
          <w:color w:val="auto"/>
        </w:rPr>
        <w:t xml:space="preserve"> </w:t>
      </w:r>
      <w:r>
        <w:rPr>
          <w:rFonts w:ascii="Arial" w:cs="Arial" w:eastAsia="Arial" w:hAnsi="Arial"/>
          <w:sz w:val="16"/>
          <w:szCs w:val="16"/>
          <w:color w:val="auto"/>
        </w:rPr>
        <w:t>annual survey to quarterly pulse checks with intentional focus on more real-time and actional feedback especially as 2023 was a year of significant business transformation. Our year-end engagement score remained healthy at 75%. We also incorporated elements into internal onboarding , and communications with candidates, to highlight aspects such as work-life balance, learning and development, collaboration, cohesion, and organizational culture.</w:t>
      </w:r>
    </w:p>
    <w:p>
      <w:pPr>
        <w:spacing w:after="0" w:line="54"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32 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20"/>
          </w:cols>
          <w:pgMar w:left="320" w:top="471" w:right="6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94615</wp:posOffset>
            </wp:positionV>
            <wp:extent cx="4906645" cy="41224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06645" cy="4122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right="180"/>
        <w:spacing w:after="0" w:line="246" w:lineRule="auto"/>
        <w:rPr>
          <w:sz w:val="20"/>
          <w:szCs w:val="20"/>
          <w:color w:val="auto"/>
        </w:rPr>
      </w:pPr>
      <w:r>
        <w:rPr>
          <w:rFonts w:ascii="Arial" w:cs="Arial" w:eastAsia="Arial" w:hAnsi="Arial"/>
          <w:sz w:val="16"/>
          <w:szCs w:val="16"/>
          <w:color w:val="auto"/>
        </w:rPr>
        <w:t>Our eight Affinity Groups bring together over 930 employees who share similar affinities, backgrounds, and life experiences, as well as their allies. They focus on providing support, enhancing professional and personal development, and networking within the workplace. They are employee-led, collaborative groups who are committed to positively impacting our DEI pillars; Workforce, Workplace, Marketplace. In 2023, the Affinity Group’s conducted over 100 events including:</w:t>
      </w:r>
    </w:p>
    <w:p>
      <w:pPr>
        <w:spacing w:after="0" w:line="52" w:lineRule="exact"/>
        <w:rPr>
          <w:sz w:val="20"/>
          <w:szCs w:val="20"/>
          <w:color w:val="auto"/>
        </w:rPr>
      </w:pPr>
    </w:p>
    <w:p>
      <w:pPr>
        <w:ind w:left="2000" w:hanging="305"/>
        <w:spacing w:after="0"/>
        <w:tabs>
          <w:tab w:leader="none" w:pos="2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Listening sessions;</w:t>
      </w:r>
    </w:p>
    <w:p>
      <w:pPr>
        <w:spacing w:after="0" w:line="76" w:lineRule="exact"/>
        <w:rPr>
          <w:rFonts w:ascii="Arial" w:cs="Arial" w:eastAsia="Arial" w:hAnsi="Arial"/>
          <w:sz w:val="16"/>
          <w:szCs w:val="16"/>
          <w:color w:val="auto"/>
        </w:rPr>
      </w:pPr>
    </w:p>
    <w:p>
      <w:pPr>
        <w:ind w:left="2000" w:hanging="305"/>
        <w:spacing w:after="0"/>
        <w:tabs>
          <w:tab w:leader="none" w:pos="2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Career Development events;</w:t>
      </w:r>
    </w:p>
    <w:p>
      <w:pPr>
        <w:spacing w:after="0" w:line="76" w:lineRule="exact"/>
        <w:rPr>
          <w:rFonts w:ascii="Arial" w:cs="Arial" w:eastAsia="Arial" w:hAnsi="Arial"/>
          <w:sz w:val="16"/>
          <w:szCs w:val="16"/>
          <w:color w:val="auto"/>
        </w:rPr>
      </w:pPr>
    </w:p>
    <w:p>
      <w:pPr>
        <w:ind w:left="2000" w:hanging="305"/>
        <w:spacing w:after="0"/>
        <w:tabs>
          <w:tab w:leader="none" w:pos="2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Leadership forums;</w:t>
      </w:r>
    </w:p>
    <w:p>
      <w:pPr>
        <w:spacing w:after="0" w:line="76" w:lineRule="exact"/>
        <w:rPr>
          <w:rFonts w:ascii="Arial" w:cs="Arial" w:eastAsia="Arial" w:hAnsi="Arial"/>
          <w:sz w:val="16"/>
          <w:szCs w:val="16"/>
          <w:color w:val="auto"/>
        </w:rPr>
      </w:pPr>
    </w:p>
    <w:p>
      <w:pPr>
        <w:ind w:left="2000" w:hanging="305"/>
        <w:spacing w:after="0"/>
        <w:tabs>
          <w:tab w:leader="none" w:pos="2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Meet and Greet sessions;</w:t>
      </w:r>
    </w:p>
    <w:p>
      <w:pPr>
        <w:spacing w:after="0" w:line="76" w:lineRule="exact"/>
        <w:rPr>
          <w:rFonts w:ascii="Arial" w:cs="Arial" w:eastAsia="Arial" w:hAnsi="Arial"/>
          <w:sz w:val="16"/>
          <w:szCs w:val="16"/>
          <w:color w:val="auto"/>
        </w:rPr>
      </w:pPr>
    </w:p>
    <w:p>
      <w:pPr>
        <w:ind w:left="2000" w:hanging="305"/>
        <w:spacing w:after="0"/>
        <w:tabs>
          <w:tab w:leader="none" w:pos="2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Health programs;</w:t>
      </w:r>
    </w:p>
    <w:p>
      <w:pPr>
        <w:spacing w:after="0" w:line="76" w:lineRule="exact"/>
        <w:rPr>
          <w:rFonts w:ascii="Arial" w:cs="Arial" w:eastAsia="Arial" w:hAnsi="Arial"/>
          <w:sz w:val="16"/>
          <w:szCs w:val="16"/>
          <w:color w:val="auto"/>
        </w:rPr>
      </w:pPr>
    </w:p>
    <w:p>
      <w:pPr>
        <w:ind w:left="2000" w:hanging="305"/>
        <w:spacing w:after="0"/>
        <w:tabs>
          <w:tab w:leader="none" w:pos="2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Financial programs; and</w:t>
      </w:r>
    </w:p>
    <w:p>
      <w:pPr>
        <w:spacing w:after="0" w:line="76" w:lineRule="exact"/>
        <w:rPr>
          <w:rFonts w:ascii="Arial" w:cs="Arial" w:eastAsia="Arial" w:hAnsi="Arial"/>
          <w:sz w:val="16"/>
          <w:szCs w:val="16"/>
          <w:color w:val="auto"/>
        </w:rPr>
      </w:pPr>
    </w:p>
    <w:p>
      <w:pPr>
        <w:ind w:left="2000" w:right="320" w:hanging="305"/>
        <w:spacing w:after="0" w:line="265" w:lineRule="auto"/>
        <w:tabs>
          <w:tab w:leader="none" w:pos="2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Celebrate Together – a multicultural Affinity Group celebration to share holiday traditions, cultural expressions, ethnic cuisine, and 2023 achievements.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9380" w:hanging="281"/>
        <w:spacing w:after="0"/>
        <w:tabs>
          <w:tab w:leader="none" w:pos="9380" w:val="left"/>
        </w:tabs>
        <w:numPr>
          <w:ilvl w:val="1"/>
          <w:numId w:val="23"/>
        </w:numPr>
        <w:rPr>
          <w:rFonts w:ascii="Arial" w:cs="Arial" w:eastAsia="Arial" w:hAnsi="Arial"/>
          <w:sz w:val="21"/>
          <w:szCs w:val="21"/>
          <w:color w:val="auto"/>
          <w:vertAlign w:val="subscript"/>
        </w:rPr>
      </w:pPr>
      <w:r>
        <w:rPr>
          <w:sz w:val="1"/>
          <w:szCs w:val="1"/>
          <w:color w:val="auto"/>
        </w:rPr>
        <w:drawing>
          <wp:inline distT="0" distB="0" distL="0" distR="0">
            <wp:extent cx="396240" cy="18986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1"/>
          <w:szCs w:val="21"/>
          <w:color w:val="auto"/>
          <w:vertAlign w:val="subscript"/>
        </w:rPr>
        <w:t xml:space="preserve">    </w:t>
      </w:r>
      <w:r>
        <w:rPr>
          <w:rFonts w:ascii="Arial" w:cs="Arial" w:eastAsia="Arial" w:hAnsi="Arial"/>
          <w:sz w:val="21"/>
          <w:szCs w:val="21"/>
          <w:color w:val="auto"/>
        </w:rPr>
        <w: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-1235710</wp:posOffset>
            </wp:positionV>
            <wp:extent cx="6773545" cy="13633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73545" cy="136334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Corporate Governance</w:t>
      </w:r>
    </w:p>
    <w:p>
      <w:pPr>
        <w:spacing w:after="0" w:line="137" w:lineRule="exact"/>
        <w:rPr>
          <w:sz w:val="20"/>
          <w:szCs w:val="20"/>
          <w:color w:val="auto"/>
        </w:rPr>
      </w:pPr>
    </w:p>
    <w:p>
      <w:pPr>
        <w:jc w:val="both"/>
        <w:ind w:left="320" w:right="380"/>
        <w:spacing w:after="0" w:line="251" w:lineRule="auto"/>
        <w:rPr>
          <w:sz w:val="20"/>
          <w:szCs w:val="20"/>
          <w:color w:val="auto"/>
        </w:rPr>
      </w:pPr>
      <w:r>
        <w:rPr>
          <w:rFonts w:ascii="Arial" w:cs="Arial" w:eastAsia="Arial" w:hAnsi="Arial"/>
          <w:sz w:val="16"/>
          <w:szCs w:val="16"/>
          <w:color w:val="auto"/>
        </w:rPr>
        <w:t>Our Diverse Global Supplier Network connected approximately 465 diverse and underrepresented suppliers to our Kelly network in 2023. While this number is down from 2022, Kelly was still able to increase the impact of our program with diverse spend under management with diverse suppliers growing from $1.8B in 2022 to $2.2B in 2023.</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0A9E50"/>
        </w:rPr>
        <w:t>Governance:</w:t>
      </w:r>
    </w:p>
    <w:p>
      <w:pPr>
        <w:spacing w:after="0" w:line="78" w:lineRule="exact"/>
        <w:rPr>
          <w:sz w:val="20"/>
          <w:szCs w:val="20"/>
          <w:color w:val="auto"/>
        </w:rPr>
      </w:pPr>
    </w:p>
    <w:p>
      <w:pPr>
        <w:ind w:left="320"/>
        <w:spacing w:after="0" w:line="251" w:lineRule="auto"/>
        <w:rPr>
          <w:sz w:val="20"/>
          <w:szCs w:val="20"/>
          <w:color w:val="auto"/>
        </w:rPr>
      </w:pPr>
      <w:r>
        <w:rPr>
          <w:rFonts w:ascii="Arial" w:cs="Arial" w:eastAsia="Arial" w:hAnsi="Arial"/>
          <w:sz w:val="16"/>
          <w:szCs w:val="16"/>
          <w:color w:val="auto"/>
        </w:rPr>
        <w:t>Kelly is committed to doing the right thing, conducting ourselves in a legal, ethical, and trustworthy manner, strictly upholding our regulatory obligations in every country we operate and complying with the letter and spirit of our business policies and values. Our commitment is to hold ourselves accountable for our actions and goals.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2023 Governance Highlights:</w:t>
      </w:r>
    </w:p>
    <w:p>
      <w:pPr>
        <w:spacing w:after="0" w:line="65" w:lineRule="exact"/>
        <w:rPr>
          <w:sz w:val="20"/>
          <w:szCs w:val="20"/>
          <w:color w:val="auto"/>
        </w:rPr>
      </w:pPr>
    </w:p>
    <w:p>
      <w:pPr>
        <w:ind w:left="320" w:right="160"/>
        <w:spacing w:after="0" w:line="303" w:lineRule="auto"/>
        <w:rPr>
          <w:sz w:val="20"/>
          <w:szCs w:val="20"/>
          <w:color w:val="auto"/>
        </w:rPr>
      </w:pPr>
      <w:r>
        <w:rPr>
          <w:rFonts w:ascii="Arial" w:cs="Arial" w:eastAsia="Arial" w:hAnsi="Arial"/>
          <w:sz w:val="14"/>
          <w:szCs w:val="14"/>
          <w:color w:val="auto"/>
        </w:rPr>
        <w:t xml:space="preserve">The production of our </w:t>
      </w:r>
      <w:r>
        <w:rPr>
          <w:rFonts w:ascii="Arial" w:cs="Arial" w:eastAsia="Arial" w:hAnsi="Arial"/>
          <w:sz w:val="14"/>
          <w:szCs w:val="14"/>
          <w:i w:val="1"/>
          <w:iCs w:val="1"/>
          <w:color w:val="auto"/>
        </w:rPr>
        <w:t>Growing with Purpose – Corporate Sustainability and ESG</w:t>
      </w:r>
      <w:r>
        <w:rPr>
          <w:rFonts w:ascii="Arial" w:cs="Arial" w:eastAsia="Arial" w:hAnsi="Arial"/>
          <w:sz w:val="14"/>
          <w:szCs w:val="14"/>
          <w:color w:val="auto"/>
        </w:rPr>
        <w:t xml:space="preserve"> report is in accordance with Global Reporting Initiative (“GRI”) standards, Sustainability Accounting Standards Board (“SASB”), United Nations Global Compact (“UNGC”), and Securities and Exchange Commission (“SEC”) disclosures. Our 2022 ESG report that was published in May 2023, can be found on the Company’s website at </w:t>
      </w:r>
      <w:r>
        <w:rPr>
          <w:rFonts w:ascii="Arial" w:cs="Arial" w:eastAsia="Arial" w:hAnsi="Arial"/>
          <w:sz w:val="14"/>
          <w:szCs w:val="14"/>
          <w:i w:val="1"/>
          <w:iCs w:val="1"/>
          <w:color w:val="auto"/>
        </w:rPr>
        <w:t>kellyservices.com</w:t>
      </w:r>
      <w:r>
        <w:rPr>
          <w:rFonts w:ascii="Arial" w:cs="Arial" w:eastAsia="Arial" w:hAnsi="Arial"/>
          <w:sz w:val="14"/>
          <w:szCs w:val="14"/>
          <w:color w:val="auto"/>
        </w:rPr>
        <w:t>.</w:t>
      </w:r>
    </w:p>
    <w:p>
      <w:pPr>
        <w:spacing w:after="0" w:line="2" w:lineRule="exact"/>
        <w:rPr>
          <w:sz w:val="20"/>
          <w:szCs w:val="20"/>
          <w:color w:val="auto"/>
        </w:rPr>
      </w:pPr>
    </w:p>
    <w:p>
      <w:pPr>
        <w:ind w:left="320" w:right="20"/>
        <w:spacing w:after="0" w:line="243" w:lineRule="auto"/>
        <w:rPr>
          <w:sz w:val="20"/>
          <w:szCs w:val="20"/>
          <w:color w:val="auto"/>
        </w:rPr>
      </w:pPr>
      <w:r>
        <w:rPr>
          <w:rFonts w:ascii="Arial" w:cs="Arial" w:eastAsia="Arial" w:hAnsi="Arial"/>
          <w:sz w:val="16"/>
          <w:szCs w:val="16"/>
          <w:color w:val="auto"/>
        </w:rPr>
        <w:t>We continued annual training and acknowledgment of our global policies, with 93.5% of employees acknowledging our Code of Business Conduct and Ethics and completing global policy training on business ethics and human rights topics. We expect compliance with new and updated legislation and standards in all geographies in which we operate. In 2023, we continued ongoing efforts to strengthen Kelly’s protection of personal data with updates to our Information Security policies to ensure the highest information security standards across our network, including the adoption of international standard procedures to ensure ongoing compliance with the European Union’s General Data Protection Regulation (“GDPR”), California’s Consumer Privacy Rights Act, and all other data privacy laws and regulations in the geographies where we do business.</w:t>
      </w:r>
    </w:p>
    <w:p>
      <w:pPr>
        <w:spacing w:after="0" w:line="53" w:lineRule="exact"/>
        <w:rPr>
          <w:sz w:val="20"/>
          <w:szCs w:val="20"/>
          <w:color w:val="auto"/>
        </w:rPr>
      </w:pPr>
    </w:p>
    <w:p>
      <w:pPr>
        <w:ind w:left="320" w:right="100"/>
        <w:spacing w:after="0" w:line="244" w:lineRule="auto"/>
        <w:rPr>
          <w:sz w:val="20"/>
          <w:szCs w:val="20"/>
          <w:color w:val="auto"/>
        </w:rPr>
      </w:pPr>
      <w:r>
        <w:rPr>
          <w:rFonts w:ascii="Arial" w:cs="Arial" w:eastAsia="Arial" w:hAnsi="Arial"/>
          <w:sz w:val="16"/>
          <w:szCs w:val="16"/>
          <w:color w:val="auto"/>
        </w:rPr>
        <w:t>The Company participates in external assessments, such as EcoVadis, to analyze our performance and identify opportunities for improvement, while providing a consistent and transparent measurement for the impact of our ESG Strategy. According to EcoVadis, their rating covers a broad range of non-financial management systems including Environmental, Labor &amp; Human Rights, Ethics and Sustainable Procurement impacts. This is the sixth consecutive year the Company has participated in the annual EcoVadis assessment and our first year to achieve “Gold” status, placing us in the top 3% of companies rated in the temporary employment industry.</w:t>
      </w:r>
    </w:p>
    <w:p>
      <w:pPr>
        <w:spacing w:after="0" w:line="56"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34 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860"/>
          </w:cols>
          <w:pgMar w:left="320" w:top="471" w:right="7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Corporate Governance</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Human Capital</w:t>
      </w:r>
    </w:p>
    <w:p>
      <w:pPr>
        <w:spacing w:after="0" w:line="85" w:lineRule="exact"/>
        <w:rPr>
          <w:sz w:val="20"/>
          <w:szCs w:val="20"/>
          <w:color w:val="auto"/>
        </w:rPr>
      </w:pPr>
    </w:p>
    <w:p>
      <w:pPr>
        <w:ind w:left="320" w:right="20"/>
        <w:spacing w:after="0" w:line="244" w:lineRule="auto"/>
        <w:rPr>
          <w:sz w:val="20"/>
          <w:szCs w:val="20"/>
          <w:color w:val="auto"/>
        </w:rPr>
      </w:pPr>
      <w:r>
        <w:rPr>
          <w:rFonts w:ascii="Arial" w:cs="Arial" w:eastAsia="Arial" w:hAnsi="Arial"/>
          <w:sz w:val="16"/>
          <w:szCs w:val="16"/>
          <w:color w:val="auto"/>
        </w:rPr>
        <w:t>Kelly is a talent solutions company dedicated to connecting people to work in ways that enrich their lives, and our employees are critical to achieving this noble purpose. To compete and succeed in a highly competitive and rapidly evolving market, it is crucial that the Company attracts and retains experienced internal employees, as well as the talent we put to work for our customers. As part of these efforts, we strive to offer competitive total rewards programs, promote employee development, foster an inclusive and diverse environment, and give employees the opportunity to give back to their communities and make a social impact.</w:t>
      </w:r>
    </w:p>
    <w:p>
      <w:pPr>
        <w:spacing w:after="0" w:line="40" w:lineRule="exact"/>
        <w:rPr>
          <w:sz w:val="20"/>
          <w:szCs w:val="20"/>
          <w:color w:val="auto"/>
        </w:rPr>
      </w:pPr>
    </w:p>
    <w:p>
      <w:pPr>
        <w:jc w:val="both"/>
        <w:ind w:left="320" w:right="140"/>
        <w:spacing w:after="0" w:line="251" w:lineRule="auto"/>
        <w:rPr>
          <w:sz w:val="20"/>
          <w:szCs w:val="20"/>
          <w:color w:val="auto"/>
        </w:rPr>
      </w:pPr>
      <w:r>
        <w:rPr>
          <w:rFonts w:ascii="Arial" w:cs="Arial" w:eastAsia="Arial" w:hAnsi="Arial"/>
          <w:sz w:val="16"/>
          <w:szCs w:val="16"/>
          <w:color w:val="auto"/>
        </w:rPr>
        <w:t>The Company is committed to the health, safety, and wellness of our employees and talent. The success of our business is fundamentally connected to the well-being of our people. Accordingly, we implement policies and practices that align with applicable laws and regulations and are in the best interest of our employees and talent, and the communities in which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442595</wp:posOffset>
            </wp:positionV>
            <wp:extent cx="6740525" cy="2073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40525" cy="207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80" w:right="300"/>
        <w:spacing w:after="0" w:line="251" w:lineRule="auto"/>
        <w:rPr>
          <w:sz w:val="20"/>
          <w:szCs w:val="20"/>
          <w:color w:val="auto"/>
        </w:rPr>
      </w:pPr>
      <w:r>
        <w:rPr>
          <w:rFonts w:ascii="Arial" w:cs="Arial" w:eastAsia="Arial" w:hAnsi="Arial"/>
          <w:sz w:val="16"/>
          <w:szCs w:val="16"/>
          <w:color w:val="auto"/>
        </w:rPr>
        <w:t>As of December 31, 2023 we employed approximately 3,700 staff members in the United States and an additional 2,500 in our international locations. The Company’s retention rates for employees identified as high performing and high potential employees align with our comparable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1252220</wp:posOffset>
            </wp:positionV>
            <wp:extent cx="67405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1508125</wp:posOffset>
            </wp:positionV>
            <wp:extent cx="1288415" cy="1941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88415" cy="194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080" w:right="660"/>
        <w:spacing w:after="0" w:line="282" w:lineRule="auto"/>
        <w:rPr>
          <w:sz w:val="20"/>
          <w:szCs w:val="20"/>
          <w:color w:val="auto"/>
        </w:rPr>
      </w:pPr>
      <w:r>
        <w:rPr>
          <w:rFonts w:ascii="Arial" w:cs="Arial" w:eastAsia="Arial" w:hAnsi="Arial"/>
          <w:sz w:val="14"/>
          <w:szCs w:val="14"/>
          <w:color w:val="auto"/>
        </w:rPr>
        <w:t>In addition to our internal employees, the Company recruits talent on behalf of customers on a global basis. In 2023, we placed more than 500,000 individuals in positions with our customers. When Kelly remains the employer of record for our talent working at customer locations, we retain responsibilities for all assignments (including ensuring appropriate health and safety protocols in conjunction with our customers), wages, benefits, workers’ compensation insurance, and the employer’s share of applicable payroll taxes as well as administration and payment of the employees’ share of these taxes. We also offer our talent access to competitive health and benefit programs while they are working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-184150</wp:posOffset>
            </wp:positionV>
            <wp:extent cx="8255" cy="2228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94615</wp:posOffset>
            </wp:positionV>
            <wp:extent cx="1288415" cy="19411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88415" cy="1941195"/>
                    </a:xfrm>
                    <a:prstGeom prst="rect">
                      <a:avLst/>
                    </a:prstGeom>
                    <a:noFill/>
                  </pic:spPr>
                </pic:pic>
              </a:graphicData>
            </a:graphic>
          </wp:anchor>
        </w:drawing>
      </w:r>
    </w:p>
    <w:p>
      <w:pPr>
        <w:spacing w:after="0" w:line="390" w:lineRule="exact"/>
        <w:rPr>
          <w:sz w:val="20"/>
          <w:szCs w:val="20"/>
          <w:color w:val="auto"/>
        </w:rPr>
      </w:pPr>
    </w:p>
    <w:p>
      <w:pPr>
        <w:ind w:left="3080"/>
        <w:spacing w:after="0" w:line="239" w:lineRule="auto"/>
        <w:rPr>
          <w:sz w:val="20"/>
          <w:szCs w:val="20"/>
          <w:color w:val="auto"/>
        </w:rPr>
      </w:pPr>
      <w:r>
        <w:rPr>
          <w:rFonts w:ascii="Arial" w:cs="Arial" w:eastAsia="Arial" w:hAnsi="Arial"/>
          <w:sz w:val="16"/>
          <w:szCs w:val="16"/>
          <w:color w:val="auto"/>
        </w:rPr>
        <w:t>The Company is committed to providing employees with competitive, equitable, and fiscally responsible total rewards opportunities. We align internal employee and shareholder interests with strong pay-for-performance linkages that include a mix of base salary, short-term incentives and, in the case of our more senior employees, long-term equity awards. We believe that our programs provide fair and competitive opportunities that attract, retain, and reward talented individuals who possess the skills necessary to achieve our strategic goals and create long-term value for our shareholders. In addition to cash and equity compensation, we also offer benefits such as life and health (medical, dental and vision) insurance, paid time off, wellness benefits, and defined contribution retirement plans. We review our compensation and benefit programs regularly and respond to changes in market practice and encourage our customers to do the same with respect to the talent we recruit on their behalf. Recent internal changes enhance our U.S. benefits program including additional time off for significant life events, a financial advisor program, support programs for certain chronic health conditions, and introduction of a well-being app. Pay and benefits programs provided to our international employees are in line with competitive local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502920</wp:posOffset>
            </wp:positionV>
            <wp:extent cx="67405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750570</wp:posOffset>
            </wp:positionV>
            <wp:extent cx="1288415" cy="1941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88415" cy="194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080" w:right="20"/>
        <w:spacing w:after="0"/>
        <w:rPr>
          <w:sz w:val="20"/>
          <w:szCs w:val="20"/>
          <w:color w:val="auto"/>
        </w:rPr>
      </w:pPr>
      <w:r>
        <w:rPr>
          <w:rFonts w:ascii="Arial" w:cs="Arial" w:eastAsia="Arial" w:hAnsi="Arial"/>
          <w:sz w:val="16"/>
          <w:szCs w:val="16"/>
          <w:color w:val="auto"/>
        </w:rPr>
        <w:t>Since 1946, our founder fought to increase access to work for women, and we’ve long been an outspoken advocate for the value temporary and independent workers bring to the workplace. We are committed to fostering an inclusive, equitable, and diverse workforce, which we believe produces more innovative products and services and results in our customers having access to the best talent in the marketplace. A significant majority of Kelly’s U.S. workforce are women, including a majority of director and above roles. In 2023, the Company was named America’s Best Temporary Staffing Firm by Forbes and one of the World’s Best Companies by TIME Magazine. Additionally, Kelly earned the 2024 Military Friendly Spouse Employer Designation. Kelly is a workplace leader in creating an inclusive environment with diverse teams, aiding our ability to attract and retain high-performing talent. The Company fosters a culture of belonging, where everyone feels welcomed and respected and can thrive as we work together. Kelly promotes employee development and internal career mobility to enable our team to achieve their full potential and ensure we have the evolving workforce capabilities that the future demands.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538480</wp:posOffset>
            </wp:positionV>
            <wp:extent cx="67405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786765</wp:posOffset>
            </wp:positionV>
            <wp:extent cx="1288415" cy="19411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88415" cy="194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080" w:right="200"/>
        <w:spacing w:after="0" w:line="241" w:lineRule="auto"/>
        <w:rPr>
          <w:sz w:val="20"/>
          <w:szCs w:val="20"/>
          <w:color w:val="auto"/>
        </w:rPr>
      </w:pPr>
      <w:r>
        <w:rPr>
          <w:rFonts w:ascii="Arial" w:cs="Arial" w:eastAsia="Arial" w:hAnsi="Arial"/>
          <w:sz w:val="16"/>
          <w:szCs w:val="16"/>
          <w:color w:val="auto"/>
        </w:rPr>
        <w:t xml:space="preserve">We consider sustainability a guiding principle in strengthening the relationship with our global workforce, suppliers, and customers. Through our programs and initiatives, we seek to improve the quality of life of our employees, their families, and the communities in which they live and serve. Designed on the concept of social investment and nurturing shared values, our approach ensures the creation of future development capacities instead of aiding on isolated occasions. We support initiatives where our employees can actively engage in the causes they believe in, that are also connected to our sustainability strategy. For more information on our diversity, equity, and inclusion and community involvement initiatives, please see our Sustainability Report – Growing with Purpose at </w:t>
      </w:r>
      <w:r>
        <w:rPr>
          <w:rFonts w:ascii="Arial" w:cs="Arial" w:eastAsia="Arial" w:hAnsi="Arial"/>
          <w:sz w:val="16"/>
          <w:szCs w:val="16"/>
          <w:i w:val="1"/>
          <w:iCs w:val="1"/>
          <w:color w:val="auto"/>
        </w:rPr>
        <w:t>kellyservices.com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36 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20"/>
          </w:cols>
          <w:pgMar w:left="320" w:top="471" w:right="6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Corporate Governance</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Director Selection Process</w:t>
      </w:r>
    </w:p>
    <w:p>
      <w:pPr>
        <w:spacing w:after="0" w:line="85" w:lineRule="exact"/>
        <w:rPr>
          <w:sz w:val="20"/>
          <w:szCs w:val="20"/>
          <w:color w:val="auto"/>
        </w:rPr>
      </w:pPr>
    </w:p>
    <w:p>
      <w:pPr>
        <w:ind w:left="320" w:right="360"/>
        <w:spacing w:after="0" w:line="281" w:lineRule="auto"/>
        <w:rPr>
          <w:sz w:val="20"/>
          <w:szCs w:val="20"/>
          <w:color w:val="auto"/>
        </w:rPr>
      </w:pPr>
      <w:r>
        <w:rPr>
          <w:rFonts w:ascii="Arial" w:cs="Arial" w:eastAsia="Arial" w:hAnsi="Arial"/>
          <w:sz w:val="14"/>
          <w:szCs w:val="14"/>
          <w:color w:val="auto"/>
        </w:rPr>
        <w:t>The Corporate Governance and Nominating Committee is responsible for the identification, screening, and recommending qualified candidates for nomination by the full Board. The Board of Directors, together with Corporate Governance and Nominating Committee, is committed to ensuring that:</w:t>
      </w:r>
    </w:p>
    <w:p>
      <w:pPr>
        <w:spacing w:after="0" w:line="1" w:lineRule="exact"/>
        <w:rPr>
          <w:sz w:val="20"/>
          <w:szCs w:val="20"/>
          <w:color w:val="auto"/>
        </w:rPr>
      </w:pPr>
    </w:p>
    <w:p>
      <w:pPr>
        <w:ind w:left="320" w:right="40" w:hanging="4"/>
        <w:spacing w:after="0" w:line="238" w:lineRule="auto"/>
        <w:tabs>
          <w:tab w:leader="none" w:pos="55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Board as a whole is composed with the right combination of knowledge, experience, continuity, reputation, and diversity that are pertinent to the Company’s operating environment and strategic direction; (2) the Board has the independence and competence to continue providing the high level of governance and oversight that the Company’s shareholders have come to expect; and (3) there is a seamless transition when a director decides to retire or step down from the Board. Among other aspects of the process, the Board of Directors: identifies the collective mix of desired skills, experience, knowledge, diversity, and independence for the Board of Directors, taken as a whole, and identifies potential opportunities for enhancement in one or more of those areas; considers each current director’s experience, skills, principal occupation, reputation, independence, age, tenure, committee membership and diversity (including geography, gender and ethnicity); and considers the results of the Board and committee self-evaluations, as well as feedback received during one-on-one interviews of each director. An independent third-party search firm is retained by the Committee, which recommends candidates who satisfy the Board’s criteria. The search firm also provides research and pertinent information related to candidates as requested. Potential candidates are also suggested by several members of the Company’s Board and senior leadership team. An overview of the Board’s director selection process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145415</wp:posOffset>
            </wp:positionV>
            <wp:extent cx="67405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60"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520" w:type="dxa"/>
            <w:vAlign w:val="bottom"/>
          </w:tcPr>
          <w:p>
            <w:pPr>
              <w:ind w:left="80"/>
              <w:spacing w:after="0"/>
              <w:rPr>
                <w:sz w:val="20"/>
                <w:szCs w:val="20"/>
                <w:color w:val="auto"/>
              </w:rPr>
            </w:pPr>
            <w:r>
              <w:rPr>
                <w:rFonts w:ascii="Arial" w:cs="Arial" w:eastAsia="Arial" w:hAnsi="Arial"/>
                <w:sz w:val="16"/>
                <w:szCs w:val="16"/>
                <w:color w:val="0A9E50"/>
              </w:rPr>
              <w:t>Evaluate Board Composition</w:t>
            </w:r>
          </w:p>
        </w:tc>
        <w:tc>
          <w:tcPr>
            <w:tcW w:w="7100" w:type="dxa"/>
            <w:vAlign w:val="bottom"/>
          </w:tcPr>
          <w:p>
            <w:pPr>
              <w:ind w:left="740"/>
              <w:spacing w:after="0"/>
              <w:rPr>
                <w:sz w:val="20"/>
                <w:szCs w:val="20"/>
                <w:color w:val="auto"/>
              </w:rPr>
            </w:pPr>
            <w:r>
              <w:rPr>
                <w:rFonts w:ascii="Arial" w:cs="Arial" w:eastAsia="Arial" w:hAnsi="Arial"/>
                <w:sz w:val="16"/>
                <w:szCs w:val="16"/>
                <w:color w:val="auto"/>
              </w:rPr>
              <w:t>Using the Company’s Corporate Governance Principles, Board Composition Matrix, and</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Board self-evaluation process, the Committee (or subcommittee) evaluates the size,</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composition, priorities, and needs of the Board with respect to its desired experience,</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skills, and diversity in consideration of the Company’s current and anticipated business</w:t>
            </w:r>
          </w:p>
        </w:tc>
      </w:tr>
      <w:tr>
        <w:trPr>
          <w:trHeight w:val="205"/>
        </w:trPr>
        <w:tc>
          <w:tcPr>
            <w:tcW w:w="3520" w:type="dxa"/>
            <w:vAlign w:val="bottom"/>
          </w:tcPr>
          <w:p>
            <w:pPr>
              <w:spacing w:after="0"/>
              <w:rPr>
                <w:sz w:val="17"/>
                <w:szCs w:val="17"/>
                <w:color w:val="auto"/>
              </w:rPr>
            </w:pPr>
          </w:p>
        </w:tc>
        <w:tc>
          <w:tcPr>
            <w:tcW w:w="7100" w:type="dxa"/>
            <w:vAlign w:val="bottom"/>
          </w:tcPr>
          <w:p>
            <w:pPr>
              <w:ind w:left="740"/>
              <w:spacing w:after="0"/>
              <w:rPr>
                <w:sz w:val="20"/>
                <w:szCs w:val="20"/>
                <w:color w:val="auto"/>
              </w:rPr>
            </w:pPr>
            <w:r>
              <w:rPr>
                <w:rFonts w:ascii="Arial" w:cs="Arial" w:eastAsia="Arial" w:hAnsi="Arial"/>
                <w:sz w:val="16"/>
                <w:szCs w:val="16"/>
                <w:color w:val="auto"/>
              </w:rPr>
              <w:t>needs and strategies.</w:t>
            </w:r>
          </w:p>
        </w:tc>
      </w:tr>
      <w:tr>
        <w:trPr>
          <w:trHeight w:val="93"/>
        </w:trPr>
        <w:tc>
          <w:tcPr>
            <w:tcW w:w="3520" w:type="dxa"/>
            <w:vAlign w:val="bottom"/>
            <w:tcBorders>
              <w:bottom w:val="single" w:sz="8" w:color="7F7F7F"/>
            </w:tcBorders>
          </w:tcPr>
          <w:p>
            <w:pPr>
              <w:spacing w:after="0"/>
              <w:rPr>
                <w:sz w:val="8"/>
                <w:szCs w:val="8"/>
                <w:color w:val="auto"/>
              </w:rPr>
            </w:pPr>
          </w:p>
        </w:tc>
        <w:tc>
          <w:tcPr>
            <w:tcW w:w="7100" w:type="dxa"/>
            <w:vAlign w:val="bottom"/>
            <w:tcBorders>
              <w:bottom w:val="single" w:sz="8" w:color="7F7F7F"/>
            </w:tcBorders>
          </w:tcPr>
          <w:p>
            <w:pPr>
              <w:spacing w:after="0"/>
              <w:rPr>
                <w:sz w:val="8"/>
                <w:szCs w:val="8"/>
                <w:color w:val="auto"/>
              </w:rPr>
            </w:pPr>
          </w:p>
        </w:tc>
      </w:tr>
      <w:tr>
        <w:trPr>
          <w:trHeight w:val="215"/>
        </w:trPr>
        <w:tc>
          <w:tcPr>
            <w:tcW w:w="3520" w:type="dxa"/>
            <w:vAlign w:val="bottom"/>
          </w:tcPr>
          <w:p>
            <w:pPr>
              <w:ind w:left="80"/>
              <w:spacing w:after="0"/>
              <w:rPr>
                <w:sz w:val="20"/>
                <w:szCs w:val="20"/>
                <w:color w:val="auto"/>
              </w:rPr>
            </w:pPr>
            <w:r>
              <w:rPr>
                <w:rFonts w:ascii="Arial" w:cs="Arial" w:eastAsia="Arial" w:hAnsi="Arial"/>
                <w:sz w:val="16"/>
                <w:szCs w:val="16"/>
                <w:color w:val="0A9E50"/>
              </w:rPr>
              <w:t>Identification of Potential Candidates</w:t>
            </w:r>
          </w:p>
        </w:tc>
        <w:tc>
          <w:tcPr>
            <w:tcW w:w="7100" w:type="dxa"/>
            <w:vAlign w:val="bottom"/>
          </w:tcPr>
          <w:p>
            <w:pPr>
              <w:ind w:left="740"/>
              <w:spacing w:after="0"/>
              <w:rPr>
                <w:sz w:val="20"/>
                <w:szCs w:val="20"/>
                <w:color w:val="auto"/>
              </w:rPr>
            </w:pPr>
            <w:r>
              <w:rPr>
                <w:rFonts w:ascii="Arial" w:cs="Arial" w:eastAsia="Arial" w:hAnsi="Arial"/>
                <w:sz w:val="16"/>
                <w:szCs w:val="16"/>
                <w:color w:val="auto"/>
                <w:w w:val="99"/>
              </w:rPr>
              <w:t>The Committee instructs the search firm to provide an initial pool of candidates that reflect</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gender, race, ethnic and cultural diversity, possess the core qualifications required, and</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includes the specific experience and skills as identified during the evaluation of current</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w w:val="98"/>
              </w:rPr>
              <w:t>board composition. The Committee also encourages and considers candidate submissions</w:t>
            </w:r>
          </w:p>
        </w:tc>
      </w:tr>
      <w:tr>
        <w:trPr>
          <w:trHeight w:val="205"/>
        </w:trPr>
        <w:tc>
          <w:tcPr>
            <w:tcW w:w="3520" w:type="dxa"/>
            <w:vAlign w:val="bottom"/>
          </w:tcPr>
          <w:p>
            <w:pPr>
              <w:spacing w:after="0"/>
              <w:rPr>
                <w:sz w:val="17"/>
                <w:szCs w:val="17"/>
                <w:color w:val="auto"/>
              </w:rPr>
            </w:pPr>
          </w:p>
        </w:tc>
        <w:tc>
          <w:tcPr>
            <w:tcW w:w="7100" w:type="dxa"/>
            <w:vAlign w:val="bottom"/>
          </w:tcPr>
          <w:p>
            <w:pPr>
              <w:ind w:left="740"/>
              <w:spacing w:after="0"/>
              <w:rPr>
                <w:sz w:val="20"/>
                <w:szCs w:val="20"/>
                <w:color w:val="auto"/>
              </w:rPr>
            </w:pPr>
            <w:r>
              <w:rPr>
                <w:rFonts w:ascii="Arial" w:cs="Arial" w:eastAsia="Arial" w:hAnsi="Arial"/>
                <w:sz w:val="16"/>
                <w:szCs w:val="16"/>
                <w:color w:val="auto"/>
              </w:rPr>
              <w:t>from other directors and members of Company management.</w:t>
            </w:r>
          </w:p>
        </w:tc>
      </w:tr>
      <w:tr>
        <w:trPr>
          <w:trHeight w:val="93"/>
        </w:trPr>
        <w:tc>
          <w:tcPr>
            <w:tcW w:w="3520" w:type="dxa"/>
            <w:vAlign w:val="bottom"/>
            <w:tcBorders>
              <w:bottom w:val="single" w:sz="8" w:color="7F7F7F"/>
            </w:tcBorders>
          </w:tcPr>
          <w:p>
            <w:pPr>
              <w:spacing w:after="0"/>
              <w:rPr>
                <w:sz w:val="8"/>
                <w:szCs w:val="8"/>
                <w:color w:val="auto"/>
              </w:rPr>
            </w:pPr>
          </w:p>
        </w:tc>
        <w:tc>
          <w:tcPr>
            <w:tcW w:w="7100" w:type="dxa"/>
            <w:vAlign w:val="bottom"/>
            <w:tcBorders>
              <w:bottom w:val="single" w:sz="8" w:color="7F7F7F"/>
            </w:tcBorders>
          </w:tcPr>
          <w:p>
            <w:pPr>
              <w:spacing w:after="0"/>
              <w:rPr>
                <w:sz w:val="8"/>
                <w:szCs w:val="8"/>
                <w:color w:val="auto"/>
              </w:rPr>
            </w:pPr>
          </w:p>
        </w:tc>
      </w:tr>
      <w:tr>
        <w:trPr>
          <w:trHeight w:val="215"/>
        </w:trPr>
        <w:tc>
          <w:tcPr>
            <w:tcW w:w="3520" w:type="dxa"/>
            <w:vAlign w:val="bottom"/>
          </w:tcPr>
          <w:p>
            <w:pPr>
              <w:ind w:left="80"/>
              <w:spacing w:after="0"/>
              <w:rPr>
                <w:sz w:val="20"/>
                <w:szCs w:val="20"/>
                <w:color w:val="auto"/>
              </w:rPr>
            </w:pPr>
            <w:r>
              <w:rPr>
                <w:rFonts w:ascii="Arial" w:cs="Arial" w:eastAsia="Arial" w:hAnsi="Arial"/>
                <w:sz w:val="16"/>
                <w:szCs w:val="16"/>
                <w:color w:val="0A9E50"/>
              </w:rPr>
              <w:t>Evaluation of Candidates</w:t>
            </w:r>
          </w:p>
        </w:tc>
        <w:tc>
          <w:tcPr>
            <w:tcW w:w="7100" w:type="dxa"/>
            <w:vAlign w:val="bottom"/>
          </w:tcPr>
          <w:p>
            <w:pPr>
              <w:ind w:left="740"/>
              <w:spacing w:after="0"/>
              <w:rPr>
                <w:sz w:val="20"/>
                <w:szCs w:val="20"/>
                <w:color w:val="auto"/>
              </w:rPr>
            </w:pPr>
            <w:r>
              <w:rPr>
                <w:rFonts w:ascii="Arial" w:cs="Arial" w:eastAsia="Arial" w:hAnsi="Arial"/>
                <w:sz w:val="16"/>
                <w:szCs w:val="16"/>
                <w:color w:val="auto"/>
              </w:rPr>
              <w:t>Through meetings with the Committee, a screening process of potential candidates is</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conducted with the independent external search firm that includes a thorough review of</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identified candidates’ qualifications, potential conflicts, independence, backgrounds, and</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experience to assess how each candidate fits the needs of the Company and Board. The</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candidate pool is narrowed for individual interviews with the Committee and full Board.</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Following the interviews, potential candidates are comprehensively reviewed and the</w:t>
            </w:r>
          </w:p>
        </w:tc>
      </w:tr>
      <w:tr>
        <w:trPr>
          <w:trHeight w:val="205"/>
        </w:trPr>
        <w:tc>
          <w:tcPr>
            <w:tcW w:w="3520" w:type="dxa"/>
            <w:vAlign w:val="bottom"/>
          </w:tcPr>
          <w:p>
            <w:pPr>
              <w:spacing w:after="0"/>
              <w:rPr>
                <w:sz w:val="17"/>
                <w:szCs w:val="17"/>
                <w:color w:val="auto"/>
              </w:rPr>
            </w:pPr>
          </w:p>
        </w:tc>
        <w:tc>
          <w:tcPr>
            <w:tcW w:w="7100" w:type="dxa"/>
            <w:vAlign w:val="bottom"/>
          </w:tcPr>
          <w:p>
            <w:pPr>
              <w:ind w:left="740"/>
              <w:spacing w:after="0"/>
              <w:rPr>
                <w:sz w:val="20"/>
                <w:szCs w:val="20"/>
                <w:color w:val="auto"/>
              </w:rPr>
            </w:pPr>
            <w:r>
              <w:rPr>
                <w:rFonts w:ascii="Arial" w:cs="Arial" w:eastAsia="Arial" w:hAnsi="Arial"/>
                <w:sz w:val="16"/>
                <w:szCs w:val="16"/>
                <w:color w:val="auto"/>
              </w:rPr>
              <w:t>subject of rigorous discussion during Committee and Board meetings.</w:t>
            </w:r>
          </w:p>
        </w:tc>
      </w:tr>
      <w:tr>
        <w:trPr>
          <w:trHeight w:val="93"/>
        </w:trPr>
        <w:tc>
          <w:tcPr>
            <w:tcW w:w="3520" w:type="dxa"/>
            <w:vAlign w:val="bottom"/>
            <w:tcBorders>
              <w:bottom w:val="single" w:sz="8" w:color="7F7F7F"/>
            </w:tcBorders>
          </w:tcPr>
          <w:p>
            <w:pPr>
              <w:spacing w:after="0"/>
              <w:rPr>
                <w:sz w:val="8"/>
                <w:szCs w:val="8"/>
                <w:color w:val="auto"/>
              </w:rPr>
            </w:pPr>
          </w:p>
        </w:tc>
        <w:tc>
          <w:tcPr>
            <w:tcW w:w="7100" w:type="dxa"/>
            <w:vAlign w:val="bottom"/>
            <w:tcBorders>
              <w:bottom w:val="single" w:sz="8" w:color="7F7F7F"/>
            </w:tcBorders>
          </w:tcPr>
          <w:p>
            <w:pPr>
              <w:spacing w:after="0"/>
              <w:rPr>
                <w:sz w:val="8"/>
                <w:szCs w:val="8"/>
                <w:color w:val="auto"/>
              </w:rPr>
            </w:pPr>
          </w:p>
        </w:tc>
      </w:tr>
      <w:tr>
        <w:trPr>
          <w:trHeight w:val="215"/>
        </w:trPr>
        <w:tc>
          <w:tcPr>
            <w:tcW w:w="3520" w:type="dxa"/>
            <w:vAlign w:val="bottom"/>
          </w:tcPr>
          <w:p>
            <w:pPr>
              <w:ind w:left="80"/>
              <w:spacing w:after="0"/>
              <w:rPr>
                <w:sz w:val="20"/>
                <w:szCs w:val="20"/>
                <w:color w:val="auto"/>
              </w:rPr>
            </w:pPr>
            <w:r>
              <w:rPr>
                <w:rFonts w:ascii="Arial" w:cs="Arial" w:eastAsia="Arial" w:hAnsi="Arial"/>
                <w:sz w:val="16"/>
                <w:szCs w:val="16"/>
                <w:color w:val="0A9E50"/>
              </w:rPr>
              <w:t>Recommendation</w:t>
            </w:r>
          </w:p>
        </w:tc>
        <w:tc>
          <w:tcPr>
            <w:tcW w:w="7100" w:type="dxa"/>
            <w:vAlign w:val="bottom"/>
          </w:tcPr>
          <w:p>
            <w:pPr>
              <w:ind w:left="740"/>
              <w:spacing w:after="0"/>
              <w:rPr>
                <w:sz w:val="20"/>
                <w:szCs w:val="20"/>
                <w:color w:val="auto"/>
              </w:rPr>
            </w:pPr>
            <w:r>
              <w:rPr>
                <w:rFonts w:ascii="Arial" w:cs="Arial" w:eastAsia="Arial" w:hAnsi="Arial"/>
                <w:sz w:val="16"/>
                <w:szCs w:val="16"/>
                <w:color w:val="auto"/>
              </w:rPr>
              <w:t>Interview and discussion feedback are assessed, and the Committee recommends final</w:t>
            </w:r>
          </w:p>
        </w:tc>
      </w:tr>
      <w:tr>
        <w:trPr>
          <w:trHeight w:val="205"/>
        </w:trPr>
        <w:tc>
          <w:tcPr>
            <w:tcW w:w="3520" w:type="dxa"/>
            <w:vAlign w:val="bottom"/>
          </w:tcPr>
          <w:p>
            <w:pPr>
              <w:spacing w:after="0"/>
              <w:rPr>
                <w:sz w:val="17"/>
                <w:szCs w:val="17"/>
                <w:color w:val="auto"/>
              </w:rPr>
            </w:pPr>
          </w:p>
        </w:tc>
        <w:tc>
          <w:tcPr>
            <w:tcW w:w="7100" w:type="dxa"/>
            <w:vAlign w:val="bottom"/>
          </w:tcPr>
          <w:p>
            <w:pPr>
              <w:ind w:left="740"/>
              <w:spacing w:after="0"/>
              <w:rPr>
                <w:sz w:val="20"/>
                <w:szCs w:val="20"/>
                <w:color w:val="auto"/>
              </w:rPr>
            </w:pPr>
            <w:r>
              <w:rPr>
                <w:rFonts w:ascii="Arial" w:cs="Arial" w:eastAsia="Arial" w:hAnsi="Arial"/>
                <w:sz w:val="16"/>
                <w:szCs w:val="16"/>
                <w:color w:val="auto"/>
              </w:rPr>
              <w:t>candidate(s) to the full Board for appointment.</w:t>
            </w:r>
          </w:p>
        </w:tc>
      </w:tr>
      <w:tr>
        <w:trPr>
          <w:trHeight w:val="93"/>
        </w:trPr>
        <w:tc>
          <w:tcPr>
            <w:tcW w:w="3520" w:type="dxa"/>
            <w:vAlign w:val="bottom"/>
            <w:tcBorders>
              <w:bottom w:val="single" w:sz="8" w:color="7F7F7F"/>
            </w:tcBorders>
          </w:tcPr>
          <w:p>
            <w:pPr>
              <w:spacing w:after="0"/>
              <w:rPr>
                <w:sz w:val="8"/>
                <w:szCs w:val="8"/>
                <w:color w:val="auto"/>
              </w:rPr>
            </w:pPr>
          </w:p>
        </w:tc>
        <w:tc>
          <w:tcPr>
            <w:tcW w:w="7100" w:type="dxa"/>
            <w:vAlign w:val="bottom"/>
            <w:tcBorders>
              <w:bottom w:val="single" w:sz="8" w:color="7F7F7F"/>
            </w:tcBorders>
          </w:tcPr>
          <w:p>
            <w:pPr>
              <w:spacing w:after="0"/>
              <w:rPr>
                <w:sz w:val="8"/>
                <w:szCs w:val="8"/>
                <w:color w:val="auto"/>
              </w:rPr>
            </w:pPr>
          </w:p>
        </w:tc>
      </w:tr>
      <w:tr>
        <w:trPr>
          <w:trHeight w:val="215"/>
        </w:trPr>
        <w:tc>
          <w:tcPr>
            <w:tcW w:w="3520" w:type="dxa"/>
            <w:vAlign w:val="bottom"/>
          </w:tcPr>
          <w:p>
            <w:pPr>
              <w:ind w:left="80"/>
              <w:spacing w:after="0"/>
              <w:rPr>
                <w:sz w:val="20"/>
                <w:szCs w:val="20"/>
                <w:color w:val="auto"/>
              </w:rPr>
            </w:pPr>
            <w:r>
              <w:rPr>
                <w:rFonts w:ascii="Arial" w:cs="Arial" w:eastAsia="Arial" w:hAnsi="Arial"/>
                <w:sz w:val="16"/>
                <w:szCs w:val="16"/>
                <w:color w:val="0A9E50"/>
              </w:rPr>
              <w:t>Review and Appointment by Full Board</w:t>
            </w:r>
          </w:p>
        </w:tc>
        <w:tc>
          <w:tcPr>
            <w:tcW w:w="7100" w:type="dxa"/>
            <w:vAlign w:val="bottom"/>
          </w:tcPr>
          <w:p>
            <w:pPr>
              <w:ind w:left="740"/>
              <w:spacing w:after="0"/>
              <w:rPr>
                <w:sz w:val="20"/>
                <w:szCs w:val="20"/>
                <w:color w:val="auto"/>
              </w:rPr>
            </w:pPr>
            <w:r>
              <w:rPr>
                <w:rFonts w:ascii="Arial" w:cs="Arial" w:eastAsia="Arial" w:hAnsi="Arial"/>
                <w:sz w:val="16"/>
                <w:szCs w:val="16"/>
                <w:color w:val="auto"/>
                <w:w w:val="99"/>
              </w:rPr>
              <w:t>The full Board appoints new director(s), who then stand for election by shareholders at the</w:t>
            </w:r>
          </w:p>
        </w:tc>
      </w:tr>
      <w:tr>
        <w:trPr>
          <w:trHeight w:val="205"/>
        </w:trPr>
        <w:tc>
          <w:tcPr>
            <w:tcW w:w="3520" w:type="dxa"/>
            <w:vAlign w:val="bottom"/>
          </w:tcPr>
          <w:p>
            <w:pPr>
              <w:spacing w:after="0"/>
              <w:rPr>
                <w:sz w:val="17"/>
                <w:szCs w:val="17"/>
                <w:color w:val="auto"/>
              </w:rPr>
            </w:pPr>
          </w:p>
        </w:tc>
        <w:tc>
          <w:tcPr>
            <w:tcW w:w="7100" w:type="dxa"/>
            <w:vAlign w:val="bottom"/>
          </w:tcPr>
          <w:p>
            <w:pPr>
              <w:ind w:left="740"/>
              <w:spacing w:after="0"/>
              <w:rPr>
                <w:sz w:val="20"/>
                <w:szCs w:val="20"/>
                <w:color w:val="auto"/>
              </w:rPr>
            </w:pPr>
            <w:r>
              <w:rPr>
                <w:rFonts w:ascii="Arial" w:cs="Arial" w:eastAsia="Arial" w:hAnsi="Arial"/>
                <w:sz w:val="16"/>
                <w:szCs w:val="16"/>
                <w:color w:val="auto"/>
              </w:rPr>
              <w:t>next Annual Meeting.</w:t>
            </w:r>
          </w:p>
        </w:tc>
      </w:tr>
      <w:tr>
        <w:trPr>
          <w:trHeight w:val="93"/>
        </w:trPr>
        <w:tc>
          <w:tcPr>
            <w:tcW w:w="3520" w:type="dxa"/>
            <w:vAlign w:val="bottom"/>
            <w:tcBorders>
              <w:bottom w:val="single" w:sz="8" w:color="7F7F7F"/>
            </w:tcBorders>
          </w:tcPr>
          <w:p>
            <w:pPr>
              <w:spacing w:after="0"/>
              <w:rPr>
                <w:sz w:val="8"/>
                <w:szCs w:val="8"/>
                <w:color w:val="auto"/>
              </w:rPr>
            </w:pPr>
          </w:p>
        </w:tc>
        <w:tc>
          <w:tcPr>
            <w:tcW w:w="7100" w:type="dxa"/>
            <w:vAlign w:val="bottom"/>
            <w:tcBorders>
              <w:bottom w:val="single" w:sz="8" w:color="7F7F7F"/>
            </w:tcBorders>
          </w:tcPr>
          <w:p>
            <w:pPr>
              <w:spacing w:after="0"/>
              <w:rPr>
                <w:sz w:val="8"/>
                <w:szCs w:val="8"/>
                <w:color w:val="auto"/>
              </w:rPr>
            </w:pPr>
          </w:p>
        </w:tc>
      </w:tr>
    </w:tbl>
    <w:p>
      <w:pPr>
        <w:spacing w:after="0" w:line="286"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Director Attendance</w:t>
      </w:r>
    </w:p>
    <w:p>
      <w:pPr>
        <w:spacing w:after="0" w:line="72" w:lineRule="exact"/>
        <w:rPr>
          <w:sz w:val="20"/>
          <w:szCs w:val="20"/>
          <w:color w:val="auto"/>
        </w:rPr>
      </w:pPr>
    </w:p>
    <w:p>
      <w:pPr>
        <w:ind w:left="320" w:right="120"/>
        <w:spacing w:after="0" w:line="243" w:lineRule="auto"/>
        <w:rPr>
          <w:sz w:val="20"/>
          <w:szCs w:val="20"/>
          <w:color w:val="auto"/>
        </w:rPr>
      </w:pPr>
      <w:r>
        <w:rPr>
          <w:rFonts w:ascii="Arial" w:cs="Arial" w:eastAsia="Arial" w:hAnsi="Arial"/>
          <w:sz w:val="16"/>
          <w:szCs w:val="16"/>
          <w:color w:val="auto"/>
        </w:rPr>
        <w:t>We expect directors to attend the Annual Meeting of the Shareholders, all Board meetings, and all meetings of the committees on which they individually serve. All directors then in office attended the 2023 Annual Meeting of Shareholders. The Board held twelve meetings during 2023. Director attendance averaged 97.5% of the aggregate number of meetings of the Board and the committees on which they served during 2023. The majority of directors attended 100% of all Board and committee meetings on which they individually served in 2023. The independent directors met in executive sessions at which only they were present at least eight times during 2023.</w:t>
      </w:r>
    </w:p>
    <w:p>
      <w:pPr>
        <w:spacing w:after="0" w:line="2" w:lineRule="exact"/>
        <w:rPr>
          <w:sz w:val="20"/>
          <w:szCs w:val="20"/>
          <w:color w:val="auto"/>
        </w:rPr>
      </w:pP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-222250</wp:posOffset>
            </wp:positionV>
            <wp:extent cx="8255" cy="2228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Corporate Governance</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Size of the Board</w:t>
      </w:r>
    </w:p>
    <w:p>
      <w:pPr>
        <w:spacing w:after="0" w:line="85" w:lineRule="exact"/>
        <w:rPr>
          <w:sz w:val="20"/>
          <w:szCs w:val="20"/>
          <w:color w:val="auto"/>
        </w:rPr>
      </w:pPr>
    </w:p>
    <w:p>
      <w:pPr>
        <w:ind w:left="320"/>
        <w:spacing w:after="0" w:line="246" w:lineRule="auto"/>
        <w:rPr>
          <w:sz w:val="20"/>
          <w:szCs w:val="20"/>
          <w:color w:val="auto"/>
        </w:rPr>
      </w:pPr>
      <w:r>
        <w:rPr>
          <w:rFonts w:ascii="Arial" w:cs="Arial" w:eastAsia="Arial" w:hAnsi="Arial"/>
          <w:sz w:val="16"/>
          <w:szCs w:val="16"/>
          <w:color w:val="auto"/>
        </w:rPr>
        <w:t>Under the Company’s Amended and Restated Bylaws, the number of directors constituting the Board may be fixed by the Board within the range of five to eleven directors. The size of the Board should not exceed a number that, as determined by the Board, will permit it to function efficiently in discharging its duties. There are currently nine members of the Board. Election of all director nominees will result in a nine-member Board immediately following the Annual Meeting.</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Director Tenure</w:t>
      </w:r>
    </w:p>
    <w:p>
      <w:pPr>
        <w:spacing w:after="0" w:line="72" w:lineRule="exact"/>
        <w:rPr>
          <w:sz w:val="20"/>
          <w:szCs w:val="20"/>
          <w:color w:val="auto"/>
        </w:rPr>
      </w:pPr>
    </w:p>
    <w:p>
      <w:pPr>
        <w:ind w:left="320" w:right="40"/>
        <w:spacing w:after="0" w:line="265" w:lineRule="auto"/>
        <w:rPr>
          <w:sz w:val="20"/>
          <w:szCs w:val="20"/>
          <w:color w:val="auto"/>
        </w:rPr>
      </w:pPr>
      <w:r>
        <w:rPr>
          <w:rFonts w:ascii="Arial" w:cs="Arial" w:eastAsia="Arial" w:hAnsi="Arial"/>
          <w:sz w:val="16"/>
          <w:szCs w:val="16"/>
          <w:color w:val="auto"/>
        </w:rPr>
        <w:t>The Board does not have term or age limits. The Board believes that the contributions and insight of tenured directors into the Company’s operations and strategy outweigh the perceived value of such limits and facilitate Board effectiveness.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Director Service on Outside Public Company Boards</w:t>
      </w:r>
    </w:p>
    <w:p>
      <w:pPr>
        <w:spacing w:after="0" w:line="72" w:lineRule="exact"/>
        <w:rPr>
          <w:sz w:val="20"/>
          <w:szCs w:val="20"/>
          <w:color w:val="auto"/>
        </w:rPr>
      </w:pPr>
    </w:p>
    <w:p>
      <w:pPr>
        <w:ind w:left="320" w:right="20"/>
        <w:spacing w:after="0" w:line="243" w:lineRule="auto"/>
        <w:rPr>
          <w:sz w:val="20"/>
          <w:szCs w:val="20"/>
          <w:color w:val="auto"/>
        </w:rPr>
      </w:pPr>
      <w:r>
        <w:rPr>
          <w:rFonts w:ascii="Arial" w:cs="Arial" w:eastAsia="Arial" w:hAnsi="Arial"/>
          <w:sz w:val="16"/>
          <w:szCs w:val="16"/>
          <w:color w:val="auto"/>
        </w:rPr>
        <w:t>While there is no specified limit on the number of other public company boards on which a director may serve, the number of board memberships is a consideration, along with any other time commitments a director or nominee may have, in determining his or her ability to serve effectively. Directors must be willing and able to devote sufficient time to carrying out their duties and responsibilities effectively and have an intention to serve an appropriate length of time in order to make a meaningful contribution to the Board and the Company. A director is expected to engage in discussion with the Chair of the Corporate Governance and Nominating Committee prior to accepting an invitation to serve on an additional public company board or accepting an invitation to chair a committee of a public company board on which he or she currently serves.</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Director Orientation and Continuing Education</w:t>
      </w:r>
    </w:p>
    <w:p>
      <w:pPr>
        <w:spacing w:after="0" w:line="85" w:lineRule="exact"/>
        <w:rPr>
          <w:sz w:val="20"/>
          <w:szCs w:val="20"/>
          <w:color w:val="auto"/>
        </w:rPr>
      </w:pPr>
    </w:p>
    <w:p>
      <w:pPr>
        <w:ind w:left="320" w:right="60"/>
        <w:spacing w:after="0" w:line="241" w:lineRule="auto"/>
        <w:rPr>
          <w:sz w:val="20"/>
          <w:szCs w:val="20"/>
          <w:color w:val="auto"/>
        </w:rPr>
      </w:pPr>
      <w:r>
        <w:rPr>
          <w:rFonts w:ascii="Arial" w:cs="Arial" w:eastAsia="Arial" w:hAnsi="Arial"/>
          <w:sz w:val="16"/>
          <w:szCs w:val="16"/>
          <w:color w:val="auto"/>
        </w:rPr>
        <w:t>Management, working with the Corporate Governance and Nominating Committee, provides an orientation program for new directors to facilitate integration into their roles. The program acquaints new directors with the Company’s business, history, vision, noble purpose , strategic direction and plans, competitive landscape, core values, Code of Business Conduct and Ethics, Insider Trading Policy, other corporate governance practices, financial, accounting, and risk management matters, key policies, sustainability strategy, senior leadership, and internal and independent auditors. The program consists of, as appropriate, a comprehensive review of background materials, briefings by senior management, and visits to Company facilities. The Board also developed a mentoring program to provide additional support and resources to new directors. Based on the feedback from our directors, we believe this onboarding approach provides new directors with a strong foundation for understanding our businesses, connects directors with members of management with whom they will interact, and accelerates their effectiveness to engage fully in Board deliberations.</w:t>
      </w:r>
    </w:p>
    <w:p>
      <w:pPr>
        <w:spacing w:after="0" w:line="44" w:lineRule="exact"/>
        <w:rPr>
          <w:sz w:val="20"/>
          <w:szCs w:val="20"/>
          <w:color w:val="auto"/>
        </w:rPr>
      </w:pPr>
    </w:p>
    <w:p>
      <w:pPr>
        <w:ind w:left="320"/>
        <w:spacing w:after="0" w:line="244" w:lineRule="auto"/>
        <w:rPr>
          <w:sz w:val="20"/>
          <w:szCs w:val="20"/>
          <w:color w:val="auto"/>
        </w:rPr>
      </w:pPr>
      <w:r>
        <w:rPr>
          <w:rFonts w:ascii="Arial" w:cs="Arial" w:eastAsia="Arial" w:hAnsi="Arial"/>
          <w:sz w:val="16"/>
          <w:szCs w:val="16"/>
          <w:color w:val="auto"/>
        </w:rPr>
        <w:t>Directors are also encouraged to participate in continuing director education programs to help them stay current on emerging practices and issues and in carrying out their responsibilities. These programs include formal education sessions with management or third-party subject matter experts that may occur as part of regular Board or committee meetings, and participation in industry forums on business, financial, accounting, legal, and other subjects relevant to the Company’s business. The Company reimburses reasonable costs and expenses incurred by directors for continuing education that provide updates on issues and programs relevant to public companies and their directors.</w:t>
      </w:r>
    </w:p>
    <w:p>
      <w:pPr>
        <w:spacing w:after="0" w:line="274"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Board, Committee, and Peer Evaluation</w:t>
      </w:r>
    </w:p>
    <w:p>
      <w:pPr>
        <w:spacing w:after="0" w:line="72" w:lineRule="exact"/>
        <w:rPr>
          <w:sz w:val="20"/>
          <w:szCs w:val="20"/>
          <w:color w:val="auto"/>
        </w:rPr>
      </w:pPr>
    </w:p>
    <w:p>
      <w:pPr>
        <w:ind w:left="320" w:right="20"/>
        <w:spacing w:after="0" w:line="244" w:lineRule="auto"/>
        <w:rPr>
          <w:sz w:val="20"/>
          <w:szCs w:val="20"/>
          <w:color w:val="auto"/>
        </w:rPr>
      </w:pPr>
      <w:r>
        <w:rPr>
          <w:rFonts w:ascii="Arial" w:cs="Arial" w:eastAsia="Arial" w:hAnsi="Arial"/>
          <w:sz w:val="16"/>
          <w:szCs w:val="16"/>
          <w:color w:val="auto"/>
        </w:rPr>
        <w:t>The Board recognizes that a robust and constructive evaluation process is essential to good governance and enhanced effectiveness. The Corporate Governance and Nominating Committee organizes and oversees an annual evaluation by the Board and its committees of their performance. The evaluation facilitates an examination and discussion by the entire Board and each committee of its effectiveness in fulfilling its charter requirements and other responsibilities, its performance as measured against the Company’s Corporate Governance Principles, and areas for improvement. The evaluation also includes individual director assessments, typically in alternating years.</w:t>
      </w:r>
    </w:p>
    <w:p>
      <w:pPr>
        <w:spacing w:after="0" w:line="53" w:lineRule="exact"/>
        <w:rPr>
          <w:sz w:val="20"/>
          <w:szCs w:val="20"/>
          <w:color w:val="auto"/>
        </w:rPr>
      </w:pPr>
    </w:p>
    <w:p>
      <w:pPr>
        <w:ind w:left="320" w:right="140"/>
        <w:spacing w:after="0" w:line="246" w:lineRule="auto"/>
        <w:rPr>
          <w:sz w:val="20"/>
          <w:szCs w:val="20"/>
          <w:color w:val="auto"/>
        </w:rPr>
      </w:pPr>
      <w:r>
        <w:rPr>
          <w:rFonts w:ascii="Arial" w:cs="Arial" w:eastAsia="Arial" w:hAnsi="Arial"/>
          <w:sz w:val="16"/>
          <w:szCs w:val="16"/>
          <w:color w:val="auto"/>
        </w:rPr>
        <w:t>In 2023, the Corporate Governance and Nominating Committee engaged an independent external advisor to conduct Board and committee evaluations. The independent external advisor also conducted individual director assessments in 2023. The process included the completion of an online self-evaluation with rated and open-ended questions, with follow-up discussions by the advisor on certain individual responses, as needed. Each of the Board’s nine directors participated in the process.</w:t>
      </w:r>
    </w:p>
    <w:p>
      <w:pPr>
        <w:spacing w:after="0" w:line="54"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38 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20"/>
          </w:cols>
          <w:pgMar w:left="320" w:top="471" w:right="6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Corporate Governance</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typical process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154940</wp:posOffset>
            </wp:positionV>
            <wp:extent cx="5022850" cy="41636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022850" cy="416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right="20"/>
        <w:spacing w:after="0" w:line="251" w:lineRule="auto"/>
        <w:rPr>
          <w:sz w:val="20"/>
          <w:szCs w:val="20"/>
          <w:color w:val="auto"/>
        </w:rPr>
      </w:pPr>
      <w:r>
        <w:rPr>
          <w:rFonts w:ascii="Arial" w:cs="Arial" w:eastAsia="Arial" w:hAnsi="Arial"/>
          <w:sz w:val="16"/>
          <w:szCs w:val="16"/>
          <w:color w:val="auto"/>
        </w:rPr>
        <w:t>In addition to the annual formal evaluation, our Chairman, CEO, General Counsel and Corporate Secretary, and Committee Chairs routinely communicate with directors to obtain real-time feedback. The Board believes that this continuous feedback, along with the formal evaluation process, contribute to its overall strength and ongoing effectiveness.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actions have been taken by Kelly’s Board and its committees in response to the evaluation process over the years:</w:t>
      </w:r>
    </w:p>
    <w:p>
      <w:pPr>
        <w:spacing w:after="0" w:line="5" w:lineRule="exact"/>
        <w:rPr>
          <w:sz w:val="20"/>
          <w:szCs w:val="20"/>
          <w:color w:val="auto"/>
        </w:rPr>
      </w:pPr>
    </w:p>
    <w:p>
      <w:pPr>
        <w:ind w:left="520" w:hanging="204"/>
        <w:spacing w:after="0"/>
        <w:tabs>
          <w:tab w:leader="none" w:pos="520" w:val="left"/>
        </w:tabs>
        <w:numPr>
          <w:ilvl w:val="0"/>
          <w:numId w:val="25"/>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management with varying degrees of seniority present to the Board and its committees;</w:t>
      </w:r>
    </w:p>
    <w:p>
      <w:pPr>
        <w:spacing w:after="0" w:line="68" w:lineRule="exact"/>
        <w:rPr>
          <w:rFonts w:ascii="Times New Roman" w:cs="Times New Roman" w:eastAsia="Times New Roman" w:hAnsi="Times New Roman"/>
          <w:sz w:val="24"/>
          <w:szCs w:val="24"/>
          <w:color w:val="0A9E50"/>
          <w:vertAlign w:val="superscript"/>
        </w:rPr>
      </w:pPr>
    </w:p>
    <w:p>
      <w:pPr>
        <w:ind w:left="520" w:right="880" w:hanging="204"/>
        <w:spacing w:after="0" w:line="194" w:lineRule="auto"/>
        <w:tabs>
          <w:tab w:leader="none" w:pos="520" w:val="left"/>
        </w:tabs>
        <w:numPr>
          <w:ilvl w:val="0"/>
          <w:numId w:val="25"/>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director education and presentations on emerging risk areas including artificial intelligence, corporate governance, industry disruptors, and competitors;</w:t>
      </w:r>
    </w:p>
    <w:p>
      <w:pPr>
        <w:spacing w:after="0" w:line="1" w:lineRule="exact"/>
        <w:rPr>
          <w:rFonts w:ascii="Times New Roman" w:cs="Times New Roman" w:eastAsia="Times New Roman" w:hAnsi="Times New Roman"/>
          <w:sz w:val="24"/>
          <w:szCs w:val="24"/>
          <w:color w:val="0A9E50"/>
          <w:vertAlign w:val="superscript"/>
        </w:rPr>
      </w:pPr>
    </w:p>
    <w:p>
      <w:pPr>
        <w:ind w:left="520" w:hanging="204"/>
        <w:spacing w:after="0" w:line="226" w:lineRule="auto"/>
        <w:tabs>
          <w:tab w:leader="none" w:pos="520" w:val="left"/>
        </w:tabs>
        <w:numPr>
          <w:ilvl w:val="0"/>
          <w:numId w:val="25"/>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format of Board meetings made flexible to allow more time for formal and informal discussions among independent directors;</w:t>
      </w:r>
    </w:p>
    <w:p>
      <w:pPr>
        <w:spacing w:after="0" w:line="69" w:lineRule="exact"/>
        <w:rPr>
          <w:rFonts w:ascii="Times New Roman" w:cs="Times New Roman" w:eastAsia="Times New Roman" w:hAnsi="Times New Roman"/>
          <w:sz w:val="24"/>
          <w:szCs w:val="24"/>
          <w:color w:val="0A9E50"/>
          <w:vertAlign w:val="superscript"/>
        </w:rPr>
      </w:pPr>
    </w:p>
    <w:p>
      <w:pPr>
        <w:ind w:left="520" w:hanging="204"/>
        <w:spacing w:after="0" w:line="181" w:lineRule="auto"/>
        <w:tabs>
          <w:tab w:leader="none" w:pos="520" w:val="left"/>
        </w:tabs>
        <w:numPr>
          <w:ilvl w:val="0"/>
          <w:numId w:val="25"/>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increased opportunities for informal meetings between directors and key executives;</w:t>
      </w:r>
    </w:p>
    <w:p>
      <w:pPr>
        <w:spacing w:after="0" w:line="69" w:lineRule="exact"/>
        <w:rPr>
          <w:rFonts w:ascii="Times New Roman" w:cs="Times New Roman" w:eastAsia="Times New Roman" w:hAnsi="Times New Roman"/>
          <w:sz w:val="22"/>
          <w:szCs w:val="22"/>
          <w:color w:val="0A9E50"/>
          <w:vertAlign w:val="superscript"/>
        </w:rPr>
      </w:pPr>
    </w:p>
    <w:p>
      <w:pPr>
        <w:ind w:left="520" w:hanging="204"/>
        <w:spacing w:after="0" w:line="181" w:lineRule="auto"/>
        <w:tabs>
          <w:tab w:leader="none" w:pos="520" w:val="left"/>
        </w:tabs>
        <w:numPr>
          <w:ilvl w:val="0"/>
          <w:numId w:val="25"/>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increased time for informal director-only gatherings; and</w:t>
      </w:r>
    </w:p>
    <w:p>
      <w:pPr>
        <w:spacing w:after="0" w:line="69" w:lineRule="exact"/>
        <w:rPr>
          <w:rFonts w:ascii="Times New Roman" w:cs="Times New Roman" w:eastAsia="Times New Roman" w:hAnsi="Times New Roman"/>
          <w:sz w:val="22"/>
          <w:szCs w:val="22"/>
          <w:color w:val="0A9E50"/>
          <w:vertAlign w:val="superscript"/>
        </w:rPr>
      </w:pPr>
    </w:p>
    <w:p>
      <w:pPr>
        <w:ind w:left="520" w:hanging="204"/>
        <w:spacing w:after="0" w:line="181" w:lineRule="auto"/>
        <w:tabs>
          <w:tab w:leader="none" w:pos="520" w:val="left"/>
        </w:tabs>
        <w:numPr>
          <w:ilvl w:val="0"/>
          <w:numId w:val="25"/>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Board members added with expertise in areas critical to the Company’s business strategy and operations.</w:t>
      </w:r>
    </w:p>
    <w:p>
      <w:pPr>
        <w:spacing w:after="0" w:line="109" w:lineRule="exact"/>
        <w:rPr>
          <w:rFonts w:ascii="Times New Roman" w:cs="Times New Roman" w:eastAsia="Times New Roman" w:hAnsi="Times New Roman"/>
          <w:sz w:val="22"/>
          <w:szCs w:val="22"/>
          <w:color w:val="0A9E50"/>
          <w:vertAlign w:val="superscript"/>
        </w:rPr>
      </w:pPr>
    </w:p>
    <w:p>
      <w:pPr>
        <w:ind w:left="9380" w:hanging="281"/>
        <w:spacing w:after="0"/>
        <w:tabs>
          <w:tab w:leader="none" w:pos="9380" w:val="left"/>
        </w:tabs>
        <w:numPr>
          <w:ilvl w:val="1"/>
          <w:numId w:val="25"/>
        </w:numPr>
        <w:rPr>
          <w:rFonts w:ascii="Arial" w:cs="Arial" w:eastAsia="Arial" w:hAnsi="Arial"/>
          <w:sz w:val="21"/>
          <w:szCs w:val="21"/>
          <w:color w:val="auto"/>
          <w:vertAlign w:val="subscript"/>
        </w:rPr>
      </w:pPr>
      <w:r>
        <w:rPr>
          <w:sz w:val="1"/>
          <w:szCs w:val="1"/>
          <w:color w:val="auto"/>
        </w:rPr>
        <w:drawing>
          <wp:inline distT="0" distB="0" distL="0" distR="0">
            <wp:extent cx="396240" cy="18986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1"/>
          <w:szCs w:val="21"/>
          <w:color w:val="auto"/>
          <w:vertAlign w:val="subscript"/>
        </w:rPr>
        <w:t xml:space="preserve">    </w:t>
      </w:r>
      <w:r>
        <w:rPr>
          <w:rFonts w:ascii="Arial" w:cs="Arial" w:eastAsia="Arial" w:hAnsi="Arial"/>
          <w:sz w:val="21"/>
          <w:szCs w:val="21"/>
          <w:color w:val="auto"/>
        </w:rPr>
        <w: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-203200</wp:posOffset>
            </wp:positionV>
            <wp:extent cx="8255" cy="2228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Corporate Governance</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Code of Business Conduct and Ethics</w:t>
      </w:r>
    </w:p>
    <w:p>
      <w:pPr>
        <w:spacing w:after="0" w:line="85" w:lineRule="exact"/>
        <w:rPr>
          <w:sz w:val="20"/>
          <w:szCs w:val="20"/>
          <w:color w:val="auto"/>
        </w:rPr>
      </w:pPr>
    </w:p>
    <w:p>
      <w:pPr>
        <w:ind w:left="320" w:right="60"/>
        <w:spacing w:after="0" w:line="278" w:lineRule="auto"/>
        <w:rPr>
          <w:sz w:val="20"/>
          <w:szCs w:val="20"/>
          <w:color w:val="auto"/>
        </w:rPr>
      </w:pPr>
      <w:r>
        <w:rPr>
          <w:rFonts w:ascii="Arial" w:cs="Arial" w:eastAsia="Arial" w:hAnsi="Arial"/>
          <w:sz w:val="14"/>
          <w:szCs w:val="14"/>
          <w:color w:val="auto"/>
        </w:rPr>
        <w:t>The Board is committed to the highest legal and ethical standards and adopted a Code of Business Conduct and Ethics (the “Code of Conduct”) that applies to all directors, officers, and employees. Each year the Company performs a thorough assessment and benchmarking of the Code of Conduct to ensure regulatory compliance and cultural alignment. The Code of Conduct forms the foundation for compliance with corporate policies and procedures and helps individuals recognize and deal with ethical issues, deter wrongdoing, provide mechanisms to report any concerns, promote honest and ethical conduct, provide full, fair, and timely disclosure, comply with applicable law and regulations, and help foster a culture of honesty and accountability. The Code of Conduct addresses conflicts of interest; anti-bribery/anti-corruption; trade compliance; insider trading; corporate opportunities; confidentiality and privacy; external communications; financial reporting and record keeping; protection and proper use of assets; fair dealing; contract management; acceptable behavior in the workplace; global diversity and inclusion; corporate sustainability; compliance with laws, rules and regulations; risk tolerance; anti-human trafficking and slavery; health &amp; safety and workplace violence; seeking advice and reporting concerns; outside activities; political contributions; public company reporting requirements; and other policies. The Code of Conduct includes an enforcement mechanism. Each of the Company’s Board members, officers, and employees is required to acknowledge their acceptance of the Code of Conduct.</w:t>
      </w:r>
    </w:p>
    <w:p>
      <w:pPr>
        <w:spacing w:after="0" w:line="204" w:lineRule="exact"/>
        <w:rPr>
          <w:sz w:val="20"/>
          <w:szCs w:val="20"/>
          <w:color w:val="auto"/>
        </w:rPr>
      </w:pPr>
    </w:p>
    <w:p>
      <w:pPr>
        <w:ind w:left="320"/>
        <w:spacing w:after="0" w:line="246" w:lineRule="auto"/>
        <w:rPr>
          <w:sz w:val="20"/>
          <w:szCs w:val="20"/>
          <w:color w:val="auto"/>
        </w:rPr>
      </w:pPr>
      <w:r>
        <w:rPr>
          <w:rFonts w:ascii="Arial" w:cs="Arial" w:eastAsia="Arial" w:hAnsi="Arial"/>
          <w:sz w:val="16"/>
          <w:szCs w:val="16"/>
          <w:color w:val="auto"/>
        </w:rPr>
        <w:t xml:space="preserve">The full text of the Code of Conduct is on the Company’s website at </w:t>
      </w:r>
      <w:r>
        <w:rPr>
          <w:rFonts w:ascii="Arial" w:cs="Arial" w:eastAsia="Arial" w:hAnsi="Arial"/>
          <w:sz w:val="16"/>
          <w:szCs w:val="16"/>
          <w:i w:val="1"/>
          <w:iCs w:val="1"/>
          <w:color w:val="auto"/>
        </w:rPr>
        <w:t>kellyservices.com</w:t>
      </w:r>
      <w:r>
        <w:rPr>
          <w:rFonts w:ascii="Arial" w:cs="Arial" w:eastAsia="Arial" w:hAnsi="Arial"/>
          <w:sz w:val="16"/>
          <w:szCs w:val="16"/>
          <w:color w:val="auto"/>
        </w:rPr>
        <w:t>. This information is also available to any shareholder who requests it from the Company’s Investor Relations department. The Company will disclose future amendments to the Code of Conduct and material waivers of its provisions for its directors and executive officers on its website and/or by filing a current report on Form 8-K within four business days following the date of amendment or waiver, or such earlier period as may be prescribed by Nasdaq or the SEC.</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Related Person Transactions and Certain Relationships</w:t>
      </w:r>
    </w:p>
    <w:p>
      <w:pPr>
        <w:spacing w:after="0" w:line="72" w:lineRule="exact"/>
        <w:rPr>
          <w:sz w:val="20"/>
          <w:szCs w:val="20"/>
          <w:color w:val="auto"/>
        </w:rPr>
      </w:pPr>
    </w:p>
    <w:p>
      <w:pPr>
        <w:ind w:left="320" w:right="120"/>
        <w:spacing w:after="0" w:line="280" w:lineRule="auto"/>
        <w:rPr>
          <w:sz w:val="20"/>
          <w:szCs w:val="20"/>
          <w:color w:val="auto"/>
        </w:rPr>
      </w:pPr>
      <w:r>
        <w:rPr>
          <w:rFonts w:ascii="Arial" w:cs="Arial" w:eastAsia="Arial" w:hAnsi="Arial"/>
          <w:sz w:val="14"/>
          <w:szCs w:val="14"/>
          <w:color w:val="auto"/>
        </w:rPr>
        <w:t>Pursuant to the Company’s Code of Conduct, any situation that involves, or may reasonably be expected to involve, a conflict of interest with the Company must be disclosed immediately to the Vice President of Internal Audit or the General Counsel. In addition, directors, and executive and other senior officers must complete a quarterly questionnaire that solicits information regarding any transactions or relationships between themselves or their immediate family members and the Company of the types described in Item 404(a) of SEC Regulation S-K (“Related Party Transactions”). Directors and executive and senior officers must seek a determination and obtain prior authorization or approval of any potential conflict of interest (including any Related Party Transaction) from the independent Audit Committee. The Audit Committee, pursuant to its charter, is tasked, among other things, with the responsibility to review Related Party Transactions and other potential conflicts of interest involving directors and executive and senior officers. The Company maintains a formal written policy addressing the reporting, review, and approval or ratification of transactions with related persons.</w:t>
      </w:r>
    </w:p>
    <w:p>
      <w:pPr>
        <w:spacing w:after="0" w:line="35"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40 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20"/>
          </w:cols>
          <w:pgMar w:left="320" w:top="471" w:right="6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Director Compensation</w:t>
      </w:r>
    </w:p>
    <w:p>
      <w:pPr>
        <w:spacing w:after="0" w:line="336" w:lineRule="exact"/>
        <w:rPr>
          <w:sz w:val="20"/>
          <w:szCs w:val="20"/>
          <w:color w:val="auto"/>
        </w:rPr>
      </w:pPr>
    </w:p>
    <w:p>
      <w:pPr>
        <w:ind w:left="320" w:right="60"/>
        <w:spacing w:after="0" w:line="244" w:lineRule="auto"/>
        <w:rPr>
          <w:sz w:val="20"/>
          <w:szCs w:val="20"/>
          <w:color w:val="auto"/>
        </w:rPr>
      </w:pPr>
      <w:r>
        <w:rPr>
          <w:rFonts w:ascii="Arial" w:cs="Arial" w:eastAsia="Arial" w:hAnsi="Arial"/>
          <w:sz w:val="16"/>
          <w:szCs w:val="16"/>
          <w:color w:val="auto"/>
        </w:rPr>
        <w:t>Our approach to director compensation is to appropriately compensate our non-employee directors for the time, expertise, and effort required to serve as a director of a large, complex company and to align the interests of directors with those of shareholders. Compensation levels for our non-employee directors are periodically reviewed for market competitiveness. Non-employee directors receive compensation payments after election by shareholders at the Annual Meeting. Non-employee directors who begin their Board or committee chair service other than at the Annual Meeting receive a prorated amount of annual compensation based on timing of appointment.</w:t>
      </w:r>
    </w:p>
    <w:p>
      <w:pPr>
        <w:spacing w:after="0" w:line="274"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Director Compensation Design</w:t>
      </w:r>
    </w:p>
    <w:p>
      <w:pPr>
        <w:spacing w:after="0" w:line="85" w:lineRule="exact"/>
        <w:rPr>
          <w:sz w:val="20"/>
          <w:szCs w:val="20"/>
          <w:color w:val="auto"/>
        </w:rPr>
      </w:pPr>
    </w:p>
    <w:p>
      <w:pPr>
        <w:ind w:left="320" w:right="40"/>
        <w:spacing w:after="0" w:line="242" w:lineRule="auto"/>
        <w:rPr>
          <w:sz w:val="20"/>
          <w:szCs w:val="20"/>
          <w:color w:val="auto"/>
        </w:rPr>
      </w:pPr>
      <w:r>
        <w:rPr>
          <w:rFonts w:ascii="Arial" w:cs="Arial" w:eastAsia="Arial" w:hAnsi="Arial"/>
          <w:sz w:val="16"/>
          <w:szCs w:val="16"/>
          <w:color w:val="auto"/>
        </w:rPr>
        <w:t>The Compensation and Talent Management Committee reviews market benchmarking of non-employee director compensation annually. In 2023, the Compensation Committee engaged its independent compensation consultant, Pay Governance, to evaluate its non-employee Director compensation, which was last increased in 2022. At its meeting following the 2023 Annual Meeting of Shareholders, the Compensation and Talent Management Committee recommended to the Board of Directors that the cash and equity portion of retainers paid to the non-employee Directors, effective beginning May 17, 2023, remain unchanged. Retainers for the Non-Executive Chairman of the Board, Chair of the Audit Committee, and Chair of the Compensation and Talent Management Committee were also maintained. The compensation of our non-employee directors will next be reviewed in 2024, with the assistance of its compensation consultant. The following table illustrates our 2023 non-employee director compensation:</w:t>
      </w: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b w:val="1"/>
                <w:bCs w:val="1"/>
                <w:color w:val="0A9E50"/>
              </w:rPr>
              <w:t>Board Leadership Positions -</w:t>
            </w:r>
          </w:p>
        </w:tc>
        <w:tc>
          <w:tcPr>
            <w:tcW w:w="1140" w:type="dxa"/>
            <w:vAlign w:val="bottom"/>
          </w:tcPr>
          <w:p>
            <w:pPr>
              <w:spacing w:after="0"/>
              <w:rPr>
                <w:sz w:val="14"/>
                <w:szCs w:val="14"/>
                <w:color w:val="auto"/>
              </w:rPr>
            </w:pPr>
          </w:p>
        </w:tc>
      </w:tr>
      <w:tr>
        <w:trPr>
          <w:trHeight w:val="192"/>
        </w:trPr>
        <w:tc>
          <w:tcPr>
            <w:tcW w:w="2940" w:type="dxa"/>
            <w:vAlign w:val="bottom"/>
          </w:tcPr>
          <w:p>
            <w:pPr>
              <w:spacing w:after="0"/>
              <w:rPr>
                <w:sz w:val="16"/>
                <w:szCs w:val="16"/>
                <w:color w:val="auto"/>
              </w:rPr>
            </w:pPr>
          </w:p>
        </w:tc>
        <w:tc>
          <w:tcPr>
            <w:tcW w:w="3120" w:type="dxa"/>
            <w:vAlign w:val="bottom"/>
            <w:gridSpan w:val="2"/>
          </w:tcPr>
          <w:p>
            <w:pPr>
              <w:jc w:val="right"/>
              <w:ind w:right="651"/>
              <w:spacing w:after="0"/>
              <w:rPr>
                <w:sz w:val="20"/>
                <w:szCs w:val="20"/>
                <w:color w:val="auto"/>
              </w:rPr>
            </w:pPr>
            <w:r>
              <w:rPr>
                <w:rFonts w:ascii="Arial" w:cs="Arial" w:eastAsia="Arial" w:hAnsi="Arial"/>
                <w:sz w:val="14"/>
                <w:szCs w:val="14"/>
                <w:b w:val="1"/>
                <w:bCs w:val="1"/>
                <w:color w:val="0A9E50"/>
              </w:rPr>
              <w:t>Annual Base Retainer</w:t>
            </w:r>
          </w:p>
        </w:tc>
        <w:tc>
          <w:tcPr>
            <w:tcW w:w="1080" w:type="dxa"/>
            <w:vAlign w:val="bottom"/>
          </w:tcPr>
          <w:p>
            <w:pPr>
              <w:spacing w:after="0"/>
              <w:rPr>
                <w:sz w:val="16"/>
                <w:szCs w:val="16"/>
                <w:color w:val="auto"/>
              </w:rPr>
            </w:pPr>
          </w:p>
        </w:tc>
        <w:tc>
          <w:tcPr>
            <w:tcW w:w="3480" w:type="dxa"/>
            <w:vAlign w:val="bottom"/>
            <w:gridSpan w:val="2"/>
          </w:tcPr>
          <w:p>
            <w:pPr>
              <w:jc w:val="right"/>
              <w:ind w:right="811"/>
              <w:spacing w:after="0"/>
              <w:rPr>
                <w:sz w:val="20"/>
                <w:szCs w:val="20"/>
                <w:color w:val="auto"/>
              </w:rPr>
            </w:pPr>
            <w:r>
              <w:rPr>
                <w:rFonts w:ascii="Arial" w:cs="Arial" w:eastAsia="Arial" w:hAnsi="Arial"/>
                <w:sz w:val="14"/>
                <w:szCs w:val="14"/>
                <w:b w:val="1"/>
                <w:bCs w:val="1"/>
                <w:color w:val="0A9E50"/>
                <w:w w:val="98"/>
              </w:rPr>
              <w:t>Additional Retainer (Committee Chairs)</w:t>
            </w:r>
          </w:p>
        </w:tc>
      </w:tr>
      <w:tr>
        <w:trPr>
          <w:trHeight w:val="104"/>
        </w:trPr>
        <w:tc>
          <w:tcPr>
            <w:tcW w:w="2940" w:type="dxa"/>
            <w:vAlign w:val="bottom"/>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r>
        <w:trPr>
          <w:trHeight w:val="192"/>
        </w:trPr>
        <w:tc>
          <w:tcPr>
            <w:tcW w:w="29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40" w:type="dxa"/>
            <w:vAlign w:val="bottom"/>
          </w:tcPr>
          <w:p>
            <w:pPr>
              <w:jc w:val="center"/>
              <w:ind w:left="11"/>
              <w:spacing w:after="0"/>
              <w:rPr>
                <w:sz w:val="20"/>
                <w:szCs w:val="20"/>
                <w:color w:val="auto"/>
              </w:rPr>
            </w:pPr>
            <w:r>
              <w:rPr>
                <w:rFonts w:ascii="Arial" w:cs="Arial" w:eastAsia="Arial" w:hAnsi="Arial"/>
                <w:sz w:val="14"/>
                <w:szCs w:val="14"/>
                <w:b w:val="1"/>
                <w:bCs w:val="1"/>
                <w:color w:val="0A9E50"/>
                <w:w w:val="98"/>
              </w:rPr>
              <w:t>Compensation &amp;</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A9E50"/>
                <w:w w:val="98"/>
              </w:rPr>
              <w:t>Corporate</w:t>
            </w:r>
          </w:p>
        </w:tc>
      </w:tr>
      <w:tr>
        <w:trPr>
          <w:trHeight w:val="156"/>
        </w:trPr>
        <w:tc>
          <w:tcPr>
            <w:tcW w:w="2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4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6"/>
              </w:rPr>
              <w:t>Talent</w:t>
            </w:r>
          </w:p>
        </w:tc>
        <w:tc>
          <w:tcPr>
            <w:tcW w:w="1140" w:type="dxa"/>
            <w:vAlign w:val="bottom"/>
          </w:tcPr>
          <w:p>
            <w:pPr>
              <w:jc w:val="right"/>
              <w:ind w:right="11"/>
              <w:spacing w:after="0" w:line="156" w:lineRule="exact"/>
              <w:rPr>
                <w:sz w:val="20"/>
                <w:szCs w:val="20"/>
                <w:color w:val="auto"/>
              </w:rPr>
            </w:pPr>
            <w:r>
              <w:rPr>
                <w:rFonts w:ascii="Arial" w:cs="Arial" w:eastAsia="Arial" w:hAnsi="Arial"/>
                <w:sz w:val="14"/>
                <w:szCs w:val="14"/>
                <w:b w:val="1"/>
                <w:bCs w:val="1"/>
                <w:color w:val="0A9E50"/>
                <w:w w:val="98"/>
              </w:rPr>
              <w:t>  Governance &amp;</w:t>
            </w:r>
          </w:p>
        </w:tc>
      </w:tr>
      <w:tr>
        <w:trPr>
          <w:trHeight w:val="156"/>
        </w:trPr>
        <w:tc>
          <w:tcPr>
            <w:tcW w:w="2940" w:type="dxa"/>
            <w:vAlign w:val="bottom"/>
          </w:tcPr>
          <w:p>
            <w:pPr>
              <w:spacing w:after="0"/>
              <w:rPr>
                <w:sz w:val="13"/>
                <w:szCs w:val="13"/>
                <w:color w:val="auto"/>
              </w:rPr>
            </w:pPr>
          </w:p>
        </w:tc>
        <w:tc>
          <w:tcPr>
            <w:tcW w:w="1760" w:type="dxa"/>
            <w:vAlign w:val="bottom"/>
          </w:tcPr>
          <w:p>
            <w:pPr>
              <w:jc w:val="right"/>
              <w:ind w:right="251"/>
              <w:spacing w:after="0" w:line="156" w:lineRule="exact"/>
              <w:rPr>
                <w:sz w:val="20"/>
                <w:szCs w:val="20"/>
                <w:color w:val="auto"/>
              </w:rPr>
            </w:pPr>
            <w:r>
              <w:rPr>
                <w:rFonts w:ascii="Arial" w:cs="Arial" w:eastAsia="Arial" w:hAnsi="Arial"/>
                <w:sz w:val="14"/>
                <w:szCs w:val="14"/>
                <w:b w:val="1"/>
                <w:bCs w:val="1"/>
                <w:color w:val="0A9E50"/>
              </w:rPr>
              <w:t>Non-Employee</w:t>
            </w:r>
          </w:p>
        </w:tc>
        <w:tc>
          <w:tcPr>
            <w:tcW w:w="1360" w:type="dxa"/>
            <w:vAlign w:val="bottom"/>
          </w:tcPr>
          <w:p>
            <w:pPr>
              <w:jc w:val="right"/>
              <w:ind w:right="171"/>
              <w:spacing w:after="0" w:line="156" w:lineRule="exact"/>
              <w:rPr>
                <w:sz w:val="20"/>
                <w:szCs w:val="20"/>
                <w:color w:val="auto"/>
              </w:rPr>
            </w:pPr>
            <w:r>
              <w:rPr>
                <w:rFonts w:ascii="Arial" w:cs="Arial" w:eastAsia="Arial" w:hAnsi="Arial"/>
                <w:sz w:val="14"/>
                <w:szCs w:val="14"/>
                <w:b w:val="1"/>
                <w:bCs w:val="1"/>
                <w:color w:val="0A9E50"/>
              </w:rPr>
              <w:t>Chairman of</w:t>
            </w:r>
          </w:p>
        </w:tc>
        <w:tc>
          <w:tcPr>
            <w:tcW w:w="1080" w:type="dxa"/>
            <w:vAlign w:val="bottom"/>
          </w:tcPr>
          <w:p>
            <w:pPr>
              <w:jc w:val="right"/>
              <w:ind w:right="171"/>
              <w:spacing w:after="0" w:line="156" w:lineRule="exact"/>
              <w:rPr>
                <w:sz w:val="20"/>
                <w:szCs w:val="20"/>
                <w:color w:val="auto"/>
              </w:rPr>
            </w:pPr>
            <w:r>
              <w:rPr>
                <w:rFonts w:ascii="Arial" w:cs="Arial" w:eastAsia="Arial" w:hAnsi="Arial"/>
                <w:sz w:val="14"/>
                <w:szCs w:val="14"/>
                <w:b w:val="1"/>
                <w:bCs w:val="1"/>
                <w:color w:val="0A9E50"/>
              </w:rPr>
              <w:t>Audit</w:t>
            </w:r>
          </w:p>
        </w:tc>
        <w:tc>
          <w:tcPr>
            <w:tcW w:w="234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8"/>
              </w:rPr>
              <w:t>Management</w:t>
            </w:r>
          </w:p>
        </w:tc>
        <w:tc>
          <w:tcPr>
            <w:tcW w:w="114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8"/>
              </w:rPr>
              <w:t>Nominating</w:t>
            </w:r>
          </w:p>
        </w:tc>
      </w:tr>
      <w:tr>
        <w:trPr>
          <w:trHeight w:val="192"/>
        </w:trPr>
        <w:tc>
          <w:tcPr>
            <w:tcW w:w="2940" w:type="dxa"/>
            <w:vAlign w:val="bottom"/>
          </w:tcPr>
          <w:p>
            <w:pPr>
              <w:spacing w:after="0"/>
              <w:rPr>
                <w:sz w:val="16"/>
                <w:szCs w:val="16"/>
                <w:color w:val="auto"/>
              </w:rPr>
            </w:pPr>
          </w:p>
        </w:tc>
        <w:tc>
          <w:tcPr>
            <w:tcW w:w="1760" w:type="dxa"/>
            <w:vAlign w:val="bottom"/>
          </w:tcPr>
          <w:p>
            <w:pPr>
              <w:jc w:val="right"/>
              <w:ind w:right="431"/>
              <w:spacing w:after="0"/>
              <w:rPr>
                <w:sz w:val="20"/>
                <w:szCs w:val="20"/>
                <w:color w:val="auto"/>
              </w:rPr>
            </w:pPr>
            <w:r>
              <w:rPr>
                <w:rFonts w:ascii="Arial" w:cs="Arial" w:eastAsia="Arial" w:hAnsi="Arial"/>
                <w:sz w:val="14"/>
                <w:szCs w:val="14"/>
                <w:b w:val="1"/>
                <w:bCs w:val="1"/>
                <w:color w:val="0A9E50"/>
              </w:rPr>
              <w:t>Directors</w:t>
            </w:r>
          </w:p>
        </w:tc>
        <w:tc>
          <w:tcPr>
            <w:tcW w:w="1360" w:type="dxa"/>
            <w:vAlign w:val="bottom"/>
          </w:tcPr>
          <w:p>
            <w:pPr>
              <w:jc w:val="right"/>
              <w:ind w:right="251"/>
              <w:spacing w:after="0"/>
              <w:rPr>
                <w:sz w:val="20"/>
                <w:szCs w:val="20"/>
                <w:color w:val="auto"/>
              </w:rPr>
            </w:pPr>
            <w:r>
              <w:rPr>
                <w:rFonts w:ascii="Arial" w:cs="Arial" w:eastAsia="Arial" w:hAnsi="Arial"/>
                <w:sz w:val="14"/>
                <w:szCs w:val="14"/>
                <w:b w:val="1"/>
                <w:bCs w:val="1"/>
                <w:color w:val="0A9E50"/>
              </w:rPr>
              <w:t>the Board</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0A9E50"/>
              </w:rPr>
              <w:t xml:space="preserve">  Committee </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0A9E50"/>
                <w:w w:val="99"/>
              </w:rPr>
              <w:t>Committee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A9E50"/>
                <w:w w:val="99"/>
              </w:rPr>
              <w:t>Committee</w:t>
            </w:r>
          </w:p>
        </w:tc>
      </w:tr>
      <w:tr>
        <w:trPr>
          <w:trHeight w:val="39"/>
        </w:trPr>
        <w:tc>
          <w:tcPr>
            <w:tcW w:w="29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19"/>
        </w:trPr>
        <w:tc>
          <w:tcPr>
            <w:tcW w:w="2940" w:type="dxa"/>
            <w:vAlign w:val="bottom"/>
          </w:tcPr>
          <w:p>
            <w:pPr>
              <w:ind w:left="60"/>
              <w:spacing w:after="0"/>
              <w:rPr>
                <w:sz w:val="20"/>
                <w:szCs w:val="20"/>
                <w:color w:val="auto"/>
              </w:rPr>
            </w:pPr>
            <w:r>
              <w:rPr>
                <w:rFonts w:ascii="Arial" w:cs="Arial" w:eastAsia="Arial" w:hAnsi="Arial"/>
                <w:sz w:val="14"/>
                <w:szCs w:val="14"/>
                <w:color w:val="auto"/>
              </w:rPr>
              <w:t>Cash</w:t>
            </w:r>
          </w:p>
        </w:tc>
        <w:tc>
          <w:tcPr>
            <w:tcW w:w="1760" w:type="dxa"/>
            <w:vAlign w:val="bottom"/>
          </w:tcPr>
          <w:p>
            <w:pPr>
              <w:jc w:val="right"/>
              <w:ind w:right="291"/>
              <w:spacing w:after="0"/>
              <w:rPr>
                <w:sz w:val="20"/>
                <w:szCs w:val="20"/>
                <w:color w:val="auto"/>
              </w:rPr>
            </w:pPr>
            <w:r>
              <w:rPr>
                <w:rFonts w:ascii="Arial" w:cs="Arial" w:eastAsia="Arial" w:hAnsi="Arial"/>
                <w:sz w:val="14"/>
                <w:szCs w:val="14"/>
                <w:color w:val="auto"/>
              </w:rPr>
              <w:t>$100,000</w:t>
            </w:r>
          </w:p>
        </w:tc>
        <w:tc>
          <w:tcPr>
            <w:tcW w:w="1360" w:type="dxa"/>
            <w:vAlign w:val="bottom"/>
          </w:tcPr>
          <w:p>
            <w:pPr>
              <w:jc w:val="right"/>
              <w:ind w:right="171"/>
              <w:spacing w:after="0"/>
              <w:rPr>
                <w:sz w:val="20"/>
                <w:szCs w:val="20"/>
                <w:color w:val="auto"/>
              </w:rPr>
            </w:pPr>
            <w:r>
              <w:rPr>
                <w:rFonts w:ascii="Arial" w:cs="Arial" w:eastAsia="Arial" w:hAnsi="Arial"/>
                <w:sz w:val="14"/>
                <w:szCs w:val="14"/>
                <w:color w:val="auto"/>
              </w:rPr>
              <w:t>$150,000</w:t>
            </w:r>
          </w:p>
        </w:tc>
        <w:tc>
          <w:tcPr>
            <w:tcW w:w="1080" w:type="dxa"/>
            <w:vAlign w:val="bottom"/>
          </w:tcPr>
          <w:p>
            <w:pPr>
              <w:jc w:val="right"/>
              <w:spacing w:after="0"/>
              <w:rPr>
                <w:sz w:val="20"/>
                <w:szCs w:val="20"/>
                <w:color w:val="auto"/>
              </w:rPr>
            </w:pPr>
            <w:r>
              <w:rPr>
                <w:rFonts w:ascii="Arial" w:cs="Arial" w:eastAsia="Arial" w:hAnsi="Arial"/>
                <w:sz w:val="14"/>
                <w:szCs w:val="14"/>
                <w:color w:val="auto"/>
              </w:rPr>
              <w:t>$20,000</w:t>
            </w:r>
          </w:p>
        </w:tc>
        <w:tc>
          <w:tcPr>
            <w:tcW w:w="2340" w:type="dxa"/>
            <w:vAlign w:val="bottom"/>
          </w:tcPr>
          <w:p>
            <w:pPr>
              <w:jc w:val="right"/>
              <w:ind w:right="631"/>
              <w:spacing w:after="0"/>
              <w:rPr>
                <w:sz w:val="20"/>
                <w:szCs w:val="20"/>
                <w:color w:val="auto"/>
              </w:rPr>
            </w:pPr>
            <w:r>
              <w:rPr>
                <w:rFonts w:ascii="Arial" w:cs="Arial" w:eastAsia="Arial" w:hAnsi="Arial"/>
                <w:sz w:val="14"/>
                <w:szCs w:val="14"/>
                <w:color w:val="auto"/>
              </w:rPr>
              <w:t>$15,000</w:t>
            </w: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$15,000</w:t>
            </w:r>
          </w:p>
        </w:tc>
      </w:tr>
      <w:tr>
        <w:trPr>
          <w:trHeight w:val="47"/>
        </w:trPr>
        <w:tc>
          <w:tcPr>
            <w:tcW w:w="2940" w:type="dxa"/>
            <w:vAlign w:val="bottom"/>
            <w:tcBorders>
              <w:bottom w:val="single" w:sz="8" w:color="7F7F7F"/>
            </w:tcBorders>
          </w:tcPr>
          <w:p>
            <w:pPr>
              <w:spacing w:after="0"/>
              <w:rPr>
                <w:sz w:val="4"/>
                <w:szCs w:val="4"/>
                <w:color w:val="auto"/>
              </w:rPr>
            </w:pPr>
          </w:p>
        </w:tc>
        <w:tc>
          <w:tcPr>
            <w:tcW w:w="1760" w:type="dxa"/>
            <w:vAlign w:val="bottom"/>
            <w:tcBorders>
              <w:bottom w:val="single" w:sz="8" w:color="7F7F7F"/>
            </w:tcBorders>
          </w:tcPr>
          <w:p>
            <w:pPr>
              <w:spacing w:after="0"/>
              <w:rPr>
                <w:sz w:val="4"/>
                <w:szCs w:val="4"/>
                <w:color w:val="auto"/>
              </w:rPr>
            </w:pPr>
          </w:p>
        </w:tc>
        <w:tc>
          <w:tcPr>
            <w:tcW w:w="1360" w:type="dxa"/>
            <w:vAlign w:val="bottom"/>
            <w:tcBorders>
              <w:bottom w:val="single" w:sz="8" w:color="7F7F7F"/>
            </w:tcBorders>
          </w:tcPr>
          <w:p>
            <w:pPr>
              <w:spacing w:after="0"/>
              <w:rPr>
                <w:sz w:val="4"/>
                <w:szCs w:val="4"/>
                <w:color w:val="auto"/>
              </w:rPr>
            </w:pPr>
          </w:p>
        </w:tc>
        <w:tc>
          <w:tcPr>
            <w:tcW w:w="1080" w:type="dxa"/>
            <w:vAlign w:val="bottom"/>
            <w:tcBorders>
              <w:bottom w:val="single" w:sz="8" w:color="7F7F7F"/>
            </w:tcBorders>
          </w:tcPr>
          <w:p>
            <w:pPr>
              <w:spacing w:after="0"/>
              <w:rPr>
                <w:sz w:val="4"/>
                <w:szCs w:val="4"/>
                <w:color w:val="auto"/>
              </w:rPr>
            </w:pPr>
          </w:p>
        </w:tc>
        <w:tc>
          <w:tcPr>
            <w:tcW w:w="234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r>
      <w:tr>
        <w:trPr>
          <w:trHeight w:val="219"/>
        </w:trPr>
        <w:tc>
          <w:tcPr>
            <w:tcW w:w="2940" w:type="dxa"/>
            <w:vAlign w:val="bottom"/>
          </w:tcPr>
          <w:p>
            <w:pPr>
              <w:ind w:left="60"/>
              <w:spacing w:after="0"/>
              <w:rPr>
                <w:sz w:val="20"/>
                <w:szCs w:val="20"/>
                <w:color w:val="auto"/>
              </w:rPr>
            </w:pPr>
            <w:r>
              <w:rPr>
                <w:rFonts w:ascii="Arial" w:cs="Arial" w:eastAsia="Arial" w:hAnsi="Arial"/>
                <w:sz w:val="14"/>
                <w:szCs w:val="14"/>
                <w:color w:val="auto"/>
              </w:rPr>
              <w:t>Equity (Kelly Class A Stock – $ Value)</w:t>
            </w:r>
          </w:p>
        </w:tc>
        <w:tc>
          <w:tcPr>
            <w:tcW w:w="1760" w:type="dxa"/>
            <w:vAlign w:val="bottom"/>
          </w:tcPr>
          <w:p>
            <w:pPr>
              <w:jc w:val="right"/>
              <w:ind w:right="291"/>
              <w:spacing w:after="0"/>
              <w:rPr>
                <w:sz w:val="20"/>
                <w:szCs w:val="20"/>
                <w:color w:val="auto"/>
              </w:rPr>
            </w:pPr>
            <w:r>
              <w:rPr>
                <w:rFonts w:ascii="Arial" w:cs="Arial" w:eastAsia="Arial" w:hAnsi="Arial"/>
                <w:sz w:val="14"/>
                <w:szCs w:val="14"/>
                <w:color w:val="auto"/>
              </w:rPr>
              <w:t>$125,000</w:t>
            </w:r>
          </w:p>
        </w:tc>
        <w:tc>
          <w:tcPr>
            <w:tcW w:w="1360" w:type="dxa"/>
            <w:vAlign w:val="bottom"/>
          </w:tcPr>
          <w:p>
            <w:pPr>
              <w:jc w:val="right"/>
              <w:ind w:right="171"/>
              <w:spacing w:after="0"/>
              <w:rPr>
                <w:sz w:val="20"/>
                <w:szCs w:val="20"/>
                <w:color w:val="auto"/>
              </w:rPr>
            </w:pPr>
            <w:r>
              <w:rPr>
                <w:rFonts w:ascii="Arial" w:cs="Arial" w:eastAsia="Arial" w:hAnsi="Arial"/>
                <w:sz w:val="14"/>
                <w:szCs w:val="14"/>
                <w:color w:val="auto"/>
              </w:rPr>
              <w:t>$165,000</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340" w:type="dxa"/>
            <w:vAlign w:val="bottom"/>
          </w:tcPr>
          <w:p>
            <w:pPr>
              <w:jc w:val="right"/>
              <w:ind w:right="63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w:t>
            </w:r>
          </w:p>
        </w:tc>
      </w:tr>
      <w:tr>
        <w:trPr>
          <w:trHeight w:val="47"/>
        </w:trPr>
        <w:tc>
          <w:tcPr>
            <w:tcW w:w="2940" w:type="dxa"/>
            <w:vAlign w:val="bottom"/>
            <w:tcBorders>
              <w:bottom w:val="single" w:sz="8" w:color="7F7F7F"/>
            </w:tcBorders>
          </w:tcPr>
          <w:p>
            <w:pPr>
              <w:spacing w:after="0"/>
              <w:rPr>
                <w:sz w:val="4"/>
                <w:szCs w:val="4"/>
                <w:color w:val="auto"/>
              </w:rPr>
            </w:pPr>
          </w:p>
        </w:tc>
        <w:tc>
          <w:tcPr>
            <w:tcW w:w="1760" w:type="dxa"/>
            <w:vAlign w:val="bottom"/>
            <w:tcBorders>
              <w:bottom w:val="single" w:sz="8" w:color="7F7F7F"/>
            </w:tcBorders>
          </w:tcPr>
          <w:p>
            <w:pPr>
              <w:spacing w:after="0"/>
              <w:rPr>
                <w:sz w:val="4"/>
                <w:szCs w:val="4"/>
                <w:color w:val="auto"/>
              </w:rPr>
            </w:pPr>
          </w:p>
        </w:tc>
        <w:tc>
          <w:tcPr>
            <w:tcW w:w="1360" w:type="dxa"/>
            <w:vAlign w:val="bottom"/>
            <w:tcBorders>
              <w:bottom w:val="single" w:sz="8" w:color="7F7F7F"/>
            </w:tcBorders>
          </w:tcPr>
          <w:p>
            <w:pPr>
              <w:spacing w:after="0"/>
              <w:rPr>
                <w:sz w:val="4"/>
                <w:szCs w:val="4"/>
                <w:color w:val="auto"/>
              </w:rPr>
            </w:pPr>
          </w:p>
        </w:tc>
        <w:tc>
          <w:tcPr>
            <w:tcW w:w="1080" w:type="dxa"/>
            <w:vAlign w:val="bottom"/>
            <w:tcBorders>
              <w:bottom w:val="single" w:sz="8" w:color="7F7F7F"/>
            </w:tcBorders>
          </w:tcPr>
          <w:p>
            <w:pPr>
              <w:spacing w:after="0"/>
              <w:rPr>
                <w:sz w:val="4"/>
                <w:szCs w:val="4"/>
                <w:color w:val="auto"/>
              </w:rPr>
            </w:pPr>
          </w:p>
        </w:tc>
        <w:tc>
          <w:tcPr>
            <w:tcW w:w="234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r>
      <w:tr>
        <w:trPr>
          <w:trHeight w:val="219"/>
        </w:trPr>
        <w:tc>
          <w:tcPr>
            <w:tcW w:w="2940" w:type="dxa"/>
            <w:vAlign w:val="bottom"/>
          </w:tcPr>
          <w:p>
            <w:pPr>
              <w:ind w:left="60"/>
              <w:spacing w:after="0"/>
              <w:rPr>
                <w:sz w:val="20"/>
                <w:szCs w:val="20"/>
                <w:color w:val="auto"/>
              </w:rPr>
            </w:pPr>
            <w:r>
              <w:rPr>
                <w:rFonts w:ascii="Arial" w:cs="Arial" w:eastAsia="Arial" w:hAnsi="Arial"/>
                <w:sz w:val="14"/>
                <w:szCs w:val="14"/>
                <w:color w:val="auto"/>
              </w:rPr>
              <w:t>Total</w:t>
            </w:r>
          </w:p>
        </w:tc>
        <w:tc>
          <w:tcPr>
            <w:tcW w:w="1760" w:type="dxa"/>
            <w:vAlign w:val="bottom"/>
          </w:tcPr>
          <w:p>
            <w:pPr>
              <w:jc w:val="right"/>
              <w:ind w:right="291"/>
              <w:spacing w:after="0"/>
              <w:rPr>
                <w:sz w:val="20"/>
                <w:szCs w:val="20"/>
                <w:color w:val="auto"/>
              </w:rPr>
            </w:pPr>
            <w:r>
              <w:rPr>
                <w:rFonts w:ascii="Arial" w:cs="Arial" w:eastAsia="Arial" w:hAnsi="Arial"/>
                <w:sz w:val="14"/>
                <w:szCs w:val="14"/>
                <w:color w:val="auto"/>
              </w:rPr>
              <w:t>$225,000</w:t>
            </w:r>
          </w:p>
        </w:tc>
        <w:tc>
          <w:tcPr>
            <w:tcW w:w="1360" w:type="dxa"/>
            <w:vAlign w:val="bottom"/>
          </w:tcPr>
          <w:p>
            <w:pPr>
              <w:jc w:val="right"/>
              <w:ind w:right="171"/>
              <w:spacing w:after="0"/>
              <w:rPr>
                <w:sz w:val="20"/>
                <w:szCs w:val="20"/>
                <w:color w:val="auto"/>
              </w:rPr>
            </w:pPr>
            <w:r>
              <w:rPr>
                <w:rFonts w:ascii="Arial" w:cs="Arial" w:eastAsia="Arial" w:hAnsi="Arial"/>
                <w:sz w:val="14"/>
                <w:szCs w:val="14"/>
                <w:color w:val="auto"/>
              </w:rPr>
              <w:t>$315,000</w:t>
            </w:r>
          </w:p>
        </w:tc>
        <w:tc>
          <w:tcPr>
            <w:tcW w:w="1080" w:type="dxa"/>
            <w:vAlign w:val="bottom"/>
          </w:tcPr>
          <w:p>
            <w:pPr>
              <w:jc w:val="right"/>
              <w:spacing w:after="0"/>
              <w:rPr>
                <w:sz w:val="20"/>
                <w:szCs w:val="20"/>
                <w:color w:val="auto"/>
              </w:rPr>
            </w:pPr>
            <w:r>
              <w:rPr>
                <w:rFonts w:ascii="Arial" w:cs="Arial" w:eastAsia="Arial" w:hAnsi="Arial"/>
                <w:sz w:val="14"/>
                <w:szCs w:val="14"/>
                <w:color w:val="auto"/>
              </w:rPr>
              <w:t>$20,000</w:t>
            </w:r>
          </w:p>
        </w:tc>
        <w:tc>
          <w:tcPr>
            <w:tcW w:w="2340" w:type="dxa"/>
            <w:vAlign w:val="bottom"/>
          </w:tcPr>
          <w:p>
            <w:pPr>
              <w:jc w:val="right"/>
              <w:ind w:right="631"/>
              <w:spacing w:after="0"/>
              <w:rPr>
                <w:sz w:val="20"/>
                <w:szCs w:val="20"/>
                <w:color w:val="auto"/>
              </w:rPr>
            </w:pPr>
            <w:r>
              <w:rPr>
                <w:rFonts w:ascii="Arial" w:cs="Arial" w:eastAsia="Arial" w:hAnsi="Arial"/>
                <w:sz w:val="14"/>
                <w:szCs w:val="14"/>
                <w:color w:val="auto"/>
              </w:rPr>
              <w:t>$15,000</w:t>
            </w: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$15,000</w:t>
            </w:r>
          </w:p>
        </w:tc>
      </w:tr>
      <w:tr>
        <w:trPr>
          <w:trHeight w:val="47"/>
        </w:trPr>
        <w:tc>
          <w:tcPr>
            <w:tcW w:w="2940" w:type="dxa"/>
            <w:vAlign w:val="bottom"/>
            <w:tcBorders>
              <w:bottom w:val="single" w:sz="8" w:color="7F7F7F"/>
            </w:tcBorders>
          </w:tcPr>
          <w:p>
            <w:pPr>
              <w:spacing w:after="0"/>
              <w:rPr>
                <w:sz w:val="4"/>
                <w:szCs w:val="4"/>
                <w:color w:val="auto"/>
              </w:rPr>
            </w:pPr>
          </w:p>
        </w:tc>
        <w:tc>
          <w:tcPr>
            <w:tcW w:w="1760" w:type="dxa"/>
            <w:vAlign w:val="bottom"/>
            <w:tcBorders>
              <w:bottom w:val="single" w:sz="8" w:color="7F7F7F"/>
            </w:tcBorders>
          </w:tcPr>
          <w:p>
            <w:pPr>
              <w:spacing w:after="0"/>
              <w:rPr>
                <w:sz w:val="4"/>
                <w:szCs w:val="4"/>
                <w:color w:val="auto"/>
              </w:rPr>
            </w:pPr>
          </w:p>
        </w:tc>
        <w:tc>
          <w:tcPr>
            <w:tcW w:w="1360" w:type="dxa"/>
            <w:vAlign w:val="bottom"/>
            <w:tcBorders>
              <w:bottom w:val="single" w:sz="8" w:color="7F7F7F"/>
            </w:tcBorders>
          </w:tcPr>
          <w:p>
            <w:pPr>
              <w:spacing w:after="0"/>
              <w:rPr>
                <w:sz w:val="4"/>
                <w:szCs w:val="4"/>
                <w:color w:val="auto"/>
              </w:rPr>
            </w:pPr>
          </w:p>
        </w:tc>
        <w:tc>
          <w:tcPr>
            <w:tcW w:w="1080" w:type="dxa"/>
            <w:vAlign w:val="bottom"/>
            <w:tcBorders>
              <w:bottom w:val="single" w:sz="8" w:color="7F7F7F"/>
            </w:tcBorders>
          </w:tcPr>
          <w:p>
            <w:pPr>
              <w:spacing w:after="0"/>
              <w:rPr>
                <w:sz w:val="4"/>
                <w:szCs w:val="4"/>
                <w:color w:val="auto"/>
              </w:rPr>
            </w:pPr>
          </w:p>
        </w:tc>
        <w:tc>
          <w:tcPr>
            <w:tcW w:w="234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r>
    </w:tbl>
    <w:p>
      <w:pPr>
        <w:spacing w:after="0" w:line="196" w:lineRule="exact"/>
        <w:rPr>
          <w:sz w:val="20"/>
          <w:szCs w:val="20"/>
          <w:color w:val="auto"/>
        </w:rPr>
      </w:pPr>
    </w:p>
    <w:p>
      <w:pPr>
        <w:jc w:val="both"/>
        <w:ind w:left="320" w:right="20"/>
        <w:spacing w:after="0" w:line="293" w:lineRule="auto"/>
        <w:rPr>
          <w:sz w:val="20"/>
          <w:szCs w:val="20"/>
          <w:color w:val="auto"/>
        </w:rPr>
      </w:pPr>
      <w:r>
        <w:rPr>
          <w:rFonts w:ascii="Arial" w:cs="Arial" w:eastAsia="Arial" w:hAnsi="Arial"/>
          <w:sz w:val="14"/>
          <w:szCs w:val="14"/>
          <w:color w:val="auto"/>
        </w:rPr>
        <w:t>Under the Company’s amended and restated Equity Incentive Plan (“EIP”), the Board of Directors must periodically determine the percentage of the base retainer that will be issued to non-employee directors in shares of Class A Common Stock. At the meeting of the Board following the 2023 Annual Meeting of Shareholders, the Board determined that $125,000 of the base retainer would be issued in shares (55.6%) and $100,000 of the base retainer would be paid in cash (44.4%). Equity portion of $165,000 and cash portion of $150,000 were maintained for the Chairman of the Board.</w:t>
      </w:r>
    </w:p>
    <w:p>
      <w:pPr>
        <w:spacing w:after="0" w:line="240"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Stock Ownership Requirements</w:t>
      </w:r>
    </w:p>
    <w:p>
      <w:pPr>
        <w:spacing w:after="0" w:line="72" w:lineRule="exact"/>
        <w:rPr>
          <w:sz w:val="20"/>
          <w:szCs w:val="20"/>
          <w:color w:val="auto"/>
        </w:rPr>
      </w:pPr>
    </w:p>
    <w:p>
      <w:pPr>
        <w:ind w:left="320" w:right="20"/>
        <w:spacing w:after="0" w:line="246" w:lineRule="auto"/>
        <w:rPr>
          <w:sz w:val="20"/>
          <w:szCs w:val="20"/>
          <w:color w:val="auto"/>
        </w:rPr>
      </w:pPr>
      <w:r>
        <w:rPr>
          <w:rFonts w:ascii="Arial" w:cs="Arial" w:eastAsia="Arial" w:hAnsi="Arial"/>
          <w:sz w:val="16"/>
          <w:szCs w:val="16"/>
          <w:color w:val="auto"/>
        </w:rPr>
        <w:t>Non-employee directors are subject to a stock ownership requirement that is a minimum fair market value of four times the value of the cash portion of the annual base retainer (which currently equates to $400,000). Although there is not a fixed compliance period, it is expected that new directors will likely reach the ownership requirements within five years from their appointment date. All directors, except for recently appointed directors Mses. Duggirala and Johnson, are compliant with the Company’s stock ownership requirements.</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Non-Employee Directors Deferred Compensation Plan</w:t>
      </w:r>
    </w:p>
    <w:p>
      <w:pPr>
        <w:spacing w:after="0" w:line="72" w:lineRule="exact"/>
        <w:rPr>
          <w:sz w:val="20"/>
          <w:szCs w:val="20"/>
          <w:color w:val="auto"/>
        </w:rPr>
      </w:pPr>
    </w:p>
    <w:p>
      <w:pPr>
        <w:ind w:left="320" w:right="180"/>
        <w:spacing w:after="0" w:line="242" w:lineRule="auto"/>
        <w:rPr>
          <w:sz w:val="20"/>
          <w:szCs w:val="20"/>
          <w:color w:val="auto"/>
        </w:rPr>
      </w:pPr>
      <w:r>
        <w:rPr>
          <w:rFonts w:ascii="Arial" w:cs="Arial" w:eastAsia="Arial" w:hAnsi="Arial"/>
          <w:sz w:val="16"/>
          <w:szCs w:val="16"/>
          <w:color w:val="auto"/>
        </w:rPr>
        <w:t>The Company established the Non-Employee Directors Deferred Compensation Plan (“DDCP”), which provides non-employee directors with the opportunity to defer all or a portion of all fees payable to them, pursuant to a valid deferral election. The DDCP is a non-qualified plan that allows for the deferral of all or a portion of annual cash payments to a notional account with investment fund choices that mirror those provided to participants in the Company’s Management Retirement Plan (“MRP”). In addition to those fund choices, the Plan also includes the option to defer annual cash payments into Company common stock units. Non-employee directors may also elect to defer all or a portion of their annual stock retainer into Company common stock units. Participants may elect to receive distributions from their DDCP account at the time they cease</w:t>
      </w:r>
    </w:p>
    <w:p>
      <w:pPr>
        <w:spacing w:after="0" w:line="3" w:lineRule="exact"/>
        <w:rPr>
          <w:sz w:val="20"/>
          <w:szCs w:val="20"/>
          <w:color w:val="auto"/>
        </w:rPr>
      </w:pP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-222250</wp:posOffset>
            </wp:positionV>
            <wp:extent cx="8255" cy="2228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Director Compensation</w:t>
      </w:r>
    </w:p>
    <w:p>
      <w:pPr>
        <w:spacing w:after="0" w:line="137" w:lineRule="exact"/>
        <w:rPr>
          <w:sz w:val="20"/>
          <w:szCs w:val="20"/>
          <w:color w:val="auto"/>
        </w:rPr>
      </w:pPr>
    </w:p>
    <w:p>
      <w:pPr>
        <w:ind w:left="320" w:right="460"/>
        <w:spacing w:after="0" w:line="251" w:lineRule="auto"/>
        <w:rPr>
          <w:sz w:val="20"/>
          <w:szCs w:val="20"/>
          <w:color w:val="auto"/>
        </w:rPr>
      </w:pPr>
      <w:r>
        <w:rPr>
          <w:rFonts w:ascii="Arial" w:cs="Arial" w:eastAsia="Arial" w:hAnsi="Arial"/>
          <w:sz w:val="16"/>
          <w:szCs w:val="16"/>
          <w:color w:val="auto"/>
        </w:rPr>
        <w:t>to be a director of the Company or at a future date that is between one and ten years following the date they cease to be a director of the Company. Non-employee directors can elect to have distributions from the DDCP made in either a lump sum or in annual installment payments made over a two-to-ten-year period.</w:t>
      </w:r>
    </w:p>
    <w:p>
      <w:pPr>
        <w:spacing w:after="0" w:line="47" w:lineRule="exact"/>
        <w:rPr>
          <w:sz w:val="20"/>
          <w:szCs w:val="20"/>
          <w:color w:val="auto"/>
        </w:rPr>
      </w:pPr>
    </w:p>
    <w:p>
      <w:pPr>
        <w:ind w:left="320" w:right="20"/>
        <w:spacing w:after="0" w:line="251" w:lineRule="auto"/>
        <w:rPr>
          <w:sz w:val="20"/>
          <w:szCs w:val="20"/>
          <w:color w:val="auto"/>
        </w:rPr>
      </w:pPr>
      <w:r>
        <w:rPr>
          <w:rFonts w:ascii="Arial" w:cs="Arial" w:eastAsia="Arial" w:hAnsi="Arial"/>
          <w:sz w:val="16"/>
          <w:szCs w:val="16"/>
          <w:color w:val="auto"/>
        </w:rPr>
        <w:t>The following table sets forth the compensation paid during 2023 to the Company’s non-employee directors. Mr. Quigley received no compensation for his services as a director in 2023. Mr. Quigley’s compensation as President and Chief Executive Officer is disclosed in the Compensation Discussion &amp; Analysis section of this Proxy Statement.</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2023 Director Compensation</w:t>
      </w:r>
    </w:p>
    <w:p>
      <w:pPr>
        <w:spacing w:after="0" w:line="8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0A9E50"/>
                <w:w w:val="99"/>
              </w:rPr>
              <w:t>Change in Pension</w:t>
            </w: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0A9E50"/>
                <w:w w:val="99"/>
              </w:rPr>
              <w:t>Value and</w:t>
            </w:r>
          </w:p>
        </w:tc>
        <w:tc>
          <w:tcPr>
            <w:tcW w:w="13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0A9E50"/>
                <w:w w:val="99"/>
              </w:rPr>
              <w:t>Nonqualified</w:t>
            </w:r>
          </w:p>
        </w:tc>
        <w:tc>
          <w:tcPr>
            <w:tcW w:w="13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1540" w:type="dxa"/>
            <w:vAlign w:val="bottom"/>
          </w:tcPr>
          <w:p>
            <w:pPr>
              <w:jc w:val="right"/>
              <w:ind w:right="111"/>
              <w:spacing w:after="0" w:line="156" w:lineRule="exact"/>
              <w:rPr>
                <w:sz w:val="20"/>
                <w:szCs w:val="20"/>
                <w:color w:val="auto"/>
              </w:rPr>
            </w:pPr>
            <w:r>
              <w:rPr>
                <w:rFonts w:ascii="Arial" w:cs="Arial" w:eastAsia="Arial" w:hAnsi="Arial"/>
                <w:sz w:val="14"/>
                <w:szCs w:val="14"/>
                <w:b w:val="1"/>
                <w:bCs w:val="1"/>
                <w:color w:val="0A9E50"/>
              </w:rPr>
              <w:t>Fees Earned</w:t>
            </w: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9"/>
              </w:rPr>
              <w:t>Non-Equity</w:t>
            </w:r>
          </w:p>
        </w:tc>
        <w:tc>
          <w:tcPr>
            <w:tcW w:w="16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0A9E50"/>
              </w:rPr>
              <w:t>Deferred</w:t>
            </w:r>
          </w:p>
        </w:tc>
        <w:tc>
          <w:tcPr>
            <w:tcW w:w="13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2"/>
        </w:trPr>
        <w:tc>
          <w:tcPr>
            <w:tcW w:w="1920" w:type="dxa"/>
            <w:vAlign w:val="bottom"/>
          </w:tcPr>
          <w:p>
            <w:pPr>
              <w:spacing w:after="0"/>
              <w:rPr>
                <w:sz w:val="13"/>
                <w:szCs w:val="13"/>
                <w:color w:val="auto"/>
              </w:rPr>
            </w:pPr>
          </w:p>
        </w:tc>
        <w:tc>
          <w:tcPr>
            <w:tcW w:w="1540" w:type="dxa"/>
            <w:vAlign w:val="bottom"/>
          </w:tcPr>
          <w:p>
            <w:pPr>
              <w:jc w:val="right"/>
              <w:ind w:right="211"/>
              <w:spacing w:after="0" w:line="153" w:lineRule="exact"/>
              <w:rPr>
                <w:sz w:val="20"/>
                <w:szCs w:val="20"/>
                <w:color w:val="auto"/>
              </w:rPr>
            </w:pPr>
            <w:r>
              <w:rPr>
                <w:rFonts w:ascii="Arial" w:cs="Arial" w:eastAsia="Arial" w:hAnsi="Arial"/>
                <w:sz w:val="14"/>
                <w:szCs w:val="14"/>
                <w:b w:val="1"/>
                <w:bCs w:val="1"/>
                <w:color w:val="0A9E50"/>
              </w:rPr>
              <w:t>or Paid in</w:t>
            </w:r>
          </w:p>
        </w:tc>
        <w:tc>
          <w:tcPr>
            <w:tcW w:w="100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0A9E50"/>
              </w:rPr>
              <w:t>Stock</w:t>
            </w:r>
          </w:p>
        </w:tc>
        <w:tc>
          <w:tcPr>
            <w:tcW w:w="920" w:type="dxa"/>
            <w:vAlign w:val="bottom"/>
          </w:tcPr>
          <w:p>
            <w:pPr>
              <w:ind w:left="220"/>
              <w:spacing w:after="0" w:line="153" w:lineRule="exact"/>
              <w:rPr>
                <w:sz w:val="20"/>
                <w:szCs w:val="20"/>
                <w:color w:val="auto"/>
              </w:rPr>
            </w:pPr>
            <w:r>
              <w:rPr>
                <w:rFonts w:ascii="Arial" w:cs="Arial" w:eastAsia="Arial" w:hAnsi="Arial"/>
                <w:sz w:val="14"/>
                <w:szCs w:val="14"/>
                <w:b w:val="1"/>
                <w:bCs w:val="1"/>
                <w:color w:val="0A9E50"/>
              </w:rPr>
              <w:t>Award</w:t>
            </w:r>
          </w:p>
        </w:tc>
        <w:tc>
          <w:tcPr>
            <w:tcW w:w="1380" w:type="dxa"/>
            <w:vAlign w:val="bottom"/>
          </w:tcPr>
          <w:p>
            <w:pPr>
              <w:jc w:val="center"/>
              <w:spacing w:after="0" w:line="153" w:lineRule="exact"/>
              <w:rPr>
                <w:sz w:val="20"/>
                <w:szCs w:val="20"/>
                <w:color w:val="auto"/>
              </w:rPr>
            </w:pPr>
            <w:r>
              <w:rPr>
                <w:rFonts w:ascii="Arial" w:cs="Arial" w:eastAsia="Arial" w:hAnsi="Arial"/>
                <w:sz w:val="14"/>
                <w:szCs w:val="14"/>
                <w:b w:val="1"/>
                <w:bCs w:val="1"/>
                <w:color w:val="0A9E50"/>
                <w:w w:val="99"/>
              </w:rPr>
              <w:t>Incentive Plan</w:t>
            </w:r>
          </w:p>
        </w:tc>
        <w:tc>
          <w:tcPr>
            <w:tcW w:w="16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0A9E50"/>
                <w:w w:val="98"/>
              </w:rPr>
              <w:t>Compensation</w:t>
            </w:r>
          </w:p>
        </w:tc>
        <w:tc>
          <w:tcPr>
            <w:tcW w:w="1360" w:type="dxa"/>
            <w:vAlign w:val="bottom"/>
          </w:tcPr>
          <w:p>
            <w:pPr>
              <w:ind w:left="380"/>
              <w:spacing w:after="0" w:line="153" w:lineRule="exact"/>
              <w:rPr>
                <w:sz w:val="20"/>
                <w:szCs w:val="20"/>
                <w:color w:val="auto"/>
              </w:rPr>
            </w:pPr>
            <w:r>
              <w:rPr>
                <w:rFonts w:ascii="Arial" w:cs="Arial" w:eastAsia="Arial" w:hAnsi="Arial"/>
                <w:sz w:val="14"/>
                <w:szCs w:val="14"/>
                <w:b w:val="1"/>
                <w:bCs w:val="1"/>
                <w:color w:val="0A9E50"/>
              </w:rPr>
              <w:t>All Other</w:t>
            </w:r>
          </w:p>
        </w:tc>
        <w:tc>
          <w:tcPr>
            <w:tcW w:w="860" w:type="dxa"/>
            <w:vAlign w:val="bottom"/>
          </w:tcPr>
          <w:p>
            <w:pPr>
              <w:spacing w:after="0"/>
              <w:rPr>
                <w:sz w:val="13"/>
                <w:szCs w:val="13"/>
                <w:color w:val="auto"/>
              </w:rPr>
            </w:pPr>
          </w:p>
        </w:tc>
      </w:tr>
      <w:tr>
        <w:trPr>
          <w:trHeight w:val="234"/>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  Name</w:t>
            </w:r>
          </w:p>
        </w:tc>
        <w:tc>
          <w:tcPr>
            <w:tcW w:w="15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0A9E50"/>
              </w:rPr>
              <w:t>Cash</w:t>
            </w:r>
            <w:r>
              <w:rPr>
                <w:rFonts w:ascii="Arial" w:cs="Arial" w:eastAsia="Arial" w:hAnsi="Arial"/>
                <w:sz w:val="20"/>
                <w:szCs w:val="20"/>
                <w:b w:val="1"/>
                <w:bCs w:val="1"/>
                <w:color w:val="0A9E50"/>
                <w:vertAlign w:val="superscript"/>
              </w:rPr>
              <w:t>(1)</w:t>
            </w: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0A9E50"/>
              </w:rPr>
              <w:t>Awards</w:t>
            </w:r>
            <w:r>
              <w:rPr>
                <w:rFonts w:ascii="Arial" w:cs="Arial" w:eastAsia="Arial" w:hAnsi="Arial"/>
                <w:sz w:val="20"/>
                <w:szCs w:val="20"/>
                <w:b w:val="1"/>
                <w:bCs w:val="1"/>
                <w:color w:val="0A9E50"/>
                <w:vertAlign w:val="superscript"/>
              </w:rPr>
              <w:t>(2)</w:t>
            </w: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0A9E50"/>
              </w:rPr>
              <w:t>Options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w w:val="98"/>
              </w:rPr>
              <w:t>Compensation</w:t>
            </w: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A9E50"/>
                <w:w w:val="96"/>
              </w:rPr>
              <w:t>Earnings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0A9E50"/>
              </w:rPr>
              <w:t>Compensation</w:t>
            </w:r>
          </w:p>
        </w:tc>
        <w:tc>
          <w:tcPr>
            <w:tcW w:w="860" w:type="dxa"/>
            <w:vAlign w:val="bottom"/>
            <w:tcBorders>
              <w:bottom w:val="single" w:sz="8" w:color="auto"/>
            </w:tcBorders>
          </w:tcPr>
          <w:p>
            <w:pPr>
              <w:jc w:val="center"/>
              <w:ind w:left="71"/>
              <w:spacing w:after="0"/>
              <w:rPr>
                <w:sz w:val="20"/>
                <w:szCs w:val="20"/>
                <w:color w:val="auto"/>
              </w:rPr>
            </w:pPr>
            <w:r>
              <w:rPr>
                <w:rFonts w:ascii="Arial" w:cs="Arial" w:eastAsia="Arial" w:hAnsi="Arial"/>
                <w:sz w:val="14"/>
                <w:szCs w:val="14"/>
                <w:b w:val="1"/>
                <w:bCs w:val="1"/>
                <w:color w:val="0A9E50"/>
                <w:w w:val="95"/>
              </w:rPr>
              <w:t>Total</w:t>
            </w:r>
          </w:p>
        </w:tc>
      </w:tr>
      <w:tr>
        <w:trPr>
          <w:trHeight w:val="227"/>
        </w:trPr>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Gerald S. Adolph</w:t>
            </w:r>
          </w:p>
        </w:tc>
        <w:tc>
          <w:tcPr>
            <w:tcW w:w="1540" w:type="dxa"/>
            <w:vAlign w:val="bottom"/>
          </w:tcPr>
          <w:p>
            <w:pPr>
              <w:jc w:val="right"/>
              <w:ind w:right="111"/>
              <w:spacing w:after="0"/>
              <w:rPr>
                <w:sz w:val="20"/>
                <w:szCs w:val="20"/>
                <w:color w:val="auto"/>
              </w:rPr>
            </w:pPr>
            <w:r>
              <w:rPr>
                <w:rFonts w:ascii="Arial" w:cs="Arial" w:eastAsia="Arial" w:hAnsi="Arial"/>
                <w:sz w:val="14"/>
                <w:szCs w:val="14"/>
                <w:color w:val="auto"/>
              </w:rPr>
              <w:t>$ 115,000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$125,000</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38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11"/>
              <w:spacing w:after="0"/>
              <w:rPr>
                <w:sz w:val="20"/>
                <w:szCs w:val="20"/>
                <w:color w:val="auto"/>
              </w:rPr>
            </w:pPr>
            <w:r>
              <w:rPr>
                <w:rFonts w:ascii="Arial" w:cs="Arial" w:eastAsia="Arial" w:hAnsi="Arial"/>
                <w:sz w:val="14"/>
                <w:szCs w:val="14"/>
                <w:color w:val="auto"/>
                <w:w w:val="98"/>
              </w:rPr>
              <w:t>196,960</w:t>
            </w:r>
          </w:p>
        </w:tc>
        <w:tc>
          <w:tcPr>
            <w:tcW w:w="1360" w:type="dxa"/>
            <w:vAlign w:val="bottom"/>
          </w:tcPr>
          <w:p>
            <w:pPr>
              <w:ind w:left="66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51"/>
              <w:spacing w:after="0"/>
              <w:rPr>
                <w:sz w:val="20"/>
                <w:szCs w:val="20"/>
                <w:color w:val="auto"/>
              </w:rPr>
            </w:pPr>
            <w:r>
              <w:rPr>
                <w:rFonts w:ascii="Arial" w:cs="Arial" w:eastAsia="Arial" w:hAnsi="Arial"/>
                <w:sz w:val="14"/>
                <w:szCs w:val="14"/>
                <w:color w:val="auto"/>
                <w:w w:val="99"/>
              </w:rPr>
              <w:t>$436,960</w:t>
            </w:r>
          </w:p>
        </w:tc>
      </w:tr>
      <w:tr>
        <w:trPr>
          <w:trHeight w:val="39"/>
        </w:trPr>
        <w:tc>
          <w:tcPr>
            <w:tcW w:w="1920" w:type="dxa"/>
            <w:vAlign w:val="bottom"/>
            <w:tcBorders>
              <w:bottom w:val="single" w:sz="8" w:color="7F7F7F"/>
            </w:tcBorders>
          </w:tcPr>
          <w:p>
            <w:pPr>
              <w:spacing w:after="0"/>
              <w:rPr>
                <w:sz w:val="3"/>
                <w:szCs w:val="3"/>
                <w:color w:val="auto"/>
              </w:rPr>
            </w:pPr>
          </w:p>
        </w:tc>
        <w:tc>
          <w:tcPr>
            <w:tcW w:w="15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r>
      <w:tr>
        <w:trPr>
          <w:trHeight w:val="227"/>
        </w:trPr>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George S. Corona</w:t>
            </w:r>
          </w:p>
        </w:tc>
        <w:tc>
          <w:tcPr>
            <w:tcW w:w="1540" w:type="dxa"/>
            <w:vAlign w:val="bottom"/>
          </w:tcPr>
          <w:p>
            <w:pPr>
              <w:jc w:val="right"/>
              <w:ind w:right="111"/>
              <w:spacing w:after="0"/>
              <w:rPr>
                <w:sz w:val="20"/>
                <w:szCs w:val="20"/>
                <w:color w:val="auto"/>
              </w:rPr>
            </w:pPr>
            <w:r>
              <w:rPr>
                <w:rFonts w:ascii="Arial" w:cs="Arial" w:eastAsia="Arial" w:hAnsi="Arial"/>
                <w:sz w:val="14"/>
                <w:szCs w:val="14"/>
                <w:color w:val="auto"/>
              </w:rPr>
              <w:t>$100,000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$125,000</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38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11"/>
              <w:spacing w:after="0"/>
              <w:rPr>
                <w:sz w:val="20"/>
                <w:szCs w:val="20"/>
                <w:color w:val="auto"/>
              </w:rPr>
            </w:pPr>
            <w:r>
              <w:rPr>
                <w:rFonts w:ascii="Arial" w:cs="Arial" w:eastAsia="Arial" w:hAnsi="Arial"/>
                <w:sz w:val="14"/>
                <w:szCs w:val="14"/>
                <w:color w:val="auto"/>
                <w:w w:val="98"/>
              </w:rPr>
              <w:t>112,414</w:t>
            </w:r>
          </w:p>
        </w:tc>
        <w:tc>
          <w:tcPr>
            <w:tcW w:w="1360" w:type="dxa"/>
            <w:vAlign w:val="bottom"/>
          </w:tcPr>
          <w:p>
            <w:pPr>
              <w:ind w:left="66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51"/>
              <w:spacing w:after="0"/>
              <w:rPr>
                <w:sz w:val="20"/>
                <w:szCs w:val="20"/>
                <w:color w:val="auto"/>
              </w:rPr>
            </w:pPr>
            <w:r>
              <w:rPr>
                <w:rFonts w:ascii="Arial" w:cs="Arial" w:eastAsia="Arial" w:hAnsi="Arial"/>
                <w:sz w:val="14"/>
                <w:szCs w:val="14"/>
                <w:color w:val="auto"/>
                <w:w w:val="99"/>
              </w:rPr>
              <w:t>$337,414</w:t>
            </w:r>
          </w:p>
        </w:tc>
      </w:tr>
      <w:tr>
        <w:trPr>
          <w:trHeight w:val="39"/>
        </w:trPr>
        <w:tc>
          <w:tcPr>
            <w:tcW w:w="1920" w:type="dxa"/>
            <w:vAlign w:val="bottom"/>
            <w:tcBorders>
              <w:bottom w:val="single" w:sz="8" w:color="7F7F7F"/>
            </w:tcBorders>
          </w:tcPr>
          <w:p>
            <w:pPr>
              <w:spacing w:after="0"/>
              <w:rPr>
                <w:sz w:val="3"/>
                <w:szCs w:val="3"/>
                <w:color w:val="auto"/>
              </w:rPr>
            </w:pPr>
          </w:p>
        </w:tc>
        <w:tc>
          <w:tcPr>
            <w:tcW w:w="15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r>
      <w:tr>
        <w:trPr>
          <w:trHeight w:val="227"/>
        </w:trPr>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Robert S. Cubbin</w:t>
            </w:r>
          </w:p>
        </w:tc>
        <w:tc>
          <w:tcPr>
            <w:tcW w:w="1540" w:type="dxa"/>
            <w:vAlign w:val="bottom"/>
          </w:tcPr>
          <w:p>
            <w:pPr>
              <w:jc w:val="right"/>
              <w:ind w:right="111"/>
              <w:spacing w:after="0"/>
              <w:rPr>
                <w:sz w:val="20"/>
                <w:szCs w:val="20"/>
                <w:color w:val="auto"/>
              </w:rPr>
            </w:pPr>
            <w:r>
              <w:rPr>
                <w:rFonts w:ascii="Arial" w:cs="Arial" w:eastAsia="Arial" w:hAnsi="Arial"/>
                <w:sz w:val="14"/>
                <w:szCs w:val="14"/>
                <w:color w:val="auto"/>
              </w:rPr>
              <w:t>$ 115,000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$125,000</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38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11"/>
              <w:spacing w:after="0"/>
              <w:rPr>
                <w:sz w:val="20"/>
                <w:szCs w:val="20"/>
                <w:color w:val="auto"/>
              </w:rPr>
            </w:pPr>
            <w:r>
              <w:rPr>
                <w:rFonts w:ascii="Arial" w:cs="Arial" w:eastAsia="Arial" w:hAnsi="Arial"/>
                <w:sz w:val="14"/>
                <w:szCs w:val="14"/>
                <w:color w:val="auto"/>
                <w:w w:val="98"/>
              </w:rPr>
              <w:t>205,314</w:t>
            </w:r>
          </w:p>
        </w:tc>
        <w:tc>
          <w:tcPr>
            <w:tcW w:w="1360" w:type="dxa"/>
            <w:vAlign w:val="bottom"/>
          </w:tcPr>
          <w:p>
            <w:pPr>
              <w:ind w:left="66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51"/>
              <w:spacing w:after="0"/>
              <w:rPr>
                <w:sz w:val="20"/>
                <w:szCs w:val="20"/>
                <w:color w:val="auto"/>
              </w:rPr>
            </w:pPr>
            <w:r>
              <w:rPr>
                <w:rFonts w:ascii="Arial" w:cs="Arial" w:eastAsia="Arial" w:hAnsi="Arial"/>
                <w:sz w:val="14"/>
                <w:szCs w:val="14"/>
                <w:color w:val="auto"/>
                <w:w w:val="99"/>
              </w:rPr>
              <w:t>$445,314</w:t>
            </w:r>
          </w:p>
        </w:tc>
      </w:tr>
      <w:tr>
        <w:trPr>
          <w:trHeight w:val="39"/>
        </w:trPr>
        <w:tc>
          <w:tcPr>
            <w:tcW w:w="1920" w:type="dxa"/>
            <w:vAlign w:val="bottom"/>
            <w:tcBorders>
              <w:bottom w:val="single" w:sz="8" w:color="7F7F7F"/>
            </w:tcBorders>
          </w:tcPr>
          <w:p>
            <w:pPr>
              <w:spacing w:after="0"/>
              <w:rPr>
                <w:sz w:val="3"/>
                <w:szCs w:val="3"/>
                <w:color w:val="auto"/>
              </w:rPr>
            </w:pPr>
          </w:p>
        </w:tc>
        <w:tc>
          <w:tcPr>
            <w:tcW w:w="15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r>
      <w:tr>
        <w:trPr>
          <w:trHeight w:val="227"/>
        </w:trPr>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Amala Duggirala</w:t>
            </w:r>
          </w:p>
        </w:tc>
        <w:tc>
          <w:tcPr>
            <w:tcW w:w="1540" w:type="dxa"/>
            <w:vAlign w:val="bottom"/>
          </w:tcPr>
          <w:p>
            <w:pPr>
              <w:jc w:val="right"/>
              <w:ind w:right="111"/>
              <w:spacing w:after="0"/>
              <w:rPr>
                <w:sz w:val="20"/>
                <w:szCs w:val="20"/>
                <w:color w:val="auto"/>
              </w:rPr>
            </w:pPr>
            <w:r>
              <w:rPr>
                <w:rFonts w:ascii="Arial" w:cs="Arial" w:eastAsia="Arial" w:hAnsi="Arial"/>
                <w:sz w:val="14"/>
                <w:szCs w:val="14"/>
                <w:color w:val="auto"/>
              </w:rPr>
              <w:t>$100,000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$125,000</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38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11"/>
              <w:spacing w:after="0"/>
              <w:rPr>
                <w:sz w:val="20"/>
                <w:szCs w:val="20"/>
                <w:color w:val="auto"/>
              </w:rPr>
            </w:pPr>
            <w:r>
              <w:rPr>
                <w:rFonts w:ascii="Arial" w:cs="Arial" w:eastAsia="Arial" w:hAnsi="Arial"/>
                <w:sz w:val="14"/>
                <w:szCs w:val="14"/>
                <w:color w:val="auto"/>
                <w:w w:val="98"/>
              </w:rPr>
              <w:t>116,807</w:t>
            </w:r>
          </w:p>
        </w:tc>
        <w:tc>
          <w:tcPr>
            <w:tcW w:w="1360" w:type="dxa"/>
            <w:vAlign w:val="bottom"/>
          </w:tcPr>
          <w:p>
            <w:pPr>
              <w:ind w:left="66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51"/>
              <w:spacing w:after="0"/>
              <w:rPr>
                <w:sz w:val="20"/>
                <w:szCs w:val="20"/>
                <w:color w:val="auto"/>
              </w:rPr>
            </w:pPr>
            <w:r>
              <w:rPr>
                <w:rFonts w:ascii="Arial" w:cs="Arial" w:eastAsia="Arial" w:hAnsi="Arial"/>
                <w:sz w:val="14"/>
                <w:szCs w:val="14"/>
                <w:color w:val="auto"/>
                <w:w w:val="99"/>
              </w:rPr>
              <w:t>$341,807</w:t>
            </w:r>
          </w:p>
        </w:tc>
      </w:tr>
      <w:tr>
        <w:trPr>
          <w:trHeight w:val="39"/>
        </w:trPr>
        <w:tc>
          <w:tcPr>
            <w:tcW w:w="1920" w:type="dxa"/>
            <w:vAlign w:val="bottom"/>
            <w:tcBorders>
              <w:bottom w:val="single" w:sz="8" w:color="7F7F7F"/>
            </w:tcBorders>
          </w:tcPr>
          <w:p>
            <w:pPr>
              <w:spacing w:after="0"/>
              <w:rPr>
                <w:sz w:val="3"/>
                <w:szCs w:val="3"/>
                <w:color w:val="auto"/>
              </w:rPr>
            </w:pPr>
          </w:p>
        </w:tc>
        <w:tc>
          <w:tcPr>
            <w:tcW w:w="15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r>
      <w:tr>
        <w:trPr>
          <w:trHeight w:val="227"/>
        </w:trPr>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InaMarie F. Johnson</w:t>
            </w:r>
          </w:p>
        </w:tc>
        <w:tc>
          <w:tcPr>
            <w:tcW w:w="1540" w:type="dxa"/>
            <w:vAlign w:val="bottom"/>
          </w:tcPr>
          <w:p>
            <w:pPr>
              <w:jc w:val="right"/>
              <w:ind w:right="111"/>
              <w:spacing w:after="0"/>
              <w:rPr>
                <w:sz w:val="20"/>
                <w:szCs w:val="20"/>
                <w:color w:val="auto"/>
              </w:rPr>
            </w:pPr>
            <w:r>
              <w:rPr>
                <w:rFonts w:ascii="Arial" w:cs="Arial" w:eastAsia="Arial" w:hAnsi="Arial"/>
                <w:sz w:val="14"/>
                <w:szCs w:val="14"/>
                <w:color w:val="auto"/>
              </w:rPr>
              <w:t>$100,000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$125,000</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38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11"/>
              <w:spacing w:after="0"/>
              <w:rPr>
                <w:sz w:val="20"/>
                <w:szCs w:val="20"/>
                <w:color w:val="auto"/>
              </w:rPr>
            </w:pPr>
            <w:r>
              <w:rPr>
                <w:rFonts w:ascii="Arial" w:cs="Arial" w:eastAsia="Arial" w:hAnsi="Arial"/>
                <w:sz w:val="14"/>
                <w:szCs w:val="14"/>
                <w:color w:val="auto"/>
              </w:rPr>
              <w:t>77,037</w:t>
            </w:r>
          </w:p>
        </w:tc>
        <w:tc>
          <w:tcPr>
            <w:tcW w:w="1360" w:type="dxa"/>
            <w:vAlign w:val="bottom"/>
          </w:tcPr>
          <w:p>
            <w:pPr>
              <w:ind w:left="66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51"/>
              <w:spacing w:after="0"/>
              <w:rPr>
                <w:sz w:val="20"/>
                <w:szCs w:val="20"/>
                <w:color w:val="auto"/>
              </w:rPr>
            </w:pPr>
            <w:r>
              <w:rPr>
                <w:rFonts w:ascii="Arial" w:cs="Arial" w:eastAsia="Arial" w:hAnsi="Arial"/>
                <w:sz w:val="14"/>
                <w:szCs w:val="14"/>
                <w:color w:val="auto"/>
                <w:w w:val="99"/>
              </w:rPr>
              <w:t>$302,037</w:t>
            </w:r>
          </w:p>
        </w:tc>
      </w:tr>
      <w:tr>
        <w:trPr>
          <w:trHeight w:val="39"/>
        </w:trPr>
        <w:tc>
          <w:tcPr>
            <w:tcW w:w="1920" w:type="dxa"/>
            <w:vAlign w:val="bottom"/>
            <w:tcBorders>
              <w:bottom w:val="single" w:sz="8" w:color="7F7F7F"/>
            </w:tcBorders>
          </w:tcPr>
          <w:p>
            <w:pPr>
              <w:spacing w:after="0"/>
              <w:rPr>
                <w:sz w:val="3"/>
                <w:szCs w:val="3"/>
                <w:color w:val="auto"/>
              </w:rPr>
            </w:pPr>
          </w:p>
        </w:tc>
        <w:tc>
          <w:tcPr>
            <w:tcW w:w="15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r>
      <w:tr>
        <w:trPr>
          <w:trHeight w:val="227"/>
        </w:trPr>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Terrence B. Larkin</w:t>
            </w:r>
          </w:p>
        </w:tc>
        <w:tc>
          <w:tcPr>
            <w:tcW w:w="1540" w:type="dxa"/>
            <w:vAlign w:val="bottom"/>
          </w:tcPr>
          <w:p>
            <w:pPr>
              <w:jc w:val="right"/>
              <w:ind w:right="111"/>
              <w:spacing w:after="0"/>
              <w:rPr>
                <w:sz w:val="20"/>
                <w:szCs w:val="20"/>
                <w:color w:val="auto"/>
              </w:rPr>
            </w:pPr>
            <w:r>
              <w:rPr>
                <w:rFonts w:ascii="Arial" w:cs="Arial" w:eastAsia="Arial" w:hAnsi="Arial"/>
                <w:sz w:val="14"/>
                <w:szCs w:val="14"/>
                <w:color w:val="auto"/>
              </w:rPr>
              <w:t>$150,000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$165,000</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38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9"/>
                <w:szCs w:val="19"/>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360" w:type="dxa"/>
            <w:vAlign w:val="bottom"/>
          </w:tcPr>
          <w:p>
            <w:pPr>
              <w:ind w:left="66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51"/>
              <w:spacing w:after="0"/>
              <w:rPr>
                <w:sz w:val="20"/>
                <w:szCs w:val="20"/>
                <w:color w:val="auto"/>
              </w:rPr>
            </w:pPr>
            <w:r>
              <w:rPr>
                <w:rFonts w:ascii="Arial" w:cs="Arial" w:eastAsia="Arial" w:hAnsi="Arial"/>
                <w:sz w:val="14"/>
                <w:szCs w:val="14"/>
                <w:color w:val="auto"/>
                <w:w w:val="99"/>
              </w:rPr>
              <w:t>$315,000</w:t>
            </w:r>
          </w:p>
        </w:tc>
      </w:tr>
      <w:tr>
        <w:trPr>
          <w:trHeight w:val="39"/>
        </w:trPr>
        <w:tc>
          <w:tcPr>
            <w:tcW w:w="1920" w:type="dxa"/>
            <w:vAlign w:val="bottom"/>
            <w:tcBorders>
              <w:bottom w:val="single" w:sz="8" w:color="7F7F7F"/>
            </w:tcBorders>
          </w:tcPr>
          <w:p>
            <w:pPr>
              <w:spacing w:after="0"/>
              <w:rPr>
                <w:sz w:val="3"/>
                <w:szCs w:val="3"/>
                <w:color w:val="auto"/>
              </w:rPr>
            </w:pPr>
          </w:p>
        </w:tc>
        <w:tc>
          <w:tcPr>
            <w:tcW w:w="15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r>
      <w:tr>
        <w:trPr>
          <w:trHeight w:val="227"/>
        </w:trPr>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Leslie A. Murphy</w:t>
            </w:r>
          </w:p>
        </w:tc>
        <w:tc>
          <w:tcPr>
            <w:tcW w:w="1540" w:type="dxa"/>
            <w:vAlign w:val="bottom"/>
          </w:tcPr>
          <w:p>
            <w:pPr>
              <w:jc w:val="right"/>
              <w:ind w:right="111"/>
              <w:spacing w:after="0"/>
              <w:rPr>
                <w:sz w:val="20"/>
                <w:szCs w:val="20"/>
                <w:color w:val="auto"/>
              </w:rPr>
            </w:pPr>
            <w:r>
              <w:rPr>
                <w:rFonts w:ascii="Arial" w:cs="Arial" w:eastAsia="Arial" w:hAnsi="Arial"/>
                <w:sz w:val="14"/>
                <w:szCs w:val="14"/>
                <w:color w:val="auto"/>
              </w:rPr>
              <w:t>$120,000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$125,000</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38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11"/>
              <w:spacing w:after="0"/>
              <w:rPr>
                <w:sz w:val="20"/>
                <w:szCs w:val="20"/>
                <w:color w:val="auto"/>
              </w:rPr>
            </w:pPr>
            <w:r>
              <w:rPr>
                <w:rFonts w:ascii="Arial" w:cs="Arial" w:eastAsia="Arial" w:hAnsi="Arial"/>
                <w:sz w:val="14"/>
                <w:szCs w:val="14"/>
                <w:color w:val="auto"/>
                <w:w w:val="98"/>
              </w:rPr>
              <w:t>166,964</w:t>
            </w:r>
          </w:p>
        </w:tc>
        <w:tc>
          <w:tcPr>
            <w:tcW w:w="1360" w:type="dxa"/>
            <w:vAlign w:val="bottom"/>
          </w:tcPr>
          <w:p>
            <w:pPr>
              <w:ind w:left="66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51"/>
              <w:spacing w:after="0"/>
              <w:rPr>
                <w:sz w:val="20"/>
                <w:szCs w:val="20"/>
                <w:color w:val="auto"/>
              </w:rPr>
            </w:pPr>
            <w:r>
              <w:rPr>
                <w:rFonts w:ascii="Arial" w:cs="Arial" w:eastAsia="Arial" w:hAnsi="Arial"/>
                <w:sz w:val="14"/>
                <w:szCs w:val="14"/>
                <w:color w:val="auto"/>
                <w:w w:val="99"/>
              </w:rPr>
              <w:t>$411,964</w:t>
            </w:r>
          </w:p>
        </w:tc>
      </w:tr>
      <w:tr>
        <w:trPr>
          <w:trHeight w:val="39"/>
        </w:trPr>
        <w:tc>
          <w:tcPr>
            <w:tcW w:w="1920" w:type="dxa"/>
            <w:vAlign w:val="bottom"/>
            <w:tcBorders>
              <w:bottom w:val="single" w:sz="8" w:color="7F7F7F"/>
            </w:tcBorders>
          </w:tcPr>
          <w:p>
            <w:pPr>
              <w:spacing w:after="0"/>
              <w:rPr>
                <w:sz w:val="3"/>
                <w:szCs w:val="3"/>
                <w:color w:val="auto"/>
              </w:rPr>
            </w:pPr>
          </w:p>
        </w:tc>
        <w:tc>
          <w:tcPr>
            <w:tcW w:w="15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r>
      <w:tr>
        <w:trPr>
          <w:trHeight w:val="227"/>
        </w:trPr>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Donald R. Parfet</w:t>
            </w:r>
          </w:p>
        </w:tc>
        <w:tc>
          <w:tcPr>
            <w:tcW w:w="1540" w:type="dxa"/>
            <w:vAlign w:val="bottom"/>
          </w:tcPr>
          <w:p>
            <w:pPr>
              <w:jc w:val="right"/>
              <w:ind w:right="111"/>
              <w:spacing w:after="0"/>
              <w:rPr>
                <w:sz w:val="20"/>
                <w:szCs w:val="20"/>
                <w:color w:val="auto"/>
              </w:rPr>
            </w:pPr>
            <w:r>
              <w:rPr>
                <w:rFonts w:ascii="Arial" w:cs="Arial" w:eastAsia="Arial" w:hAnsi="Arial"/>
                <w:sz w:val="14"/>
                <w:szCs w:val="14"/>
                <w:color w:val="auto"/>
              </w:rPr>
              <w:t>$100,000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$125,000</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38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9"/>
                <w:szCs w:val="19"/>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360" w:type="dxa"/>
            <w:vAlign w:val="bottom"/>
          </w:tcPr>
          <w:p>
            <w:pPr>
              <w:ind w:left="66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51"/>
              <w:spacing w:after="0"/>
              <w:rPr>
                <w:sz w:val="20"/>
                <w:szCs w:val="20"/>
                <w:color w:val="auto"/>
              </w:rPr>
            </w:pPr>
            <w:r>
              <w:rPr>
                <w:rFonts w:ascii="Arial" w:cs="Arial" w:eastAsia="Arial" w:hAnsi="Arial"/>
                <w:sz w:val="14"/>
                <w:szCs w:val="14"/>
                <w:color w:val="auto"/>
                <w:w w:val="99"/>
              </w:rPr>
              <w:t>$225,000</w:t>
            </w:r>
          </w:p>
        </w:tc>
      </w:tr>
      <w:tr>
        <w:trPr>
          <w:trHeight w:val="39"/>
        </w:trPr>
        <w:tc>
          <w:tcPr>
            <w:tcW w:w="1920" w:type="dxa"/>
            <w:vAlign w:val="bottom"/>
            <w:tcBorders>
              <w:bottom w:val="single" w:sz="8" w:color="7F7F7F"/>
            </w:tcBorders>
          </w:tcPr>
          <w:p>
            <w:pPr>
              <w:spacing w:after="0"/>
              <w:rPr>
                <w:sz w:val="3"/>
                <w:szCs w:val="3"/>
                <w:color w:val="auto"/>
              </w:rPr>
            </w:pPr>
          </w:p>
        </w:tc>
        <w:tc>
          <w:tcPr>
            <w:tcW w:w="15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r>
    </w:tbl>
    <w:p>
      <w:pPr>
        <w:spacing w:after="0" w:line="99" w:lineRule="exact"/>
        <w:rPr>
          <w:sz w:val="20"/>
          <w:szCs w:val="20"/>
          <w:color w:val="auto"/>
        </w:rPr>
      </w:pPr>
    </w:p>
    <w:p>
      <w:pPr>
        <w:ind w:left="620" w:hanging="304"/>
        <w:spacing w:after="0"/>
        <w:tabs>
          <w:tab w:leader="none" w:pos="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Two of our directors deferred the following amounts from their 2023 cash retainer fee: Mr. Adolph – $115,000 and Ms. Duggirala – $100,000.</w:t>
      </w:r>
    </w:p>
    <w:p>
      <w:pPr>
        <w:spacing w:after="0" w:line="70" w:lineRule="exact"/>
        <w:rPr>
          <w:rFonts w:ascii="Arial" w:cs="Arial" w:eastAsia="Arial" w:hAnsi="Arial"/>
          <w:sz w:val="12"/>
          <w:szCs w:val="12"/>
          <w:color w:val="auto"/>
        </w:rPr>
      </w:pPr>
    </w:p>
    <w:p>
      <w:pPr>
        <w:ind w:left="620" w:right="100" w:hanging="304"/>
        <w:spacing w:after="0" w:line="245" w:lineRule="auto"/>
        <w:tabs>
          <w:tab w:leader="none" w:pos="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Represents the aggregate fair market value of grants awarded on May 17, 2023. Each director received a grant of 6,815 shares of the Company’s Class A Common Stock having a fair market value of $18.34 per share. Each of Mr. Adolph, Mr. Corona, Mr. Cubbin, Ms. Duggirala, Ms. Johnson, and Ms. Murphy deferred 100% of their 2023 annual stock grant into deferred common stock units.</w:t>
      </w:r>
    </w:p>
    <w:p>
      <w:pPr>
        <w:spacing w:after="0" w:line="54"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42 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Beneficial Ownership of Shares</w:t>
      </w:r>
    </w:p>
    <w:p>
      <w:pPr>
        <w:spacing w:after="0" w:line="336" w:lineRule="exact"/>
        <w:rPr>
          <w:sz w:val="20"/>
          <w:szCs w:val="20"/>
          <w:color w:val="auto"/>
        </w:rPr>
      </w:pPr>
    </w:p>
    <w:p>
      <w:pPr>
        <w:ind w:left="320" w:right="120"/>
        <w:spacing w:after="0" w:line="246" w:lineRule="auto"/>
        <w:rPr>
          <w:sz w:val="20"/>
          <w:szCs w:val="20"/>
          <w:color w:val="auto"/>
        </w:rPr>
      </w:pPr>
      <w:r>
        <w:rPr>
          <w:rFonts w:ascii="Arial" w:cs="Arial" w:eastAsia="Arial" w:hAnsi="Arial"/>
          <w:sz w:val="16"/>
          <w:szCs w:val="16"/>
          <w:color w:val="auto"/>
        </w:rPr>
        <w:t>The following table sets forth, as of March 21, 2024, (i) the beneficial ownership of the Company’s Class B Common Stock by each person known by the Company to own beneficially more than 5% of the Class B Common Stock, and (ii) the beneficial ownership of the Company’s Class A and Class B Common Stock by (a) each director (each of whom is a nominee for election as a director at the Annual Meeting), (b) each of the named executive officers, and (c) all directors and executive officers as a group.</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166"/>
        </w:trPr>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2"/>
          </w:tcPr>
          <w:p>
            <w:pPr>
              <w:jc w:val="right"/>
              <w:ind w:right="811"/>
              <w:spacing w:after="0"/>
              <w:rPr>
                <w:sz w:val="20"/>
                <w:szCs w:val="20"/>
                <w:color w:val="auto"/>
              </w:rPr>
            </w:pPr>
            <w:r>
              <w:rPr>
                <w:rFonts w:ascii="Arial" w:cs="Arial" w:eastAsia="Arial" w:hAnsi="Arial"/>
                <w:sz w:val="14"/>
                <w:szCs w:val="14"/>
                <w:b w:val="1"/>
                <w:bCs w:val="1"/>
                <w:color w:val="0A9E50"/>
              </w:rPr>
              <w:t>Class B Common Stock</w:t>
            </w:r>
          </w:p>
        </w:tc>
        <w:tc>
          <w:tcPr>
            <w:tcW w:w="7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36"/>
        </w:trPr>
        <w:tc>
          <w:tcPr>
            <w:tcW w:w="3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00" w:type="dxa"/>
            <w:vAlign w:val="bottom"/>
            <w:gridSpan w:val="2"/>
          </w:tcPr>
          <w:p>
            <w:pPr>
              <w:jc w:val="center"/>
              <w:spacing w:after="0" w:line="136" w:lineRule="exact"/>
              <w:rPr>
                <w:sz w:val="20"/>
                <w:szCs w:val="20"/>
                <w:color w:val="auto"/>
              </w:rPr>
            </w:pPr>
            <w:r>
              <w:rPr>
                <w:rFonts w:ascii="Arial" w:cs="Arial" w:eastAsia="Arial" w:hAnsi="Arial"/>
                <w:sz w:val="14"/>
                <w:szCs w:val="14"/>
                <w:b w:val="1"/>
                <w:bCs w:val="1"/>
                <w:color w:val="0A9E50"/>
                <w:w w:val="98"/>
              </w:rPr>
              <w:t>  Number of Shares and Nature of Beneficial</w:t>
            </w:r>
          </w:p>
        </w:tc>
        <w:tc>
          <w:tcPr>
            <w:tcW w:w="1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34"/>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  Greater than Five Percent Class B Stockholders</w:t>
            </w: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1091"/>
              <w:spacing w:after="0"/>
              <w:rPr>
                <w:sz w:val="20"/>
                <w:szCs w:val="20"/>
                <w:color w:val="auto"/>
              </w:rPr>
            </w:pPr>
            <w:r>
              <w:rPr>
                <w:rFonts w:ascii="Arial" w:cs="Arial" w:eastAsia="Arial" w:hAnsi="Arial"/>
                <w:sz w:val="14"/>
                <w:szCs w:val="14"/>
                <w:b w:val="1"/>
                <w:bCs w:val="1"/>
                <w:color w:val="0A9E50"/>
                <w:w w:val="94"/>
              </w:rPr>
              <w:t>Ownership</w:t>
            </w:r>
            <w:r>
              <w:rPr>
                <w:rFonts w:ascii="Arial" w:cs="Arial" w:eastAsia="Arial" w:hAnsi="Arial"/>
                <w:sz w:val="20"/>
                <w:szCs w:val="20"/>
                <w:b w:val="1"/>
                <w:bCs w:val="1"/>
                <w:color w:val="0A9E50"/>
                <w:w w:val="94"/>
                <w:vertAlign w:val="superscript"/>
              </w:rPr>
              <w:t>(1)</w:t>
            </w:r>
          </w:p>
        </w:tc>
        <w:tc>
          <w:tcPr>
            <w:tcW w:w="2400" w:type="dxa"/>
            <w:vAlign w:val="bottom"/>
            <w:tcBorders>
              <w:bottom w:val="single" w:sz="8" w:color="auto"/>
            </w:tcBorders>
            <w:gridSpan w:val="2"/>
          </w:tcPr>
          <w:p>
            <w:pPr>
              <w:jc w:val="center"/>
              <w:ind w:left="611"/>
              <w:spacing w:after="0"/>
              <w:rPr>
                <w:sz w:val="20"/>
                <w:szCs w:val="20"/>
                <w:color w:val="auto"/>
              </w:rPr>
            </w:pPr>
            <w:r>
              <w:rPr>
                <w:rFonts w:ascii="Arial" w:cs="Arial" w:eastAsia="Arial" w:hAnsi="Arial"/>
                <w:sz w:val="14"/>
                <w:szCs w:val="14"/>
                <w:b w:val="1"/>
                <w:bCs w:val="1"/>
                <w:color w:val="0A9E50"/>
                <w:w w:val="93"/>
              </w:rPr>
              <w:t>            Percent of Class </w:t>
            </w: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0A9E50"/>
              </w:rPr>
              <w:t xml:space="preserve">          </w:t>
            </w:r>
          </w:p>
        </w:tc>
      </w:tr>
      <w:tr>
        <w:trPr>
          <w:trHeight w:val="219"/>
        </w:trPr>
        <w:tc>
          <w:tcPr>
            <w:tcW w:w="3420" w:type="dxa"/>
            <w:vAlign w:val="bottom"/>
          </w:tcPr>
          <w:p>
            <w:pPr>
              <w:spacing w:after="0"/>
              <w:rPr>
                <w:sz w:val="20"/>
                <w:szCs w:val="20"/>
                <w:color w:val="auto"/>
              </w:rPr>
            </w:pPr>
            <w:r>
              <w:rPr>
                <w:rFonts w:ascii="Arial" w:cs="Arial" w:eastAsia="Arial" w:hAnsi="Arial"/>
                <w:sz w:val="14"/>
                <w:szCs w:val="14"/>
                <w:color w:val="auto"/>
              </w:rPr>
              <w:t>  Terence E. Adderley Revocable Trust K</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0" w:type="dxa"/>
            <w:vAlign w:val="bottom"/>
          </w:tcPr>
          <w:p>
            <w:pPr>
              <w:jc w:val="center"/>
              <w:ind w:right="1071"/>
              <w:spacing w:after="0"/>
              <w:rPr>
                <w:sz w:val="20"/>
                <w:szCs w:val="20"/>
                <w:color w:val="auto"/>
              </w:rPr>
            </w:pPr>
            <w:r>
              <w:rPr>
                <w:rFonts w:ascii="Arial" w:cs="Arial" w:eastAsia="Arial" w:hAnsi="Arial"/>
                <w:sz w:val="14"/>
                <w:szCs w:val="14"/>
                <w:color w:val="auto"/>
                <w:w w:val="99"/>
              </w:rPr>
              <w:t>3,139,940</w:t>
            </w:r>
          </w:p>
        </w:tc>
        <w:tc>
          <w:tcPr>
            <w:tcW w:w="1620" w:type="dxa"/>
            <w:vAlign w:val="bottom"/>
          </w:tcPr>
          <w:p>
            <w:pPr>
              <w:spacing w:after="0"/>
              <w:rPr>
                <w:sz w:val="19"/>
                <w:szCs w:val="19"/>
                <w:color w:val="auto"/>
              </w:rPr>
            </w:pPr>
          </w:p>
        </w:tc>
        <w:tc>
          <w:tcPr>
            <w:tcW w:w="780" w:type="dxa"/>
            <w:vAlign w:val="bottom"/>
          </w:tcPr>
          <w:p>
            <w:pPr>
              <w:jc w:val="right"/>
              <w:ind w:right="291"/>
              <w:spacing w:after="0"/>
              <w:rPr>
                <w:sz w:val="20"/>
                <w:szCs w:val="20"/>
                <w:color w:val="auto"/>
              </w:rPr>
            </w:pPr>
            <w:r>
              <w:rPr>
                <w:rFonts w:ascii="Arial" w:cs="Arial" w:eastAsia="Arial" w:hAnsi="Arial"/>
                <w:sz w:val="14"/>
                <w:szCs w:val="14"/>
                <w:color w:val="auto"/>
              </w:rPr>
              <w:t>94.5%</w:t>
            </w:r>
          </w:p>
        </w:tc>
        <w:tc>
          <w:tcPr>
            <w:tcW w:w="640" w:type="dxa"/>
            <w:vAlign w:val="bottom"/>
          </w:tcPr>
          <w:p>
            <w:pPr>
              <w:spacing w:after="0"/>
              <w:rPr>
                <w:sz w:val="19"/>
                <w:szCs w:val="19"/>
                <w:color w:val="auto"/>
              </w:rPr>
            </w:pPr>
          </w:p>
        </w:tc>
      </w:tr>
      <w:tr>
        <w:trPr>
          <w:trHeight w:val="47"/>
        </w:trPr>
        <w:tc>
          <w:tcPr>
            <w:tcW w:w="34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3100" w:type="dxa"/>
            <w:vAlign w:val="bottom"/>
            <w:tcBorders>
              <w:bottom w:val="single" w:sz="8" w:color="7F7F7F"/>
            </w:tcBorders>
            <w:gridSpan w:val="2"/>
          </w:tcPr>
          <w:p>
            <w:pPr>
              <w:spacing w:after="0"/>
              <w:rPr>
                <w:sz w:val="4"/>
                <w:szCs w:val="4"/>
                <w:color w:val="auto"/>
              </w:rPr>
            </w:pPr>
          </w:p>
        </w:tc>
        <w:tc>
          <w:tcPr>
            <w:tcW w:w="2400" w:type="dxa"/>
            <w:vAlign w:val="bottom"/>
            <w:tcBorders>
              <w:bottom w:val="single" w:sz="8" w:color="7F7F7F"/>
            </w:tcBorders>
            <w:gridSpan w:val="2"/>
          </w:tcPr>
          <w:p>
            <w:pPr>
              <w:spacing w:after="0"/>
              <w:rPr>
                <w:sz w:val="4"/>
                <w:szCs w:val="4"/>
                <w:color w:val="auto"/>
              </w:rPr>
            </w:pPr>
          </w:p>
        </w:tc>
        <w:tc>
          <w:tcPr>
            <w:tcW w:w="640" w:type="dxa"/>
            <w:vAlign w:val="bottom"/>
            <w:tcBorders>
              <w:bottom w:val="single" w:sz="8" w:color="7F7F7F"/>
            </w:tcBorders>
          </w:tcPr>
          <w:p>
            <w:pPr>
              <w:spacing w:after="0"/>
              <w:rPr>
                <w:sz w:val="4"/>
                <w:szCs w:val="4"/>
                <w:color w:val="auto"/>
              </w:rPr>
            </w:pPr>
          </w:p>
        </w:tc>
      </w:tr>
      <w:tr>
        <w:trPr>
          <w:trHeight w:val="383"/>
        </w:trPr>
        <w:tc>
          <w:tcPr>
            <w:tcW w:w="34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2"/>
          </w:tcPr>
          <w:p>
            <w:pPr>
              <w:jc w:val="right"/>
              <w:ind w:right="1251"/>
              <w:spacing w:after="0"/>
              <w:rPr>
                <w:sz w:val="20"/>
                <w:szCs w:val="20"/>
                <w:color w:val="auto"/>
              </w:rPr>
            </w:pPr>
            <w:r>
              <w:rPr>
                <w:rFonts w:ascii="Arial" w:cs="Arial" w:eastAsia="Arial" w:hAnsi="Arial"/>
                <w:sz w:val="14"/>
                <w:szCs w:val="14"/>
                <w:b w:val="1"/>
                <w:bCs w:val="1"/>
                <w:color w:val="0A9E50"/>
              </w:rPr>
              <w:t>Class A Common Stock</w:t>
            </w:r>
          </w:p>
        </w:tc>
        <w:tc>
          <w:tcPr>
            <w:tcW w:w="2400" w:type="dxa"/>
            <w:vAlign w:val="bottom"/>
            <w:tcBorders>
              <w:bottom w:val="single" w:sz="8" w:color="auto"/>
            </w:tcBorders>
            <w:gridSpan w:val="2"/>
          </w:tcPr>
          <w:p>
            <w:pPr>
              <w:jc w:val="center"/>
              <w:ind w:left="591"/>
              <w:spacing w:after="0"/>
              <w:rPr>
                <w:sz w:val="20"/>
                <w:szCs w:val="20"/>
                <w:color w:val="auto"/>
              </w:rPr>
            </w:pPr>
            <w:r>
              <w:rPr>
                <w:rFonts w:ascii="Arial" w:cs="Arial" w:eastAsia="Arial" w:hAnsi="Arial"/>
                <w:sz w:val="14"/>
                <w:szCs w:val="14"/>
                <w:b w:val="1"/>
                <w:bCs w:val="1"/>
                <w:color w:val="0A9E50"/>
              </w:rPr>
              <w:t>Class B Common Stock</w:t>
            </w:r>
          </w:p>
        </w:tc>
        <w:tc>
          <w:tcPr>
            <w:tcW w:w="640" w:type="dxa"/>
            <w:vAlign w:val="bottom"/>
            <w:tcBorders>
              <w:bottom w:val="single" w:sz="8" w:color="auto"/>
            </w:tcBorders>
          </w:tcPr>
          <w:p>
            <w:pPr>
              <w:spacing w:after="0"/>
              <w:rPr>
                <w:sz w:val="24"/>
                <w:szCs w:val="24"/>
                <w:color w:val="auto"/>
              </w:rPr>
            </w:pPr>
          </w:p>
        </w:tc>
      </w:tr>
      <w:tr>
        <w:trPr>
          <w:trHeight w:val="140"/>
        </w:trPr>
        <w:tc>
          <w:tcPr>
            <w:tcW w:w="3420" w:type="dxa"/>
            <w:vAlign w:val="bottom"/>
          </w:tcPr>
          <w:p>
            <w:pPr>
              <w:spacing w:after="0"/>
              <w:rPr>
                <w:sz w:val="12"/>
                <w:szCs w:val="12"/>
                <w:color w:val="auto"/>
              </w:rPr>
            </w:pPr>
          </w:p>
        </w:tc>
        <w:tc>
          <w:tcPr>
            <w:tcW w:w="2160" w:type="dxa"/>
            <w:vAlign w:val="bottom"/>
            <w:gridSpan w:val="2"/>
          </w:tcPr>
          <w:p>
            <w:pPr>
              <w:jc w:val="center"/>
              <w:ind w:left="571"/>
              <w:spacing w:after="0" w:line="140" w:lineRule="exact"/>
              <w:rPr>
                <w:sz w:val="20"/>
                <w:szCs w:val="20"/>
                <w:color w:val="auto"/>
              </w:rPr>
            </w:pPr>
            <w:r>
              <w:rPr>
                <w:rFonts w:ascii="Arial" w:cs="Arial" w:eastAsia="Arial" w:hAnsi="Arial"/>
                <w:sz w:val="14"/>
                <w:szCs w:val="14"/>
                <w:b w:val="1"/>
                <w:bCs w:val="1"/>
                <w:color w:val="0A9E50"/>
                <w:w w:val="99"/>
              </w:rPr>
              <w:t>Number of Shares and</w:t>
            </w:r>
          </w:p>
        </w:tc>
        <w:tc>
          <w:tcPr>
            <w:tcW w:w="2000" w:type="dxa"/>
            <w:vAlign w:val="bottom"/>
          </w:tcPr>
          <w:p>
            <w:pPr>
              <w:spacing w:after="0"/>
              <w:rPr>
                <w:sz w:val="12"/>
                <w:szCs w:val="12"/>
                <w:color w:val="auto"/>
              </w:rPr>
            </w:pPr>
          </w:p>
        </w:tc>
        <w:tc>
          <w:tcPr>
            <w:tcW w:w="1620" w:type="dxa"/>
            <w:vAlign w:val="bottom"/>
          </w:tcPr>
          <w:p>
            <w:pPr>
              <w:jc w:val="center"/>
              <w:ind w:left="31"/>
              <w:spacing w:after="0" w:line="140" w:lineRule="exact"/>
              <w:rPr>
                <w:sz w:val="20"/>
                <w:szCs w:val="20"/>
                <w:color w:val="auto"/>
              </w:rPr>
            </w:pPr>
            <w:r>
              <w:rPr>
                <w:rFonts w:ascii="Arial" w:cs="Arial" w:eastAsia="Arial" w:hAnsi="Arial"/>
                <w:sz w:val="14"/>
                <w:szCs w:val="14"/>
                <w:b w:val="1"/>
                <w:bCs w:val="1"/>
                <w:color w:val="0A9E50"/>
                <w:w w:val="99"/>
              </w:rPr>
              <w:t>Number of Shares and</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6"/>
        </w:trPr>
        <w:tc>
          <w:tcPr>
            <w:tcW w:w="3420" w:type="dxa"/>
            <w:vAlign w:val="bottom"/>
          </w:tcPr>
          <w:p>
            <w:pPr>
              <w:spacing w:after="0"/>
              <w:rPr>
                <w:sz w:val="13"/>
                <w:szCs w:val="13"/>
                <w:color w:val="auto"/>
              </w:rPr>
            </w:pPr>
          </w:p>
        </w:tc>
        <w:tc>
          <w:tcPr>
            <w:tcW w:w="2160" w:type="dxa"/>
            <w:vAlign w:val="bottom"/>
            <w:gridSpan w:val="2"/>
          </w:tcPr>
          <w:p>
            <w:pPr>
              <w:jc w:val="center"/>
              <w:ind w:left="591"/>
              <w:spacing w:after="0" w:line="156" w:lineRule="exact"/>
              <w:rPr>
                <w:sz w:val="20"/>
                <w:szCs w:val="20"/>
                <w:color w:val="auto"/>
              </w:rPr>
            </w:pPr>
            <w:r>
              <w:rPr>
                <w:rFonts w:ascii="Arial" w:cs="Arial" w:eastAsia="Arial" w:hAnsi="Arial"/>
                <w:sz w:val="14"/>
                <w:szCs w:val="14"/>
                <w:b w:val="1"/>
                <w:bCs w:val="1"/>
                <w:color w:val="0A9E50"/>
                <w:w w:val="98"/>
              </w:rPr>
              <w:t>Nature of Beneficial</w:t>
            </w:r>
          </w:p>
        </w:tc>
        <w:tc>
          <w:tcPr>
            <w:tcW w:w="2000" w:type="dxa"/>
            <w:vAlign w:val="bottom"/>
          </w:tcPr>
          <w:p>
            <w:pPr>
              <w:jc w:val="right"/>
              <w:ind w:right="451"/>
              <w:spacing w:after="0" w:line="156" w:lineRule="exact"/>
              <w:rPr>
                <w:sz w:val="20"/>
                <w:szCs w:val="20"/>
                <w:color w:val="auto"/>
              </w:rPr>
            </w:pPr>
            <w:r>
              <w:rPr>
                <w:rFonts w:ascii="Arial" w:cs="Arial" w:eastAsia="Arial" w:hAnsi="Arial"/>
                <w:sz w:val="14"/>
                <w:szCs w:val="14"/>
                <w:b w:val="1"/>
                <w:bCs w:val="1"/>
                <w:color w:val="0A9E50"/>
              </w:rPr>
              <w:t>Percent of</w:t>
            </w:r>
          </w:p>
        </w:tc>
        <w:tc>
          <w:tcPr>
            <w:tcW w:w="1620" w:type="dxa"/>
            <w:vAlign w:val="bottom"/>
          </w:tcPr>
          <w:p>
            <w:pPr>
              <w:jc w:val="center"/>
              <w:ind w:left="51"/>
              <w:spacing w:after="0" w:line="156" w:lineRule="exact"/>
              <w:rPr>
                <w:sz w:val="20"/>
                <w:szCs w:val="20"/>
                <w:color w:val="auto"/>
              </w:rPr>
            </w:pPr>
            <w:r>
              <w:rPr>
                <w:rFonts w:ascii="Arial" w:cs="Arial" w:eastAsia="Arial" w:hAnsi="Arial"/>
                <w:sz w:val="14"/>
                <w:szCs w:val="14"/>
                <w:b w:val="1"/>
                <w:bCs w:val="1"/>
                <w:color w:val="0A9E50"/>
                <w:w w:val="98"/>
              </w:rPr>
              <w:t>Nature of Beneficial</w:t>
            </w:r>
          </w:p>
        </w:tc>
        <w:tc>
          <w:tcPr>
            <w:tcW w:w="1420" w:type="dxa"/>
            <w:vAlign w:val="bottom"/>
            <w:gridSpan w:val="2"/>
          </w:tcPr>
          <w:p>
            <w:pPr>
              <w:jc w:val="right"/>
              <w:ind w:right="51"/>
              <w:spacing w:after="0" w:line="156" w:lineRule="exact"/>
              <w:rPr>
                <w:sz w:val="20"/>
                <w:szCs w:val="20"/>
                <w:color w:val="auto"/>
              </w:rPr>
            </w:pPr>
            <w:r>
              <w:rPr>
                <w:rFonts w:ascii="Arial" w:cs="Arial" w:eastAsia="Arial" w:hAnsi="Arial"/>
                <w:sz w:val="14"/>
                <w:szCs w:val="14"/>
                <w:b w:val="1"/>
                <w:bCs w:val="1"/>
                <w:color w:val="0A9E50"/>
              </w:rPr>
              <w:t>Percent of</w:t>
            </w:r>
          </w:p>
        </w:tc>
      </w:tr>
      <w:tr>
        <w:trPr>
          <w:trHeight w:val="205"/>
        </w:trPr>
        <w:tc>
          <w:tcPr>
            <w:tcW w:w="3420" w:type="dxa"/>
            <w:vAlign w:val="bottom"/>
          </w:tcPr>
          <w:p>
            <w:pPr>
              <w:spacing w:after="0"/>
              <w:rPr>
                <w:sz w:val="20"/>
                <w:szCs w:val="20"/>
                <w:color w:val="auto"/>
              </w:rPr>
            </w:pPr>
            <w:r>
              <w:rPr>
                <w:rFonts w:ascii="Arial" w:cs="Arial" w:eastAsia="Arial" w:hAnsi="Arial"/>
                <w:sz w:val="14"/>
                <w:szCs w:val="14"/>
                <w:b w:val="1"/>
                <w:bCs w:val="1"/>
                <w:color w:val="0A9E50"/>
              </w:rPr>
              <w:t>  Directors and Named Executive Officers</w:t>
            </w:r>
          </w:p>
        </w:tc>
        <w:tc>
          <w:tcPr>
            <w:tcW w:w="2160" w:type="dxa"/>
            <w:vAlign w:val="bottom"/>
            <w:gridSpan w:val="2"/>
          </w:tcPr>
          <w:p>
            <w:pPr>
              <w:jc w:val="center"/>
              <w:ind w:left="591"/>
              <w:spacing w:after="0"/>
              <w:rPr>
                <w:sz w:val="20"/>
                <w:szCs w:val="20"/>
                <w:color w:val="auto"/>
              </w:rPr>
            </w:pPr>
            <w:r>
              <w:rPr>
                <w:rFonts w:ascii="Arial" w:cs="Arial" w:eastAsia="Arial" w:hAnsi="Arial"/>
                <w:sz w:val="14"/>
                <w:szCs w:val="14"/>
                <w:b w:val="1"/>
                <w:bCs w:val="1"/>
                <w:color w:val="0A9E50"/>
                <w:w w:val="96"/>
              </w:rPr>
              <w:t>Ownership</w:t>
            </w:r>
          </w:p>
        </w:tc>
        <w:tc>
          <w:tcPr>
            <w:tcW w:w="2000" w:type="dxa"/>
            <w:vAlign w:val="bottom"/>
          </w:tcPr>
          <w:p>
            <w:pPr>
              <w:jc w:val="right"/>
              <w:ind w:right="611"/>
              <w:spacing w:after="0"/>
              <w:rPr>
                <w:sz w:val="20"/>
                <w:szCs w:val="20"/>
                <w:color w:val="auto"/>
              </w:rPr>
            </w:pPr>
            <w:r>
              <w:rPr>
                <w:rFonts w:ascii="Arial" w:cs="Arial" w:eastAsia="Arial" w:hAnsi="Arial"/>
                <w:sz w:val="14"/>
                <w:szCs w:val="14"/>
                <w:b w:val="1"/>
                <w:bCs w:val="1"/>
                <w:color w:val="0A9E50"/>
              </w:rPr>
              <w:t>Class</w:t>
            </w:r>
          </w:p>
        </w:tc>
        <w:tc>
          <w:tcPr>
            <w:tcW w:w="1620" w:type="dxa"/>
            <w:vAlign w:val="bottom"/>
          </w:tcPr>
          <w:p>
            <w:pPr>
              <w:jc w:val="center"/>
              <w:ind w:left="31"/>
              <w:spacing w:after="0"/>
              <w:rPr>
                <w:sz w:val="20"/>
                <w:szCs w:val="20"/>
                <w:color w:val="auto"/>
              </w:rPr>
            </w:pPr>
            <w:r>
              <w:rPr>
                <w:rFonts w:ascii="Arial" w:cs="Arial" w:eastAsia="Arial" w:hAnsi="Arial"/>
                <w:sz w:val="14"/>
                <w:szCs w:val="14"/>
                <w:b w:val="1"/>
                <w:bCs w:val="1"/>
                <w:color w:val="0A9E50"/>
                <w:w w:val="99"/>
              </w:rPr>
              <w:t>Ownership</w:t>
            </w:r>
          </w:p>
        </w:tc>
        <w:tc>
          <w:tcPr>
            <w:tcW w:w="780" w:type="dxa"/>
            <w:vAlign w:val="bottom"/>
          </w:tcPr>
          <w:p>
            <w:pPr>
              <w:spacing w:after="0"/>
              <w:rPr>
                <w:sz w:val="17"/>
                <w:szCs w:val="17"/>
                <w:color w:val="auto"/>
              </w:rPr>
            </w:pPr>
          </w:p>
        </w:tc>
        <w:tc>
          <w:tcPr>
            <w:tcW w:w="640" w:type="dxa"/>
            <w:vAlign w:val="bottom"/>
          </w:tcPr>
          <w:p>
            <w:pPr>
              <w:jc w:val="right"/>
              <w:ind w:right="191"/>
              <w:spacing w:after="0"/>
              <w:rPr>
                <w:sz w:val="20"/>
                <w:szCs w:val="20"/>
                <w:color w:val="auto"/>
              </w:rPr>
            </w:pPr>
            <w:r>
              <w:rPr>
                <w:rFonts w:ascii="Arial" w:cs="Arial" w:eastAsia="Arial" w:hAnsi="Arial"/>
                <w:sz w:val="14"/>
                <w:szCs w:val="14"/>
                <w:b w:val="1"/>
                <w:bCs w:val="1"/>
                <w:color w:val="0A9E50"/>
                <w:w w:val="96"/>
              </w:rPr>
              <w:t>Class</w:t>
            </w:r>
          </w:p>
        </w:tc>
      </w:tr>
      <w:tr>
        <w:trPr>
          <w:trHeight w:val="39"/>
        </w:trPr>
        <w:tc>
          <w:tcPr>
            <w:tcW w:w="3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27"/>
        </w:trPr>
        <w:tc>
          <w:tcPr>
            <w:tcW w:w="3420" w:type="dxa"/>
            <w:vAlign w:val="bottom"/>
          </w:tcPr>
          <w:p>
            <w:pPr>
              <w:spacing w:after="0"/>
              <w:rPr>
                <w:sz w:val="20"/>
                <w:szCs w:val="20"/>
                <w:color w:val="auto"/>
              </w:rPr>
            </w:pPr>
            <w:r>
              <w:rPr>
                <w:rFonts w:ascii="Arial" w:cs="Arial" w:eastAsia="Arial" w:hAnsi="Arial"/>
                <w:sz w:val="14"/>
                <w:szCs w:val="14"/>
                <w:b w:val="1"/>
                <w:bCs w:val="1"/>
                <w:color w:val="auto"/>
              </w:rPr>
              <w:t>  Directors: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9"/>
        </w:trPr>
        <w:tc>
          <w:tcPr>
            <w:tcW w:w="3420" w:type="dxa"/>
            <w:vAlign w:val="bottom"/>
            <w:tcBorders>
              <w:bottom w:val="single" w:sz="8" w:color="7F7F7F"/>
            </w:tcBorders>
          </w:tcPr>
          <w:p>
            <w:pPr>
              <w:spacing w:after="0"/>
              <w:rPr>
                <w:sz w:val="3"/>
                <w:szCs w:val="3"/>
                <w:color w:val="auto"/>
              </w:rPr>
            </w:pPr>
          </w:p>
        </w:tc>
        <w:tc>
          <w:tcPr>
            <w:tcW w:w="2160" w:type="dxa"/>
            <w:vAlign w:val="bottom"/>
            <w:tcBorders>
              <w:bottom w:val="single" w:sz="8" w:color="7F7F7F"/>
            </w:tcBorders>
            <w:gridSpan w:val="2"/>
          </w:tcPr>
          <w:p>
            <w:pPr>
              <w:spacing w:after="0"/>
              <w:rPr>
                <w:sz w:val="3"/>
                <w:szCs w:val="3"/>
                <w:color w:val="auto"/>
              </w:rPr>
            </w:pPr>
          </w:p>
        </w:tc>
        <w:tc>
          <w:tcPr>
            <w:tcW w:w="2000" w:type="dxa"/>
            <w:vAlign w:val="bottom"/>
            <w:tcBorders>
              <w:bottom w:val="single" w:sz="8" w:color="7F7F7F"/>
            </w:tcBorders>
          </w:tcPr>
          <w:p>
            <w:pPr>
              <w:spacing w:after="0"/>
              <w:rPr>
                <w:sz w:val="3"/>
                <w:szCs w:val="3"/>
                <w:color w:val="auto"/>
              </w:rPr>
            </w:pPr>
          </w:p>
        </w:tc>
        <w:tc>
          <w:tcPr>
            <w:tcW w:w="162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r>
      <w:tr>
        <w:trPr>
          <w:trHeight w:val="266"/>
        </w:trPr>
        <w:tc>
          <w:tcPr>
            <w:tcW w:w="342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auto"/>
              </w:rPr>
              <w:t>Gerald S. Adolph</w:t>
            </w:r>
          </w:p>
        </w:tc>
        <w:tc>
          <w:tcPr>
            <w:tcW w:w="2160" w:type="dxa"/>
            <w:vAlign w:val="bottom"/>
            <w:tcBorders>
              <w:bottom w:val="single" w:sz="8" w:color="7F7F7F"/>
            </w:tcBorders>
            <w:gridSpan w:val="2"/>
          </w:tcPr>
          <w:p>
            <w:pPr>
              <w:jc w:val="right"/>
              <w:ind w:right="231"/>
              <w:spacing w:after="0"/>
              <w:rPr>
                <w:sz w:val="20"/>
                <w:szCs w:val="20"/>
                <w:color w:val="auto"/>
              </w:rPr>
            </w:pPr>
            <w:r>
              <w:rPr>
                <w:rFonts w:ascii="Arial" w:cs="Arial" w:eastAsia="Arial" w:hAnsi="Arial"/>
                <w:sz w:val="14"/>
                <w:szCs w:val="14"/>
                <w:color w:val="auto"/>
              </w:rPr>
              <w:t>47,559</w:t>
            </w:r>
            <w:r>
              <w:rPr>
                <w:rFonts w:ascii="Arial" w:cs="Arial" w:eastAsia="Arial" w:hAnsi="Arial"/>
                <w:sz w:val="20"/>
                <w:szCs w:val="20"/>
                <w:color w:val="auto"/>
                <w:vertAlign w:val="superscript"/>
              </w:rPr>
              <w:t>(2)</w:t>
            </w:r>
          </w:p>
        </w:tc>
        <w:tc>
          <w:tcPr>
            <w:tcW w:w="2000" w:type="dxa"/>
            <w:vAlign w:val="bottom"/>
            <w:tcBorders>
              <w:bottom w:val="single" w:sz="8" w:color="7F7F7F"/>
            </w:tcBorders>
          </w:tcPr>
          <w:p>
            <w:pPr>
              <w:jc w:val="right"/>
              <w:ind w:right="671"/>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7F7F7F"/>
            </w:tcBorders>
          </w:tcPr>
          <w:p>
            <w:pPr>
              <w:jc w:val="right"/>
              <w:ind w:right="551"/>
              <w:spacing w:after="0"/>
              <w:rPr>
                <w:sz w:val="20"/>
                <w:szCs w:val="20"/>
                <w:color w:val="auto"/>
              </w:rPr>
            </w:pPr>
            <w:r>
              <w:rPr>
                <w:rFonts w:ascii="Arial" w:cs="Arial" w:eastAsia="Arial" w:hAnsi="Arial"/>
                <w:sz w:val="14"/>
                <w:szCs w:val="14"/>
                <w:color w:val="auto"/>
              </w:rPr>
              <w:t>100</w:t>
            </w:r>
          </w:p>
        </w:tc>
        <w:tc>
          <w:tcPr>
            <w:tcW w:w="780" w:type="dxa"/>
            <w:vAlign w:val="bottom"/>
            <w:tcBorders>
              <w:bottom w:val="single" w:sz="8" w:color="7F7F7F"/>
            </w:tcBorders>
          </w:tcPr>
          <w:p>
            <w:pPr>
              <w:spacing w:after="0"/>
              <w:rPr>
                <w:sz w:val="23"/>
                <w:szCs w:val="23"/>
                <w:color w:val="auto"/>
              </w:rPr>
            </w:pPr>
          </w:p>
        </w:tc>
        <w:tc>
          <w:tcPr>
            <w:tcW w:w="640" w:type="dxa"/>
            <w:vAlign w:val="bottom"/>
            <w:tcBorders>
              <w:bottom w:val="single" w:sz="8" w:color="7F7F7F"/>
            </w:tcBorders>
          </w:tcPr>
          <w:p>
            <w:pPr>
              <w:jc w:val="right"/>
              <w:ind w:right="271"/>
              <w:spacing w:after="0"/>
              <w:rPr>
                <w:sz w:val="20"/>
                <w:szCs w:val="20"/>
                <w:color w:val="auto"/>
              </w:rPr>
            </w:pPr>
            <w:r>
              <w:rPr>
                <w:rFonts w:ascii="Arial" w:cs="Arial" w:eastAsia="Arial" w:hAnsi="Arial"/>
                <w:sz w:val="14"/>
                <w:szCs w:val="14"/>
                <w:color w:val="auto"/>
              </w:rPr>
              <w:t>*</w:t>
            </w:r>
          </w:p>
        </w:tc>
      </w:tr>
      <w:tr>
        <w:trPr>
          <w:trHeight w:val="266"/>
        </w:trPr>
        <w:tc>
          <w:tcPr>
            <w:tcW w:w="342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auto"/>
              </w:rPr>
              <w:t>George S. Corona</w:t>
            </w:r>
          </w:p>
        </w:tc>
        <w:tc>
          <w:tcPr>
            <w:tcW w:w="2160" w:type="dxa"/>
            <w:vAlign w:val="bottom"/>
            <w:tcBorders>
              <w:bottom w:val="single" w:sz="8" w:color="7F7F7F"/>
            </w:tcBorders>
            <w:gridSpan w:val="2"/>
          </w:tcPr>
          <w:p>
            <w:pPr>
              <w:jc w:val="right"/>
              <w:ind w:right="231"/>
              <w:spacing w:after="0"/>
              <w:rPr>
                <w:sz w:val="20"/>
                <w:szCs w:val="20"/>
                <w:color w:val="auto"/>
              </w:rPr>
            </w:pPr>
            <w:r>
              <w:rPr>
                <w:rFonts w:ascii="Arial" w:cs="Arial" w:eastAsia="Arial" w:hAnsi="Arial"/>
                <w:sz w:val="14"/>
                <w:szCs w:val="14"/>
                <w:color w:val="auto"/>
              </w:rPr>
              <w:t>92,886</w:t>
            </w:r>
            <w:r>
              <w:rPr>
                <w:rFonts w:ascii="Arial" w:cs="Arial" w:eastAsia="Arial" w:hAnsi="Arial"/>
                <w:sz w:val="20"/>
                <w:szCs w:val="20"/>
                <w:color w:val="auto"/>
                <w:vertAlign w:val="superscript"/>
              </w:rPr>
              <w:t>(2)</w:t>
            </w:r>
          </w:p>
        </w:tc>
        <w:tc>
          <w:tcPr>
            <w:tcW w:w="2000" w:type="dxa"/>
            <w:vAlign w:val="bottom"/>
            <w:tcBorders>
              <w:bottom w:val="single" w:sz="8" w:color="7F7F7F"/>
            </w:tcBorders>
          </w:tcPr>
          <w:p>
            <w:pPr>
              <w:jc w:val="right"/>
              <w:ind w:right="671"/>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7F7F7F"/>
            </w:tcBorders>
          </w:tcPr>
          <w:p>
            <w:pPr>
              <w:jc w:val="right"/>
              <w:ind w:right="551"/>
              <w:spacing w:after="0"/>
              <w:rPr>
                <w:sz w:val="20"/>
                <w:szCs w:val="20"/>
                <w:color w:val="auto"/>
              </w:rPr>
            </w:pPr>
            <w:r>
              <w:rPr>
                <w:rFonts w:ascii="Arial" w:cs="Arial" w:eastAsia="Arial" w:hAnsi="Arial"/>
                <w:sz w:val="14"/>
                <w:szCs w:val="14"/>
                <w:color w:val="auto"/>
              </w:rPr>
              <w:t>100</w:t>
            </w:r>
          </w:p>
        </w:tc>
        <w:tc>
          <w:tcPr>
            <w:tcW w:w="780" w:type="dxa"/>
            <w:vAlign w:val="bottom"/>
            <w:tcBorders>
              <w:bottom w:val="single" w:sz="8" w:color="7F7F7F"/>
            </w:tcBorders>
          </w:tcPr>
          <w:p>
            <w:pPr>
              <w:spacing w:after="0"/>
              <w:rPr>
                <w:sz w:val="23"/>
                <w:szCs w:val="23"/>
                <w:color w:val="auto"/>
              </w:rPr>
            </w:pPr>
          </w:p>
        </w:tc>
        <w:tc>
          <w:tcPr>
            <w:tcW w:w="640" w:type="dxa"/>
            <w:vAlign w:val="bottom"/>
            <w:tcBorders>
              <w:bottom w:val="single" w:sz="8" w:color="7F7F7F"/>
            </w:tcBorders>
          </w:tcPr>
          <w:p>
            <w:pPr>
              <w:jc w:val="right"/>
              <w:ind w:right="271"/>
              <w:spacing w:after="0"/>
              <w:rPr>
                <w:sz w:val="20"/>
                <w:szCs w:val="20"/>
                <w:color w:val="auto"/>
              </w:rPr>
            </w:pPr>
            <w:r>
              <w:rPr>
                <w:rFonts w:ascii="Arial" w:cs="Arial" w:eastAsia="Arial" w:hAnsi="Arial"/>
                <w:sz w:val="14"/>
                <w:szCs w:val="14"/>
                <w:color w:val="auto"/>
              </w:rPr>
              <w:t>*</w:t>
            </w:r>
          </w:p>
        </w:tc>
      </w:tr>
      <w:tr>
        <w:trPr>
          <w:trHeight w:val="266"/>
        </w:trPr>
        <w:tc>
          <w:tcPr>
            <w:tcW w:w="342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auto"/>
              </w:rPr>
              <w:t>Robert S. Cubbin</w:t>
            </w:r>
          </w:p>
        </w:tc>
        <w:tc>
          <w:tcPr>
            <w:tcW w:w="2160" w:type="dxa"/>
            <w:vAlign w:val="bottom"/>
            <w:tcBorders>
              <w:bottom w:val="single" w:sz="8" w:color="7F7F7F"/>
            </w:tcBorders>
            <w:gridSpan w:val="2"/>
          </w:tcPr>
          <w:p>
            <w:pPr>
              <w:jc w:val="right"/>
              <w:ind w:right="231"/>
              <w:spacing w:after="0"/>
              <w:rPr>
                <w:sz w:val="20"/>
                <w:szCs w:val="20"/>
                <w:color w:val="auto"/>
              </w:rPr>
            </w:pPr>
            <w:r>
              <w:rPr>
                <w:rFonts w:ascii="Arial" w:cs="Arial" w:eastAsia="Arial" w:hAnsi="Arial"/>
                <w:sz w:val="14"/>
                <w:szCs w:val="14"/>
                <w:color w:val="auto"/>
              </w:rPr>
              <w:t>54,125</w:t>
            </w:r>
            <w:r>
              <w:rPr>
                <w:rFonts w:ascii="Arial" w:cs="Arial" w:eastAsia="Arial" w:hAnsi="Arial"/>
                <w:sz w:val="20"/>
                <w:szCs w:val="20"/>
                <w:color w:val="auto"/>
                <w:vertAlign w:val="superscript"/>
              </w:rPr>
              <w:t>(2)</w:t>
            </w:r>
          </w:p>
        </w:tc>
        <w:tc>
          <w:tcPr>
            <w:tcW w:w="2000" w:type="dxa"/>
            <w:vAlign w:val="bottom"/>
            <w:tcBorders>
              <w:bottom w:val="single" w:sz="8" w:color="7F7F7F"/>
            </w:tcBorders>
          </w:tcPr>
          <w:p>
            <w:pPr>
              <w:jc w:val="right"/>
              <w:ind w:right="671"/>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7F7F7F"/>
            </w:tcBorders>
          </w:tcPr>
          <w:p>
            <w:pPr>
              <w:jc w:val="right"/>
              <w:ind w:right="551"/>
              <w:spacing w:after="0"/>
              <w:rPr>
                <w:sz w:val="20"/>
                <w:szCs w:val="20"/>
                <w:color w:val="auto"/>
              </w:rPr>
            </w:pPr>
            <w:r>
              <w:rPr>
                <w:rFonts w:ascii="Arial" w:cs="Arial" w:eastAsia="Arial" w:hAnsi="Arial"/>
                <w:sz w:val="14"/>
                <w:szCs w:val="14"/>
                <w:color w:val="auto"/>
              </w:rPr>
              <w:t>100</w:t>
            </w:r>
          </w:p>
        </w:tc>
        <w:tc>
          <w:tcPr>
            <w:tcW w:w="780" w:type="dxa"/>
            <w:vAlign w:val="bottom"/>
            <w:tcBorders>
              <w:bottom w:val="single" w:sz="8" w:color="7F7F7F"/>
            </w:tcBorders>
          </w:tcPr>
          <w:p>
            <w:pPr>
              <w:spacing w:after="0"/>
              <w:rPr>
                <w:sz w:val="23"/>
                <w:szCs w:val="23"/>
                <w:color w:val="auto"/>
              </w:rPr>
            </w:pPr>
          </w:p>
        </w:tc>
        <w:tc>
          <w:tcPr>
            <w:tcW w:w="640" w:type="dxa"/>
            <w:vAlign w:val="bottom"/>
            <w:tcBorders>
              <w:bottom w:val="single" w:sz="8" w:color="7F7F7F"/>
            </w:tcBorders>
          </w:tcPr>
          <w:p>
            <w:pPr>
              <w:jc w:val="right"/>
              <w:ind w:right="271"/>
              <w:spacing w:after="0"/>
              <w:rPr>
                <w:sz w:val="20"/>
                <w:szCs w:val="20"/>
                <w:color w:val="auto"/>
              </w:rPr>
            </w:pPr>
            <w:r>
              <w:rPr>
                <w:rFonts w:ascii="Arial" w:cs="Arial" w:eastAsia="Arial" w:hAnsi="Arial"/>
                <w:sz w:val="14"/>
                <w:szCs w:val="14"/>
                <w:color w:val="auto"/>
              </w:rPr>
              <w:t>*</w:t>
            </w:r>
          </w:p>
        </w:tc>
      </w:tr>
      <w:tr>
        <w:trPr>
          <w:trHeight w:val="266"/>
        </w:trPr>
        <w:tc>
          <w:tcPr>
            <w:tcW w:w="342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auto"/>
              </w:rPr>
              <w:t>Amala Duggirala</w:t>
            </w:r>
            <w:r>
              <w:rPr>
                <w:rFonts w:ascii="Arial" w:cs="Arial" w:eastAsia="Arial" w:hAnsi="Arial"/>
                <w:sz w:val="20"/>
                <w:szCs w:val="20"/>
                <w:color w:val="auto"/>
                <w:vertAlign w:val="superscript"/>
              </w:rPr>
              <w:t>(3)</w:t>
            </w:r>
          </w:p>
        </w:tc>
        <w:tc>
          <w:tcPr>
            <w:tcW w:w="2160" w:type="dxa"/>
            <w:vAlign w:val="bottom"/>
            <w:tcBorders>
              <w:bottom w:val="single" w:sz="8" w:color="7F7F7F"/>
            </w:tcBorders>
            <w:gridSpan w:val="2"/>
          </w:tcPr>
          <w:p>
            <w:pPr>
              <w:jc w:val="right"/>
              <w:ind w:right="231"/>
              <w:spacing w:after="0"/>
              <w:rPr>
                <w:sz w:val="20"/>
                <w:szCs w:val="20"/>
                <w:color w:val="auto"/>
              </w:rPr>
            </w:pPr>
            <w:r>
              <w:rPr>
                <w:rFonts w:ascii="Arial" w:cs="Arial" w:eastAsia="Arial" w:hAnsi="Arial"/>
                <w:sz w:val="14"/>
                <w:szCs w:val="14"/>
                <w:color w:val="auto"/>
              </w:rPr>
              <w:t>17,175</w:t>
            </w:r>
            <w:r>
              <w:rPr>
                <w:rFonts w:ascii="Arial" w:cs="Arial" w:eastAsia="Arial" w:hAnsi="Arial"/>
                <w:sz w:val="20"/>
                <w:szCs w:val="20"/>
                <w:color w:val="auto"/>
                <w:vertAlign w:val="superscript"/>
              </w:rPr>
              <w:t>(2)</w:t>
            </w:r>
          </w:p>
        </w:tc>
        <w:tc>
          <w:tcPr>
            <w:tcW w:w="2000" w:type="dxa"/>
            <w:vAlign w:val="bottom"/>
            <w:tcBorders>
              <w:bottom w:val="single" w:sz="8" w:color="7F7F7F"/>
            </w:tcBorders>
          </w:tcPr>
          <w:p>
            <w:pPr>
              <w:jc w:val="right"/>
              <w:ind w:right="671"/>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7F7F7F"/>
            </w:tcBorders>
          </w:tcPr>
          <w:p>
            <w:pPr>
              <w:jc w:val="right"/>
              <w:ind w:right="55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7F7F7F"/>
            </w:tcBorders>
          </w:tcPr>
          <w:p>
            <w:pPr>
              <w:spacing w:after="0"/>
              <w:rPr>
                <w:sz w:val="23"/>
                <w:szCs w:val="23"/>
                <w:color w:val="auto"/>
              </w:rPr>
            </w:pPr>
          </w:p>
        </w:tc>
        <w:tc>
          <w:tcPr>
            <w:tcW w:w="640" w:type="dxa"/>
            <w:vAlign w:val="bottom"/>
            <w:tcBorders>
              <w:bottom w:val="single" w:sz="8" w:color="7F7F7F"/>
            </w:tcBorders>
          </w:tcPr>
          <w:p>
            <w:pPr>
              <w:jc w:val="right"/>
              <w:ind w:right="271"/>
              <w:spacing w:after="0"/>
              <w:rPr>
                <w:sz w:val="20"/>
                <w:szCs w:val="20"/>
                <w:color w:val="auto"/>
              </w:rPr>
            </w:pPr>
            <w:r>
              <w:rPr>
                <w:rFonts w:ascii="Arial" w:cs="Arial" w:eastAsia="Arial" w:hAnsi="Arial"/>
                <w:sz w:val="14"/>
                <w:szCs w:val="14"/>
                <w:color w:val="auto"/>
              </w:rPr>
              <w:t>*</w:t>
            </w:r>
          </w:p>
        </w:tc>
      </w:tr>
      <w:tr>
        <w:trPr>
          <w:trHeight w:val="266"/>
        </w:trPr>
        <w:tc>
          <w:tcPr>
            <w:tcW w:w="342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auto"/>
              </w:rPr>
              <w:t>InaMarie F. Johnson</w:t>
            </w:r>
            <w:r>
              <w:rPr>
                <w:rFonts w:ascii="Arial" w:cs="Arial" w:eastAsia="Arial" w:hAnsi="Arial"/>
                <w:sz w:val="20"/>
                <w:szCs w:val="20"/>
                <w:color w:val="auto"/>
                <w:vertAlign w:val="superscript"/>
              </w:rPr>
              <w:t>(3)</w:t>
            </w:r>
          </w:p>
        </w:tc>
        <w:tc>
          <w:tcPr>
            <w:tcW w:w="2160" w:type="dxa"/>
            <w:vAlign w:val="bottom"/>
            <w:tcBorders>
              <w:bottom w:val="single" w:sz="8" w:color="7F7F7F"/>
            </w:tcBorders>
            <w:gridSpan w:val="2"/>
          </w:tcPr>
          <w:p>
            <w:pPr>
              <w:jc w:val="right"/>
              <w:ind w:right="231"/>
              <w:spacing w:after="0"/>
              <w:rPr>
                <w:sz w:val="20"/>
                <w:szCs w:val="20"/>
                <w:color w:val="auto"/>
              </w:rPr>
            </w:pPr>
            <w:r>
              <w:rPr>
                <w:rFonts w:ascii="Arial" w:cs="Arial" w:eastAsia="Arial" w:hAnsi="Arial"/>
                <w:sz w:val="14"/>
                <w:szCs w:val="14"/>
                <w:color w:val="auto"/>
              </w:rPr>
              <w:t>15,880</w:t>
            </w:r>
            <w:r>
              <w:rPr>
                <w:rFonts w:ascii="Arial" w:cs="Arial" w:eastAsia="Arial" w:hAnsi="Arial"/>
                <w:sz w:val="20"/>
                <w:szCs w:val="20"/>
                <w:color w:val="auto"/>
                <w:vertAlign w:val="superscript"/>
              </w:rPr>
              <w:t>(2)</w:t>
            </w:r>
          </w:p>
        </w:tc>
        <w:tc>
          <w:tcPr>
            <w:tcW w:w="2000" w:type="dxa"/>
            <w:vAlign w:val="bottom"/>
            <w:tcBorders>
              <w:bottom w:val="single" w:sz="8" w:color="7F7F7F"/>
            </w:tcBorders>
          </w:tcPr>
          <w:p>
            <w:pPr>
              <w:jc w:val="right"/>
              <w:ind w:right="671"/>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7F7F7F"/>
            </w:tcBorders>
          </w:tcPr>
          <w:p>
            <w:pPr>
              <w:jc w:val="right"/>
              <w:ind w:right="55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7F7F7F"/>
            </w:tcBorders>
          </w:tcPr>
          <w:p>
            <w:pPr>
              <w:spacing w:after="0"/>
              <w:rPr>
                <w:sz w:val="23"/>
                <w:szCs w:val="23"/>
                <w:color w:val="auto"/>
              </w:rPr>
            </w:pPr>
          </w:p>
        </w:tc>
        <w:tc>
          <w:tcPr>
            <w:tcW w:w="640" w:type="dxa"/>
            <w:vAlign w:val="bottom"/>
            <w:tcBorders>
              <w:bottom w:val="single" w:sz="8" w:color="7F7F7F"/>
            </w:tcBorders>
          </w:tcPr>
          <w:p>
            <w:pPr>
              <w:jc w:val="right"/>
              <w:ind w:right="271"/>
              <w:spacing w:after="0"/>
              <w:rPr>
                <w:sz w:val="20"/>
                <w:szCs w:val="20"/>
                <w:color w:val="auto"/>
              </w:rPr>
            </w:pPr>
            <w:r>
              <w:rPr>
                <w:rFonts w:ascii="Arial" w:cs="Arial" w:eastAsia="Arial" w:hAnsi="Arial"/>
                <w:sz w:val="14"/>
                <w:szCs w:val="14"/>
                <w:color w:val="auto"/>
              </w:rPr>
              <w:t>*</w:t>
            </w:r>
          </w:p>
        </w:tc>
      </w:tr>
      <w:tr>
        <w:trPr>
          <w:trHeight w:val="219"/>
        </w:trPr>
        <w:tc>
          <w:tcPr>
            <w:tcW w:w="3420" w:type="dxa"/>
            <w:vAlign w:val="bottom"/>
          </w:tcPr>
          <w:p>
            <w:pPr>
              <w:ind w:left="60"/>
              <w:spacing w:after="0"/>
              <w:rPr>
                <w:sz w:val="20"/>
                <w:szCs w:val="20"/>
                <w:color w:val="auto"/>
              </w:rPr>
            </w:pPr>
            <w:r>
              <w:rPr>
                <w:rFonts w:ascii="Arial" w:cs="Arial" w:eastAsia="Arial" w:hAnsi="Arial"/>
                <w:sz w:val="14"/>
                <w:szCs w:val="14"/>
                <w:color w:val="auto"/>
              </w:rPr>
              <w:t>Terrence B. Larkin</w:t>
            </w:r>
          </w:p>
        </w:tc>
        <w:tc>
          <w:tcPr>
            <w:tcW w:w="2160" w:type="dxa"/>
            <w:vAlign w:val="bottom"/>
            <w:gridSpan w:val="2"/>
          </w:tcPr>
          <w:p>
            <w:pPr>
              <w:jc w:val="right"/>
              <w:ind w:right="351"/>
              <w:spacing w:after="0"/>
              <w:rPr>
                <w:sz w:val="20"/>
                <w:szCs w:val="20"/>
                <w:color w:val="auto"/>
              </w:rPr>
            </w:pPr>
            <w:r>
              <w:rPr>
                <w:rFonts w:ascii="Arial" w:cs="Arial" w:eastAsia="Arial" w:hAnsi="Arial"/>
                <w:sz w:val="14"/>
                <w:szCs w:val="14"/>
                <w:color w:val="auto"/>
              </w:rPr>
              <w:t>49,843</w:t>
            </w:r>
          </w:p>
        </w:tc>
        <w:tc>
          <w:tcPr>
            <w:tcW w:w="2000" w:type="dxa"/>
            <w:vAlign w:val="bottom"/>
          </w:tcPr>
          <w:p>
            <w:pPr>
              <w:jc w:val="right"/>
              <w:ind w:right="671"/>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51"/>
              <w:spacing w:after="0"/>
              <w:rPr>
                <w:sz w:val="20"/>
                <w:szCs w:val="20"/>
                <w:color w:val="auto"/>
              </w:rPr>
            </w:pPr>
            <w:r>
              <w:rPr>
                <w:rFonts w:ascii="Arial" w:cs="Arial" w:eastAsia="Arial" w:hAnsi="Arial"/>
                <w:sz w:val="14"/>
                <w:szCs w:val="14"/>
                <w:color w:val="auto"/>
              </w:rPr>
              <w:t>100</w:t>
            </w:r>
          </w:p>
        </w:tc>
        <w:tc>
          <w:tcPr>
            <w:tcW w:w="780" w:type="dxa"/>
            <w:vAlign w:val="bottom"/>
          </w:tcPr>
          <w:p>
            <w:pPr>
              <w:spacing w:after="0"/>
              <w:rPr>
                <w:sz w:val="19"/>
                <w:szCs w:val="19"/>
                <w:color w:val="auto"/>
              </w:rPr>
            </w:pPr>
          </w:p>
        </w:tc>
        <w:tc>
          <w:tcPr>
            <w:tcW w:w="640" w:type="dxa"/>
            <w:vAlign w:val="bottom"/>
          </w:tcPr>
          <w:p>
            <w:pPr>
              <w:jc w:val="right"/>
              <w:ind w:right="271"/>
              <w:spacing w:after="0"/>
              <w:rPr>
                <w:sz w:val="20"/>
                <w:szCs w:val="20"/>
                <w:color w:val="auto"/>
              </w:rPr>
            </w:pPr>
            <w:r>
              <w:rPr>
                <w:rFonts w:ascii="Arial" w:cs="Arial" w:eastAsia="Arial" w:hAnsi="Arial"/>
                <w:sz w:val="14"/>
                <w:szCs w:val="14"/>
                <w:color w:val="auto"/>
              </w:rPr>
              <w:t>*</w:t>
            </w:r>
          </w:p>
        </w:tc>
      </w:tr>
      <w:tr>
        <w:trPr>
          <w:trHeight w:val="47"/>
        </w:trPr>
        <w:tc>
          <w:tcPr>
            <w:tcW w:w="3420" w:type="dxa"/>
            <w:vAlign w:val="bottom"/>
            <w:tcBorders>
              <w:bottom w:val="single" w:sz="8" w:color="7F7F7F"/>
            </w:tcBorders>
          </w:tcPr>
          <w:p>
            <w:pPr>
              <w:spacing w:after="0"/>
              <w:rPr>
                <w:sz w:val="4"/>
                <w:szCs w:val="4"/>
                <w:color w:val="auto"/>
              </w:rPr>
            </w:pPr>
          </w:p>
        </w:tc>
        <w:tc>
          <w:tcPr>
            <w:tcW w:w="2160" w:type="dxa"/>
            <w:vAlign w:val="bottom"/>
            <w:tcBorders>
              <w:bottom w:val="single" w:sz="8" w:color="7F7F7F"/>
            </w:tcBorders>
            <w:gridSpan w:val="2"/>
          </w:tcPr>
          <w:p>
            <w:pPr>
              <w:spacing w:after="0"/>
              <w:rPr>
                <w:sz w:val="4"/>
                <w:szCs w:val="4"/>
                <w:color w:val="auto"/>
              </w:rPr>
            </w:pPr>
          </w:p>
        </w:tc>
        <w:tc>
          <w:tcPr>
            <w:tcW w:w="2000" w:type="dxa"/>
            <w:vAlign w:val="bottom"/>
            <w:tcBorders>
              <w:bottom w:val="single" w:sz="8" w:color="7F7F7F"/>
            </w:tcBorders>
          </w:tcPr>
          <w:p>
            <w:pPr>
              <w:spacing w:after="0"/>
              <w:rPr>
                <w:sz w:val="4"/>
                <w:szCs w:val="4"/>
                <w:color w:val="auto"/>
              </w:rPr>
            </w:pPr>
          </w:p>
        </w:tc>
        <w:tc>
          <w:tcPr>
            <w:tcW w:w="162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640" w:type="dxa"/>
            <w:vAlign w:val="bottom"/>
            <w:tcBorders>
              <w:bottom w:val="single" w:sz="8" w:color="7F7F7F"/>
            </w:tcBorders>
          </w:tcPr>
          <w:p>
            <w:pPr>
              <w:spacing w:after="0"/>
              <w:rPr>
                <w:sz w:val="4"/>
                <w:szCs w:val="4"/>
                <w:color w:val="auto"/>
              </w:rPr>
            </w:pPr>
          </w:p>
        </w:tc>
      </w:tr>
      <w:tr>
        <w:trPr>
          <w:trHeight w:val="266"/>
        </w:trPr>
        <w:tc>
          <w:tcPr>
            <w:tcW w:w="342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auto"/>
              </w:rPr>
              <w:t>Leslie A. Murphy</w:t>
            </w:r>
          </w:p>
        </w:tc>
        <w:tc>
          <w:tcPr>
            <w:tcW w:w="2160" w:type="dxa"/>
            <w:vAlign w:val="bottom"/>
            <w:tcBorders>
              <w:bottom w:val="single" w:sz="8" w:color="7F7F7F"/>
            </w:tcBorders>
            <w:gridSpan w:val="2"/>
          </w:tcPr>
          <w:p>
            <w:pPr>
              <w:jc w:val="right"/>
              <w:ind w:right="231"/>
              <w:spacing w:after="0"/>
              <w:rPr>
                <w:sz w:val="20"/>
                <w:szCs w:val="20"/>
                <w:color w:val="auto"/>
              </w:rPr>
            </w:pPr>
            <w:r>
              <w:rPr>
                <w:rFonts w:ascii="Arial" w:cs="Arial" w:eastAsia="Arial" w:hAnsi="Arial"/>
                <w:sz w:val="14"/>
                <w:szCs w:val="14"/>
                <w:color w:val="auto"/>
              </w:rPr>
              <w:t>48,292</w:t>
            </w:r>
            <w:r>
              <w:rPr>
                <w:rFonts w:ascii="Arial" w:cs="Arial" w:eastAsia="Arial" w:hAnsi="Arial"/>
                <w:sz w:val="20"/>
                <w:szCs w:val="20"/>
                <w:color w:val="auto"/>
                <w:vertAlign w:val="superscript"/>
              </w:rPr>
              <w:t>(2)</w:t>
            </w:r>
          </w:p>
        </w:tc>
        <w:tc>
          <w:tcPr>
            <w:tcW w:w="2000" w:type="dxa"/>
            <w:vAlign w:val="bottom"/>
            <w:tcBorders>
              <w:bottom w:val="single" w:sz="8" w:color="7F7F7F"/>
            </w:tcBorders>
          </w:tcPr>
          <w:p>
            <w:pPr>
              <w:jc w:val="right"/>
              <w:ind w:right="671"/>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7F7F7F"/>
            </w:tcBorders>
          </w:tcPr>
          <w:p>
            <w:pPr>
              <w:jc w:val="right"/>
              <w:ind w:right="551"/>
              <w:spacing w:after="0"/>
              <w:rPr>
                <w:sz w:val="20"/>
                <w:szCs w:val="20"/>
                <w:color w:val="auto"/>
              </w:rPr>
            </w:pPr>
            <w:r>
              <w:rPr>
                <w:rFonts w:ascii="Arial" w:cs="Arial" w:eastAsia="Arial" w:hAnsi="Arial"/>
                <w:sz w:val="14"/>
                <w:szCs w:val="14"/>
                <w:color w:val="auto"/>
              </w:rPr>
              <w:t>100</w:t>
            </w:r>
          </w:p>
        </w:tc>
        <w:tc>
          <w:tcPr>
            <w:tcW w:w="780" w:type="dxa"/>
            <w:vAlign w:val="bottom"/>
            <w:tcBorders>
              <w:bottom w:val="single" w:sz="8" w:color="7F7F7F"/>
            </w:tcBorders>
          </w:tcPr>
          <w:p>
            <w:pPr>
              <w:spacing w:after="0"/>
              <w:rPr>
                <w:sz w:val="23"/>
                <w:szCs w:val="23"/>
                <w:color w:val="auto"/>
              </w:rPr>
            </w:pPr>
          </w:p>
        </w:tc>
        <w:tc>
          <w:tcPr>
            <w:tcW w:w="640" w:type="dxa"/>
            <w:vAlign w:val="bottom"/>
            <w:tcBorders>
              <w:bottom w:val="single" w:sz="8" w:color="7F7F7F"/>
            </w:tcBorders>
          </w:tcPr>
          <w:p>
            <w:pPr>
              <w:jc w:val="right"/>
              <w:ind w:right="271"/>
              <w:spacing w:after="0"/>
              <w:rPr>
                <w:sz w:val="20"/>
                <w:szCs w:val="20"/>
                <w:color w:val="auto"/>
              </w:rPr>
            </w:pPr>
            <w:r>
              <w:rPr>
                <w:rFonts w:ascii="Arial" w:cs="Arial" w:eastAsia="Arial" w:hAnsi="Arial"/>
                <w:sz w:val="14"/>
                <w:szCs w:val="14"/>
                <w:color w:val="auto"/>
              </w:rPr>
              <w:t>*</w:t>
            </w:r>
          </w:p>
        </w:tc>
      </w:tr>
      <w:tr>
        <w:trPr>
          <w:trHeight w:val="219"/>
        </w:trPr>
        <w:tc>
          <w:tcPr>
            <w:tcW w:w="3420" w:type="dxa"/>
            <w:vAlign w:val="bottom"/>
          </w:tcPr>
          <w:p>
            <w:pPr>
              <w:ind w:left="60"/>
              <w:spacing w:after="0"/>
              <w:rPr>
                <w:sz w:val="20"/>
                <w:szCs w:val="20"/>
                <w:color w:val="auto"/>
              </w:rPr>
            </w:pPr>
            <w:r>
              <w:rPr>
                <w:rFonts w:ascii="Arial" w:cs="Arial" w:eastAsia="Arial" w:hAnsi="Arial"/>
                <w:sz w:val="14"/>
                <w:szCs w:val="14"/>
                <w:color w:val="auto"/>
              </w:rPr>
              <w:t>Donald R. Parfet</w:t>
            </w:r>
          </w:p>
        </w:tc>
        <w:tc>
          <w:tcPr>
            <w:tcW w:w="2160" w:type="dxa"/>
            <w:vAlign w:val="bottom"/>
            <w:gridSpan w:val="2"/>
          </w:tcPr>
          <w:p>
            <w:pPr>
              <w:jc w:val="right"/>
              <w:ind w:right="351"/>
              <w:spacing w:after="0"/>
              <w:rPr>
                <w:sz w:val="20"/>
                <w:szCs w:val="20"/>
                <w:color w:val="auto"/>
              </w:rPr>
            </w:pPr>
            <w:r>
              <w:rPr>
                <w:rFonts w:ascii="Arial" w:cs="Arial" w:eastAsia="Arial" w:hAnsi="Arial"/>
                <w:sz w:val="14"/>
                <w:szCs w:val="14"/>
                <w:color w:val="auto"/>
              </w:rPr>
              <w:t>93,485</w:t>
            </w:r>
          </w:p>
        </w:tc>
        <w:tc>
          <w:tcPr>
            <w:tcW w:w="2000" w:type="dxa"/>
            <w:vAlign w:val="bottom"/>
          </w:tcPr>
          <w:p>
            <w:pPr>
              <w:jc w:val="right"/>
              <w:ind w:right="671"/>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51"/>
              <w:spacing w:after="0"/>
              <w:rPr>
                <w:sz w:val="20"/>
                <w:szCs w:val="20"/>
                <w:color w:val="auto"/>
              </w:rPr>
            </w:pPr>
            <w:r>
              <w:rPr>
                <w:rFonts w:ascii="Arial" w:cs="Arial" w:eastAsia="Arial" w:hAnsi="Arial"/>
                <w:sz w:val="14"/>
                <w:szCs w:val="14"/>
                <w:color w:val="auto"/>
              </w:rPr>
              <w:t>100</w:t>
            </w:r>
          </w:p>
        </w:tc>
        <w:tc>
          <w:tcPr>
            <w:tcW w:w="780" w:type="dxa"/>
            <w:vAlign w:val="bottom"/>
          </w:tcPr>
          <w:p>
            <w:pPr>
              <w:spacing w:after="0"/>
              <w:rPr>
                <w:sz w:val="19"/>
                <w:szCs w:val="19"/>
                <w:color w:val="auto"/>
              </w:rPr>
            </w:pPr>
          </w:p>
        </w:tc>
        <w:tc>
          <w:tcPr>
            <w:tcW w:w="640" w:type="dxa"/>
            <w:vAlign w:val="bottom"/>
          </w:tcPr>
          <w:p>
            <w:pPr>
              <w:jc w:val="right"/>
              <w:ind w:right="271"/>
              <w:spacing w:after="0"/>
              <w:rPr>
                <w:sz w:val="20"/>
                <w:szCs w:val="20"/>
                <w:color w:val="auto"/>
              </w:rPr>
            </w:pPr>
            <w:r>
              <w:rPr>
                <w:rFonts w:ascii="Arial" w:cs="Arial" w:eastAsia="Arial" w:hAnsi="Arial"/>
                <w:sz w:val="14"/>
                <w:szCs w:val="14"/>
                <w:color w:val="auto"/>
              </w:rPr>
              <w:t>*</w:t>
            </w:r>
          </w:p>
        </w:tc>
      </w:tr>
      <w:tr>
        <w:trPr>
          <w:trHeight w:val="47"/>
        </w:trPr>
        <w:tc>
          <w:tcPr>
            <w:tcW w:w="34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2000" w:type="dxa"/>
            <w:vAlign w:val="bottom"/>
            <w:tcBorders>
              <w:bottom w:val="single" w:sz="8" w:color="7F7F7F"/>
            </w:tcBorders>
          </w:tcPr>
          <w:p>
            <w:pPr>
              <w:spacing w:after="0"/>
              <w:rPr>
                <w:sz w:val="4"/>
                <w:szCs w:val="4"/>
                <w:color w:val="auto"/>
              </w:rPr>
            </w:pPr>
          </w:p>
        </w:tc>
        <w:tc>
          <w:tcPr>
            <w:tcW w:w="162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640" w:type="dxa"/>
            <w:vAlign w:val="bottom"/>
            <w:tcBorders>
              <w:bottom w:val="single" w:sz="8" w:color="7F7F7F"/>
            </w:tcBorders>
          </w:tcPr>
          <w:p>
            <w:pPr>
              <w:spacing w:after="0"/>
              <w:rPr>
                <w:sz w:val="4"/>
                <w:szCs w:val="4"/>
                <w:color w:val="auto"/>
              </w:rPr>
            </w:pPr>
          </w:p>
        </w:tc>
      </w:tr>
      <w:tr>
        <w:trPr>
          <w:trHeight w:val="227"/>
        </w:trPr>
        <w:tc>
          <w:tcPr>
            <w:tcW w:w="3420" w:type="dxa"/>
            <w:vAlign w:val="bottom"/>
          </w:tcPr>
          <w:p>
            <w:pPr>
              <w:ind w:left="60"/>
              <w:spacing w:after="0"/>
              <w:rPr>
                <w:sz w:val="20"/>
                <w:szCs w:val="20"/>
                <w:color w:val="auto"/>
              </w:rPr>
            </w:pPr>
            <w:r>
              <w:rPr>
                <w:rFonts w:ascii="Arial" w:cs="Arial" w:eastAsia="Arial" w:hAnsi="Arial"/>
                <w:sz w:val="14"/>
                <w:szCs w:val="14"/>
                <w:b w:val="1"/>
                <w:bCs w:val="1"/>
                <w:color w:val="auto"/>
              </w:rPr>
              <w:t>Named Executive Officers: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9"/>
        </w:trPr>
        <w:tc>
          <w:tcPr>
            <w:tcW w:w="3420" w:type="dxa"/>
            <w:vAlign w:val="bottom"/>
            <w:tcBorders>
              <w:bottom w:val="single" w:sz="8" w:color="7F7F7F"/>
            </w:tcBorders>
          </w:tcPr>
          <w:p>
            <w:pPr>
              <w:spacing w:after="0"/>
              <w:rPr>
                <w:sz w:val="3"/>
                <w:szCs w:val="3"/>
                <w:color w:val="auto"/>
              </w:rPr>
            </w:pPr>
          </w:p>
        </w:tc>
        <w:tc>
          <w:tcPr>
            <w:tcW w:w="2160" w:type="dxa"/>
            <w:vAlign w:val="bottom"/>
            <w:tcBorders>
              <w:bottom w:val="single" w:sz="8" w:color="7F7F7F"/>
            </w:tcBorders>
            <w:gridSpan w:val="2"/>
          </w:tcPr>
          <w:p>
            <w:pPr>
              <w:spacing w:after="0"/>
              <w:rPr>
                <w:sz w:val="3"/>
                <w:szCs w:val="3"/>
                <w:color w:val="auto"/>
              </w:rPr>
            </w:pPr>
          </w:p>
        </w:tc>
        <w:tc>
          <w:tcPr>
            <w:tcW w:w="2000" w:type="dxa"/>
            <w:vAlign w:val="bottom"/>
            <w:tcBorders>
              <w:bottom w:val="single" w:sz="8" w:color="7F7F7F"/>
            </w:tcBorders>
          </w:tcPr>
          <w:p>
            <w:pPr>
              <w:spacing w:after="0"/>
              <w:rPr>
                <w:sz w:val="3"/>
                <w:szCs w:val="3"/>
                <w:color w:val="auto"/>
              </w:rPr>
            </w:pPr>
          </w:p>
        </w:tc>
        <w:tc>
          <w:tcPr>
            <w:tcW w:w="162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r>
      <w:tr>
        <w:trPr>
          <w:trHeight w:val="219"/>
        </w:trPr>
        <w:tc>
          <w:tcPr>
            <w:tcW w:w="3420" w:type="dxa"/>
            <w:vAlign w:val="bottom"/>
          </w:tcPr>
          <w:p>
            <w:pPr>
              <w:ind w:left="60"/>
              <w:spacing w:after="0"/>
              <w:rPr>
                <w:sz w:val="20"/>
                <w:szCs w:val="20"/>
                <w:color w:val="auto"/>
              </w:rPr>
            </w:pPr>
            <w:r>
              <w:rPr>
                <w:rFonts w:ascii="Arial" w:cs="Arial" w:eastAsia="Arial" w:hAnsi="Arial"/>
                <w:sz w:val="14"/>
                <w:szCs w:val="14"/>
                <w:color w:val="auto"/>
              </w:rPr>
              <w:t>Peter W. Quigley (also a director)</w:t>
            </w:r>
          </w:p>
        </w:tc>
        <w:tc>
          <w:tcPr>
            <w:tcW w:w="2160" w:type="dxa"/>
            <w:vAlign w:val="bottom"/>
            <w:gridSpan w:val="2"/>
          </w:tcPr>
          <w:p>
            <w:pPr>
              <w:jc w:val="right"/>
              <w:ind w:right="351"/>
              <w:spacing w:after="0"/>
              <w:rPr>
                <w:sz w:val="20"/>
                <w:szCs w:val="20"/>
                <w:color w:val="auto"/>
              </w:rPr>
            </w:pPr>
            <w:r>
              <w:rPr>
                <w:rFonts w:ascii="Arial" w:cs="Arial" w:eastAsia="Arial" w:hAnsi="Arial"/>
                <w:sz w:val="14"/>
                <w:szCs w:val="14"/>
                <w:color w:val="auto"/>
              </w:rPr>
              <w:t>341,896</w:t>
            </w:r>
          </w:p>
        </w:tc>
        <w:tc>
          <w:tcPr>
            <w:tcW w:w="2000" w:type="dxa"/>
            <w:vAlign w:val="bottom"/>
          </w:tcPr>
          <w:p>
            <w:pPr>
              <w:jc w:val="right"/>
              <w:ind w:right="671"/>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51"/>
              <w:spacing w:after="0"/>
              <w:rPr>
                <w:sz w:val="20"/>
                <w:szCs w:val="20"/>
                <w:color w:val="auto"/>
              </w:rPr>
            </w:pPr>
            <w:r>
              <w:rPr>
                <w:rFonts w:ascii="Arial" w:cs="Arial" w:eastAsia="Arial" w:hAnsi="Arial"/>
                <w:sz w:val="14"/>
                <w:szCs w:val="14"/>
                <w:color w:val="auto"/>
              </w:rPr>
              <w:t>100</w:t>
            </w:r>
          </w:p>
        </w:tc>
        <w:tc>
          <w:tcPr>
            <w:tcW w:w="780" w:type="dxa"/>
            <w:vAlign w:val="bottom"/>
          </w:tcPr>
          <w:p>
            <w:pPr>
              <w:spacing w:after="0"/>
              <w:rPr>
                <w:sz w:val="19"/>
                <w:szCs w:val="19"/>
                <w:color w:val="auto"/>
              </w:rPr>
            </w:pPr>
          </w:p>
        </w:tc>
        <w:tc>
          <w:tcPr>
            <w:tcW w:w="640" w:type="dxa"/>
            <w:vAlign w:val="bottom"/>
          </w:tcPr>
          <w:p>
            <w:pPr>
              <w:jc w:val="right"/>
              <w:ind w:right="271"/>
              <w:spacing w:after="0"/>
              <w:rPr>
                <w:sz w:val="20"/>
                <w:szCs w:val="20"/>
                <w:color w:val="auto"/>
              </w:rPr>
            </w:pPr>
            <w:r>
              <w:rPr>
                <w:rFonts w:ascii="Arial" w:cs="Arial" w:eastAsia="Arial" w:hAnsi="Arial"/>
                <w:sz w:val="14"/>
                <w:szCs w:val="14"/>
                <w:color w:val="auto"/>
              </w:rPr>
              <w:t>*</w:t>
            </w:r>
          </w:p>
        </w:tc>
      </w:tr>
      <w:tr>
        <w:trPr>
          <w:trHeight w:val="47"/>
        </w:trPr>
        <w:tc>
          <w:tcPr>
            <w:tcW w:w="3420" w:type="dxa"/>
            <w:vAlign w:val="bottom"/>
            <w:tcBorders>
              <w:bottom w:val="single" w:sz="8" w:color="7F7F7F"/>
            </w:tcBorders>
          </w:tcPr>
          <w:p>
            <w:pPr>
              <w:spacing w:after="0"/>
              <w:rPr>
                <w:sz w:val="4"/>
                <w:szCs w:val="4"/>
                <w:color w:val="auto"/>
              </w:rPr>
            </w:pPr>
          </w:p>
        </w:tc>
        <w:tc>
          <w:tcPr>
            <w:tcW w:w="2160" w:type="dxa"/>
            <w:vAlign w:val="bottom"/>
            <w:tcBorders>
              <w:bottom w:val="single" w:sz="8" w:color="7F7F7F"/>
            </w:tcBorders>
            <w:gridSpan w:val="2"/>
          </w:tcPr>
          <w:p>
            <w:pPr>
              <w:spacing w:after="0"/>
              <w:rPr>
                <w:sz w:val="4"/>
                <w:szCs w:val="4"/>
                <w:color w:val="auto"/>
              </w:rPr>
            </w:pPr>
          </w:p>
        </w:tc>
        <w:tc>
          <w:tcPr>
            <w:tcW w:w="2000" w:type="dxa"/>
            <w:vAlign w:val="bottom"/>
            <w:tcBorders>
              <w:bottom w:val="single" w:sz="8" w:color="7F7F7F"/>
            </w:tcBorders>
          </w:tcPr>
          <w:p>
            <w:pPr>
              <w:spacing w:after="0"/>
              <w:rPr>
                <w:sz w:val="4"/>
                <w:szCs w:val="4"/>
                <w:color w:val="auto"/>
              </w:rPr>
            </w:pPr>
          </w:p>
        </w:tc>
        <w:tc>
          <w:tcPr>
            <w:tcW w:w="162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640" w:type="dxa"/>
            <w:vAlign w:val="bottom"/>
            <w:tcBorders>
              <w:bottom w:val="single" w:sz="8" w:color="7F7F7F"/>
            </w:tcBorders>
          </w:tcPr>
          <w:p>
            <w:pPr>
              <w:spacing w:after="0"/>
              <w:rPr>
                <w:sz w:val="4"/>
                <w:szCs w:val="4"/>
                <w:color w:val="auto"/>
              </w:rPr>
            </w:pPr>
          </w:p>
        </w:tc>
      </w:tr>
      <w:tr>
        <w:trPr>
          <w:trHeight w:val="219"/>
        </w:trPr>
        <w:tc>
          <w:tcPr>
            <w:tcW w:w="3420" w:type="dxa"/>
            <w:vAlign w:val="bottom"/>
          </w:tcPr>
          <w:p>
            <w:pPr>
              <w:ind w:left="60"/>
              <w:spacing w:after="0"/>
              <w:rPr>
                <w:sz w:val="20"/>
                <w:szCs w:val="20"/>
                <w:color w:val="auto"/>
              </w:rPr>
            </w:pPr>
            <w:r>
              <w:rPr>
                <w:rFonts w:ascii="Arial" w:cs="Arial" w:eastAsia="Arial" w:hAnsi="Arial"/>
                <w:sz w:val="14"/>
                <w:szCs w:val="14"/>
                <w:color w:val="auto"/>
              </w:rPr>
              <w:t>Olivier G. Thirot</w:t>
            </w:r>
          </w:p>
        </w:tc>
        <w:tc>
          <w:tcPr>
            <w:tcW w:w="2160" w:type="dxa"/>
            <w:vAlign w:val="bottom"/>
            <w:gridSpan w:val="2"/>
          </w:tcPr>
          <w:p>
            <w:pPr>
              <w:jc w:val="right"/>
              <w:ind w:right="351"/>
              <w:spacing w:after="0"/>
              <w:rPr>
                <w:sz w:val="20"/>
                <w:szCs w:val="20"/>
                <w:color w:val="auto"/>
              </w:rPr>
            </w:pPr>
            <w:r>
              <w:rPr>
                <w:rFonts w:ascii="Arial" w:cs="Arial" w:eastAsia="Arial" w:hAnsi="Arial"/>
                <w:sz w:val="14"/>
                <w:szCs w:val="14"/>
                <w:color w:val="auto"/>
              </w:rPr>
              <w:t>175,113</w:t>
            </w:r>
          </w:p>
        </w:tc>
        <w:tc>
          <w:tcPr>
            <w:tcW w:w="2000" w:type="dxa"/>
            <w:vAlign w:val="bottom"/>
          </w:tcPr>
          <w:p>
            <w:pPr>
              <w:jc w:val="right"/>
              <w:ind w:right="671"/>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51"/>
              <w:spacing w:after="0"/>
              <w:rPr>
                <w:sz w:val="20"/>
                <w:szCs w:val="20"/>
                <w:color w:val="auto"/>
              </w:rPr>
            </w:pPr>
            <w:r>
              <w:rPr>
                <w:rFonts w:ascii="Arial" w:cs="Arial" w:eastAsia="Arial" w:hAnsi="Arial"/>
                <w:sz w:val="14"/>
                <w:szCs w:val="14"/>
                <w:color w:val="auto"/>
              </w:rPr>
              <w:t>10</w:t>
            </w:r>
          </w:p>
        </w:tc>
        <w:tc>
          <w:tcPr>
            <w:tcW w:w="780" w:type="dxa"/>
            <w:vAlign w:val="bottom"/>
          </w:tcPr>
          <w:p>
            <w:pPr>
              <w:spacing w:after="0"/>
              <w:rPr>
                <w:sz w:val="19"/>
                <w:szCs w:val="19"/>
                <w:color w:val="auto"/>
              </w:rPr>
            </w:pPr>
          </w:p>
        </w:tc>
        <w:tc>
          <w:tcPr>
            <w:tcW w:w="640" w:type="dxa"/>
            <w:vAlign w:val="bottom"/>
          </w:tcPr>
          <w:p>
            <w:pPr>
              <w:jc w:val="right"/>
              <w:ind w:right="271"/>
              <w:spacing w:after="0"/>
              <w:rPr>
                <w:sz w:val="20"/>
                <w:szCs w:val="20"/>
                <w:color w:val="auto"/>
              </w:rPr>
            </w:pPr>
            <w:r>
              <w:rPr>
                <w:rFonts w:ascii="Arial" w:cs="Arial" w:eastAsia="Arial" w:hAnsi="Arial"/>
                <w:sz w:val="14"/>
                <w:szCs w:val="14"/>
                <w:color w:val="auto"/>
              </w:rPr>
              <w:t>*</w:t>
            </w:r>
          </w:p>
        </w:tc>
      </w:tr>
      <w:tr>
        <w:trPr>
          <w:trHeight w:val="47"/>
        </w:trPr>
        <w:tc>
          <w:tcPr>
            <w:tcW w:w="3420" w:type="dxa"/>
            <w:vAlign w:val="bottom"/>
            <w:tcBorders>
              <w:bottom w:val="single" w:sz="8" w:color="7F7F7F"/>
            </w:tcBorders>
          </w:tcPr>
          <w:p>
            <w:pPr>
              <w:spacing w:after="0"/>
              <w:rPr>
                <w:sz w:val="4"/>
                <w:szCs w:val="4"/>
                <w:color w:val="auto"/>
              </w:rPr>
            </w:pPr>
          </w:p>
        </w:tc>
        <w:tc>
          <w:tcPr>
            <w:tcW w:w="2160" w:type="dxa"/>
            <w:vAlign w:val="bottom"/>
            <w:tcBorders>
              <w:bottom w:val="single" w:sz="8" w:color="7F7F7F"/>
            </w:tcBorders>
            <w:gridSpan w:val="2"/>
          </w:tcPr>
          <w:p>
            <w:pPr>
              <w:spacing w:after="0"/>
              <w:rPr>
                <w:sz w:val="4"/>
                <w:szCs w:val="4"/>
                <w:color w:val="auto"/>
              </w:rPr>
            </w:pPr>
          </w:p>
        </w:tc>
        <w:tc>
          <w:tcPr>
            <w:tcW w:w="2000" w:type="dxa"/>
            <w:vAlign w:val="bottom"/>
            <w:tcBorders>
              <w:bottom w:val="single" w:sz="8" w:color="7F7F7F"/>
            </w:tcBorders>
          </w:tcPr>
          <w:p>
            <w:pPr>
              <w:spacing w:after="0"/>
              <w:rPr>
                <w:sz w:val="4"/>
                <w:szCs w:val="4"/>
                <w:color w:val="auto"/>
              </w:rPr>
            </w:pPr>
          </w:p>
        </w:tc>
        <w:tc>
          <w:tcPr>
            <w:tcW w:w="162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640" w:type="dxa"/>
            <w:vAlign w:val="bottom"/>
            <w:tcBorders>
              <w:bottom w:val="single" w:sz="8" w:color="7F7F7F"/>
            </w:tcBorders>
          </w:tcPr>
          <w:p>
            <w:pPr>
              <w:spacing w:after="0"/>
              <w:rPr>
                <w:sz w:val="4"/>
                <w:szCs w:val="4"/>
                <w:color w:val="auto"/>
              </w:rPr>
            </w:pPr>
          </w:p>
        </w:tc>
      </w:tr>
      <w:tr>
        <w:trPr>
          <w:trHeight w:val="219"/>
        </w:trPr>
        <w:tc>
          <w:tcPr>
            <w:tcW w:w="3420" w:type="dxa"/>
            <w:vAlign w:val="bottom"/>
          </w:tcPr>
          <w:p>
            <w:pPr>
              <w:ind w:left="60"/>
              <w:spacing w:after="0"/>
              <w:rPr>
                <w:sz w:val="20"/>
                <w:szCs w:val="20"/>
                <w:color w:val="auto"/>
              </w:rPr>
            </w:pPr>
            <w:r>
              <w:rPr>
                <w:rFonts w:ascii="Arial" w:cs="Arial" w:eastAsia="Arial" w:hAnsi="Arial"/>
                <w:sz w:val="14"/>
                <w:szCs w:val="14"/>
                <w:color w:val="auto"/>
              </w:rPr>
              <w:t>Daniel H. Malan</w:t>
            </w:r>
          </w:p>
        </w:tc>
        <w:tc>
          <w:tcPr>
            <w:tcW w:w="2160" w:type="dxa"/>
            <w:vAlign w:val="bottom"/>
            <w:gridSpan w:val="2"/>
          </w:tcPr>
          <w:p>
            <w:pPr>
              <w:jc w:val="right"/>
              <w:ind w:right="351"/>
              <w:spacing w:after="0"/>
              <w:rPr>
                <w:sz w:val="20"/>
                <w:szCs w:val="20"/>
                <w:color w:val="auto"/>
              </w:rPr>
            </w:pPr>
            <w:r>
              <w:rPr>
                <w:rFonts w:ascii="Arial" w:cs="Arial" w:eastAsia="Arial" w:hAnsi="Arial"/>
                <w:sz w:val="14"/>
                <w:szCs w:val="14"/>
                <w:color w:val="auto"/>
              </w:rPr>
              <w:t>82,563</w:t>
            </w:r>
          </w:p>
        </w:tc>
        <w:tc>
          <w:tcPr>
            <w:tcW w:w="2000" w:type="dxa"/>
            <w:vAlign w:val="bottom"/>
          </w:tcPr>
          <w:p>
            <w:pPr>
              <w:jc w:val="right"/>
              <w:ind w:right="671"/>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51"/>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9"/>
                <w:szCs w:val="19"/>
                <w:color w:val="auto"/>
              </w:rPr>
            </w:pPr>
          </w:p>
        </w:tc>
        <w:tc>
          <w:tcPr>
            <w:tcW w:w="640" w:type="dxa"/>
            <w:vAlign w:val="bottom"/>
          </w:tcPr>
          <w:p>
            <w:pPr>
              <w:jc w:val="right"/>
              <w:ind w:right="271"/>
              <w:spacing w:after="0"/>
              <w:rPr>
                <w:sz w:val="20"/>
                <w:szCs w:val="20"/>
                <w:color w:val="auto"/>
              </w:rPr>
            </w:pPr>
            <w:r>
              <w:rPr>
                <w:rFonts w:ascii="Arial" w:cs="Arial" w:eastAsia="Arial" w:hAnsi="Arial"/>
                <w:sz w:val="14"/>
                <w:szCs w:val="14"/>
                <w:color w:val="auto"/>
              </w:rPr>
              <w:t>*</w:t>
            </w:r>
          </w:p>
        </w:tc>
      </w:tr>
      <w:tr>
        <w:trPr>
          <w:trHeight w:val="47"/>
        </w:trPr>
        <w:tc>
          <w:tcPr>
            <w:tcW w:w="3420" w:type="dxa"/>
            <w:vAlign w:val="bottom"/>
            <w:tcBorders>
              <w:bottom w:val="single" w:sz="8" w:color="7F7F7F"/>
            </w:tcBorders>
          </w:tcPr>
          <w:p>
            <w:pPr>
              <w:spacing w:after="0"/>
              <w:rPr>
                <w:sz w:val="4"/>
                <w:szCs w:val="4"/>
                <w:color w:val="auto"/>
              </w:rPr>
            </w:pPr>
          </w:p>
        </w:tc>
        <w:tc>
          <w:tcPr>
            <w:tcW w:w="2160" w:type="dxa"/>
            <w:vAlign w:val="bottom"/>
            <w:tcBorders>
              <w:bottom w:val="single" w:sz="8" w:color="7F7F7F"/>
            </w:tcBorders>
            <w:gridSpan w:val="2"/>
          </w:tcPr>
          <w:p>
            <w:pPr>
              <w:spacing w:after="0"/>
              <w:rPr>
                <w:sz w:val="4"/>
                <w:szCs w:val="4"/>
                <w:color w:val="auto"/>
              </w:rPr>
            </w:pPr>
          </w:p>
        </w:tc>
        <w:tc>
          <w:tcPr>
            <w:tcW w:w="2000" w:type="dxa"/>
            <w:vAlign w:val="bottom"/>
            <w:tcBorders>
              <w:bottom w:val="single" w:sz="8" w:color="7F7F7F"/>
            </w:tcBorders>
          </w:tcPr>
          <w:p>
            <w:pPr>
              <w:spacing w:after="0"/>
              <w:rPr>
                <w:sz w:val="4"/>
                <w:szCs w:val="4"/>
                <w:color w:val="auto"/>
              </w:rPr>
            </w:pPr>
          </w:p>
        </w:tc>
        <w:tc>
          <w:tcPr>
            <w:tcW w:w="162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640" w:type="dxa"/>
            <w:vAlign w:val="bottom"/>
            <w:tcBorders>
              <w:bottom w:val="single" w:sz="8" w:color="7F7F7F"/>
            </w:tcBorders>
          </w:tcPr>
          <w:p>
            <w:pPr>
              <w:spacing w:after="0"/>
              <w:rPr>
                <w:sz w:val="4"/>
                <w:szCs w:val="4"/>
                <w:color w:val="auto"/>
              </w:rPr>
            </w:pPr>
          </w:p>
        </w:tc>
      </w:tr>
      <w:tr>
        <w:trPr>
          <w:trHeight w:val="219"/>
        </w:trPr>
        <w:tc>
          <w:tcPr>
            <w:tcW w:w="3420" w:type="dxa"/>
            <w:vAlign w:val="bottom"/>
          </w:tcPr>
          <w:p>
            <w:pPr>
              <w:ind w:left="60"/>
              <w:spacing w:after="0"/>
              <w:rPr>
                <w:sz w:val="20"/>
                <w:szCs w:val="20"/>
                <w:color w:val="auto"/>
              </w:rPr>
            </w:pPr>
            <w:r>
              <w:rPr>
                <w:rFonts w:ascii="Arial" w:cs="Arial" w:eastAsia="Arial" w:hAnsi="Arial"/>
                <w:sz w:val="14"/>
                <w:szCs w:val="14"/>
                <w:color w:val="auto"/>
              </w:rPr>
              <w:t>Vanessa P. Williams</w:t>
            </w:r>
          </w:p>
        </w:tc>
        <w:tc>
          <w:tcPr>
            <w:tcW w:w="2160" w:type="dxa"/>
            <w:vAlign w:val="bottom"/>
            <w:gridSpan w:val="2"/>
          </w:tcPr>
          <w:p>
            <w:pPr>
              <w:jc w:val="right"/>
              <w:ind w:right="351"/>
              <w:spacing w:after="0"/>
              <w:rPr>
                <w:sz w:val="20"/>
                <w:szCs w:val="20"/>
                <w:color w:val="auto"/>
              </w:rPr>
            </w:pPr>
            <w:r>
              <w:rPr>
                <w:rFonts w:ascii="Arial" w:cs="Arial" w:eastAsia="Arial" w:hAnsi="Arial"/>
                <w:sz w:val="14"/>
                <w:szCs w:val="14"/>
                <w:color w:val="auto"/>
              </w:rPr>
              <w:t>57,602</w:t>
            </w:r>
          </w:p>
        </w:tc>
        <w:tc>
          <w:tcPr>
            <w:tcW w:w="2000" w:type="dxa"/>
            <w:vAlign w:val="bottom"/>
          </w:tcPr>
          <w:p>
            <w:pPr>
              <w:jc w:val="right"/>
              <w:ind w:right="671"/>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51"/>
              <w:spacing w:after="0"/>
              <w:rPr>
                <w:sz w:val="20"/>
                <w:szCs w:val="20"/>
                <w:color w:val="auto"/>
              </w:rPr>
            </w:pPr>
            <w:r>
              <w:rPr>
                <w:rFonts w:ascii="Arial" w:cs="Arial" w:eastAsia="Arial" w:hAnsi="Arial"/>
                <w:sz w:val="14"/>
                <w:szCs w:val="14"/>
                <w:color w:val="auto"/>
              </w:rPr>
              <w:t>100</w:t>
            </w:r>
          </w:p>
        </w:tc>
        <w:tc>
          <w:tcPr>
            <w:tcW w:w="780" w:type="dxa"/>
            <w:vAlign w:val="bottom"/>
          </w:tcPr>
          <w:p>
            <w:pPr>
              <w:spacing w:after="0"/>
              <w:rPr>
                <w:sz w:val="19"/>
                <w:szCs w:val="19"/>
                <w:color w:val="auto"/>
              </w:rPr>
            </w:pPr>
          </w:p>
        </w:tc>
        <w:tc>
          <w:tcPr>
            <w:tcW w:w="640" w:type="dxa"/>
            <w:vAlign w:val="bottom"/>
          </w:tcPr>
          <w:p>
            <w:pPr>
              <w:jc w:val="right"/>
              <w:ind w:right="271"/>
              <w:spacing w:after="0"/>
              <w:rPr>
                <w:sz w:val="20"/>
                <w:szCs w:val="20"/>
                <w:color w:val="auto"/>
              </w:rPr>
            </w:pPr>
            <w:r>
              <w:rPr>
                <w:rFonts w:ascii="Arial" w:cs="Arial" w:eastAsia="Arial" w:hAnsi="Arial"/>
                <w:sz w:val="14"/>
                <w:szCs w:val="14"/>
                <w:color w:val="auto"/>
              </w:rPr>
              <w:t>*</w:t>
            </w:r>
          </w:p>
        </w:tc>
      </w:tr>
      <w:tr>
        <w:trPr>
          <w:trHeight w:val="47"/>
        </w:trPr>
        <w:tc>
          <w:tcPr>
            <w:tcW w:w="3420" w:type="dxa"/>
            <w:vAlign w:val="bottom"/>
            <w:tcBorders>
              <w:bottom w:val="single" w:sz="8" w:color="7F7F7F"/>
            </w:tcBorders>
          </w:tcPr>
          <w:p>
            <w:pPr>
              <w:spacing w:after="0"/>
              <w:rPr>
                <w:sz w:val="4"/>
                <w:szCs w:val="4"/>
                <w:color w:val="auto"/>
              </w:rPr>
            </w:pPr>
          </w:p>
        </w:tc>
        <w:tc>
          <w:tcPr>
            <w:tcW w:w="2160" w:type="dxa"/>
            <w:vAlign w:val="bottom"/>
            <w:tcBorders>
              <w:bottom w:val="single" w:sz="8" w:color="7F7F7F"/>
            </w:tcBorders>
            <w:gridSpan w:val="2"/>
          </w:tcPr>
          <w:p>
            <w:pPr>
              <w:spacing w:after="0"/>
              <w:rPr>
                <w:sz w:val="4"/>
                <w:szCs w:val="4"/>
                <w:color w:val="auto"/>
              </w:rPr>
            </w:pPr>
          </w:p>
        </w:tc>
        <w:tc>
          <w:tcPr>
            <w:tcW w:w="2000" w:type="dxa"/>
            <w:vAlign w:val="bottom"/>
            <w:tcBorders>
              <w:bottom w:val="single" w:sz="8" w:color="7F7F7F"/>
            </w:tcBorders>
          </w:tcPr>
          <w:p>
            <w:pPr>
              <w:spacing w:after="0"/>
              <w:rPr>
                <w:sz w:val="4"/>
                <w:szCs w:val="4"/>
                <w:color w:val="auto"/>
              </w:rPr>
            </w:pPr>
          </w:p>
        </w:tc>
        <w:tc>
          <w:tcPr>
            <w:tcW w:w="162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640" w:type="dxa"/>
            <w:vAlign w:val="bottom"/>
            <w:tcBorders>
              <w:bottom w:val="single" w:sz="8" w:color="7F7F7F"/>
            </w:tcBorders>
          </w:tcPr>
          <w:p>
            <w:pPr>
              <w:spacing w:after="0"/>
              <w:rPr>
                <w:sz w:val="4"/>
                <w:szCs w:val="4"/>
                <w:color w:val="auto"/>
              </w:rPr>
            </w:pPr>
          </w:p>
        </w:tc>
      </w:tr>
      <w:tr>
        <w:trPr>
          <w:trHeight w:val="266"/>
        </w:trPr>
        <w:tc>
          <w:tcPr>
            <w:tcW w:w="342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auto"/>
              </w:rPr>
              <w:t>Dinette Koolhaas</w:t>
            </w:r>
            <w:r>
              <w:rPr>
                <w:rFonts w:ascii="Arial" w:cs="Arial" w:eastAsia="Arial" w:hAnsi="Arial"/>
                <w:sz w:val="20"/>
                <w:szCs w:val="20"/>
                <w:color w:val="auto"/>
                <w:vertAlign w:val="superscript"/>
              </w:rPr>
              <w:t>(4)</w:t>
            </w:r>
          </w:p>
        </w:tc>
        <w:tc>
          <w:tcPr>
            <w:tcW w:w="2160" w:type="dxa"/>
            <w:vAlign w:val="bottom"/>
            <w:tcBorders>
              <w:bottom w:val="single" w:sz="8" w:color="7F7F7F"/>
            </w:tcBorders>
            <w:gridSpan w:val="2"/>
          </w:tcPr>
          <w:p>
            <w:pPr>
              <w:jc w:val="right"/>
              <w:ind w:right="351"/>
              <w:spacing w:after="0"/>
              <w:rPr>
                <w:sz w:val="20"/>
                <w:szCs w:val="20"/>
                <w:color w:val="auto"/>
              </w:rPr>
            </w:pPr>
            <w:r>
              <w:rPr>
                <w:rFonts w:ascii="Arial" w:cs="Arial" w:eastAsia="Arial" w:hAnsi="Arial"/>
                <w:sz w:val="14"/>
                <w:szCs w:val="14"/>
                <w:color w:val="auto"/>
              </w:rPr>
              <w:t>46,042</w:t>
            </w:r>
          </w:p>
        </w:tc>
        <w:tc>
          <w:tcPr>
            <w:tcW w:w="2000" w:type="dxa"/>
            <w:vAlign w:val="bottom"/>
            <w:tcBorders>
              <w:bottom w:val="single" w:sz="8" w:color="7F7F7F"/>
            </w:tcBorders>
          </w:tcPr>
          <w:p>
            <w:pPr>
              <w:jc w:val="right"/>
              <w:ind w:right="671"/>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7F7F7F"/>
            </w:tcBorders>
          </w:tcPr>
          <w:p>
            <w:pPr>
              <w:jc w:val="right"/>
              <w:ind w:right="55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7F7F7F"/>
            </w:tcBorders>
          </w:tcPr>
          <w:p>
            <w:pPr>
              <w:spacing w:after="0"/>
              <w:rPr>
                <w:sz w:val="23"/>
                <w:szCs w:val="23"/>
                <w:color w:val="auto"/>
              </w:rPr>
            </w:pPr>
          </w:p>
        </w:tc>
        <w:tc>
          <w:tcPr>
            <w:tcW w:w="640" w:type="dxa"/>
            <w:vAlign w:val="bottom"/>
            <w:tcBorders>
              <w:bottom w:val="single" w:sz="8" w:color="7F7F7F"/>
            </w:tcBorders>
          </w:tcPr>
          <w:p>
            <w:pPr>
              <w:jc w:val="right"/>
              <w:ind w:right="271"/>
              <w:spacing w:after="0"/>
              <w:rPr>
                <w:sz w:val="20"/>
                <w:szCs w:val="20"/>
                <w:color w:val="auto"/>
              </w:rPr>
            </w:pPr>
            <w:r>
              <w:rPr>
                <w:rFonts w:ascii="Arial" w:cs="Arial" w:eastAsia="Arial" w:hAnsi="Arial"/>
                <w:sz w:val="14"/>
                <w:szCs w:val="14"/>
                <w:color w:val="auto"/>
              </w:rPr>
              <w:t>*</w:t>
            </w:r>
          </w:p>
        </w:tc>
      </w:tr>
      <w:tr>
        <w:trPr>
          <w:trHeight w:val="192"/>
        </w:trPr>
        <w:tc>
          <w:tcPr>
            <w:tcW w:w="3420" w:type="dxa"/>
            <w:vAlign w:val="bottom"/>
          </w:tcPr>
          <w:p>
            <w:pPr>
              <w:ind w:left="60"/>
              <w:spacing w:after="0"/>
              <w:rPr>
                <w:sz w:val="20"/>
                <w:szCs w:val="20"/>
                <w:color w:val="auto"/>
              </w:rPr>
            </w:pPr>
            <w:r>
              <w:rPr>
                <w:rFonts w:ascii="Arial" w:cs="Arial" w:eastAsia="Arial" w:hAnsi="Arial"/>
                <w:sz w:val="14"/>
                <w:szCs w:val="14"/>
                <w:color w:val="auto"/>
              </w:rPr>
              <w:t>All directors and executive officers as a Group</w:t>
            </w: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7"/>
        </w:trPr>
        <w:tc>
          <w:tcPr>
            <w:tcW w:w="3420" w:type="dxa"/>
            <w:vAlign w:val="bottom"/>
          </w:tcPr>
          <w:p>
            <w:pPr>
              <w:ind w:left="60"/>
              <w:spacing w:after="0"/>
              <w:rPr>
                <w:sz w:val="20"/>
                <w:szCs w:val="20"/>
                <w:color w:val="auto"/>
              </w:rPr>
            </w:pPr>
            <w:r>
              <w:rPr>
                <w:rFonts w:ascii="Arial" w:cs="Arial" w:eastAsia="Arial" w:hAnsi="Arial"/>
                <w:sz w:val="14"/>
                <w:szCs w:val="14"/>
                <w:color w:val="auto"/>
              </w:rPr>
              <w:t>(17 persons)</w:t>
            </w:r>
          </w:p>
        </w:tc>
        <w:tc>
          <w:tcPr>
            <w:tcW w:w="2160" w:type="dxa"/>
            <w:vAlign w:val="bottom"/>
            <w:gridSpan w:val="2"/>
          </w:tcPr>
          <w:p>
            <w:pPr>
              <w:jc w:val="right"/>
              <w:ind w:right="351"/>
              <w:spacing w:after="0"/>
              <w:rPr>
                <w:sz w:val="20"/>
                <w:szCs w:val="20"/>
                <w:color w:val="auto"/>
              </w:rPr>
            </w:pPr>
            <w:r>
              <w:rPr>
                <w:rFonts w:ascii="Arial" w:cs="Arial" w:eastAsia="Arial" w:hAnsi="Arial"/>
                <w:sz w:val="14"/>
                <w:szCs w:val="14"/>
                <w:color w:val="auto"/>
              </w:rPr>
              <w:t>1,282,746</w:t>
            </w:r>
          </w:p>
        </w:tc>
        <w:tc>
          <w:tcPr>
            <w:tcW w:w="2000" w:type="dxa"/>
            <w:vAlign w:val="bottom"/>
          </w:tcPr>
          <w:p>
            <w:pPr>
              <w:jc w:val="right"/>
              <w:ind w:right="671"/>
              <w:spacing w:after="0"/>
              <w:rPr>
                <w:sz w:val="20"/>
                <w:szCs w:val="20"/>
                <w:color w:val="auto"/>
              </w:rPr>
            </w:pPr>
            <w:r>
              <w:rPr>
                <w:rFonts w:ascii="Arial" w:cs="Arial" w:eastAsia="Arial" w:hAnsi="Arial"/>
                <w:sz w:val="14"/>
                <w:szCs w:val="14"/>
                <w:color w:val="auto"/>
              </w:rPr>
              <w:t>3.9</w:t>
            </w:r>
          </w:p>
        </w:tc>
        <w:tc>
          <w:tcPr>
            <w:tcW w:w="1620" w:type="dxa"/>
            <w:vAlign w:val="bottom"/>
          </w:tcPr>
          <w:p>
            <w:pPr>
              <w:jc w:val="right"/>
              <w:ind w:right="551"/>
              <w:spacing w:after="0"/>
              <w:rPr>
                <w:sz w:val="20"/>
                <w:szCs w:val="20"/>
                <w:color w:val="auto"/>
              </w:rPr>
            </w:pPr>
            <w:r>
              <w:rPr>
                <w:rFonts w:ascii="Arial" w:cs="Arial" w:eastAsia="Arial" w:hAnsi="Arial"/>
                <w:sz w:val="14"/>
                <w:szCs w:val="14"/>
                <w:color w:val="auto"/>
              </w:rPr>
              <w:t>810</w:t>
            </w:r>
          </w:p>
        </w:tc>
        <w:tc>
          <w:tcPr>
            <w:tcW w:w="780" w:type="dxa"/>
            <w:vAlign w:val="bottom"/>
          </w:tcPr>
          <w:p>
            <w:pPr>
              <w:spacing w:after="0"/>
              <w:rPr>
                <w:sz w:val="17"/>
                <w:szCs w:val="17"/>
                <w:color w:val="auto"/>
              </w:rPr>
            </w:pPr>
          </w:p>
        </w:tc>
        <w:tc>
          <w:tcPr>
            <w:tcW w:w="640" w:type="dxa"/>
            <w:vAlign w:val="bottom"/>
          </w:tcPr>
          <w:p>
            <w:pPr>
              <w:jc w:val="right"/>
              <w:ind w:right="271"/>
              <w:spacing w:after="0"/>
              <w:rPr>
                <w:sz w:val="20"/>
                <w:szCs w:val="20"/>
                <w:color w:val="auto"/>
              </w:rPr>
            </w:pPr>
            <w:r>
              <w:rPr>
                <w:rFonts w:ascii="Arial" w:cs="Arial" w:eastAsia="Arial" w:hAnsi="Arial"/>
                <w:sz w:val="14"/>
                <w:szCs w:val="14"/>
                <w:color w:val="auto"/>
              </w:rPr>
              <w:t>0.0</w:t>
            </w:r>
          </w:p>
        </w:tc>
      </w:tr>
      <w:tr>
        <w:trPr>
          <w:trHeight w:val="47"/>
        </w:trPr>
        <w:tc>
          <w:tcPr>
            <w:tcW w:w="34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2000" w:type="dxa"/>
            <w:vAlign w:val="bottom"/>
            <w:tcBorders>
              <w:bottom w:val="single" w:sz="8" w:color="7F7F7F"/>
            </w:tcBorders>
          </w:tcPr>
          <w:p>
            <w:pPr>
              <w:spacing w:after="0"/>
              <w:rPr>
                <w:sz w:val="4"/>
                <w:szCs w:val="4"/>
                <w:color w:val="auto"/>
              </w:rPr>
            </w:pPr>
          </w:p>
        </w:tc>
        <w:tc>
          <w:tcPr>
            <w:tcW w:w="162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640" w:type="dxa"/>
            <w:vAlign w:val="bottom"/>
            <w:tcBorders>
              <w:bottom w:val="single" w:sz="8" w:color="7F7F7F"/>
            </w:tcBorders>
          </w:tcPr>
          <w:p>
            <w:pPr>
              <w:spacing w:after="0"/>
              <w:rPr>
                <w:sz w:val="4"/>
                <w:szCs w:val="4"/>
                <w:color w:val="auto"/>
              </w:rPr>
            </w:pPr>
          </w:p>
        </w:tc>
      </w:tr>
    </w:tbl>
    <w:p>
      <w:pPr>
        <w:spacing w:after="0" w:line="99" w:lineRule="exact"/>
        <w:rPr>
          <w:sz w:val="20"/>
          <w:szCs w:val="20"/>
          <w:color w:val="auto"/>
        </w:rPr>
      </w:pPr>
    </w:p>
    <w:p>
      <w:pPr>
        <w:ind w:left="620" w:right="60" w:hanging="304"/>
        <w:spacing w:after="0" w:line="232" w:lineRule="auto"/>
        <w:tabs>
          <w:tab w:leader="none" w:pos="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This information is based on the Schedule 13D (the “13D”) filed with the SEC on October 19, 2018 on behalf of the Terence E. Adderley Revocable Trust K (“Trust K”) and the three co-trustees of Trust K. Trust K was created by Terence E. Adderley, the Company’s former Chairman of the Board, during his lifetime as a revocable trust, with Mr. Adderley serving as the trustee of and retaining the right to revoke the trust during his lifetime. Mr. Adderley funded Trust K, including a gift of 3,139,940 shares of Class B Stock. Mr. Adderley died on October 9, 2018, at which time the trust became irrevocable. In accordance with the provisions of Trust K, Andrew H. Curoe, David M. Hempstead and William U. Parfet, were appointed as successor co-trustees of Trust K following Mr. Adderley’s death. They are required by the provisions of Trust K to act by majority vote to exercise voting or investment power over the Class B stock held by Trust K and have stated in the 13D that the filing is not an admission that the co-trustees are beneficial owners of such Class B stock. Mr. Curoe may be deemed the beneficial owner of an additional 42,825 shares of Class B Stock held by trusts where Mr. Curoe acts as trustee or co-trustee, including ten trusts holding 100 shares of Class B Stock each, and one trust holding 41,825 shares of Class B Stock. The business address of the Terence E. Adderley Revocable Trust K and each of Messrs. Curoe, Hempstead and Parfet is c/o Andrew H. Curoe, 6th Floor at Ford Field, 1901 St. Antoine Street, Detroit, Michigan 48226.</w:t>
      </w:r>
    </w:p>
    <w:p>
      <w:pPr>
        <w:spacing w:after="0" w:line="48" w:lineRule="exact"/>
        <w:rPr>
          <w:rFonts w:ascii="Arial" w:cs="Arial" w:eastAsia="Arial" w:hAnsi="Arial"/>
          <w:sz w:val="12"/>
          <w:szCs w:val="12"/>
          <w:color w:val="auto"/>
        </w:rPr>
      </w:pPr>
    </w:p>
    <w:p>
      <w:pPr>
        <w:ind w:left="620" w:right="180" w:hanging="304"/>
        <w:spacing w:after="0" w:line="264" w:lineRule="auto"/>
        <w:tabs>
          <w:tab w:leader="none" w:pos="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IIncludes 43,532 shares for Mr. Adolph, 24,647 shares for Mr. Corona, 43,295 shares for Mr. Cubbin, 17,175 shares for Ms. Duggirala, 15,880 shares for Ms. Johnson, and 35,597 shares for Ms. Murphy indirectly held in the Company’s Non-Employee Directors Deferred Compensation Plan.</w:t>
      </w:r>
    </w:p>
    <w:p>
      <w:pPr>
        <w:spacing w:after="0" w:line="34" w:lineRule="exact"/>
        <w:rPr>
          <w:rFonts w:ascii="Arial" w:cs="Arial" w:eastAsia="Arial" w:hAnsi="Arial"/>
          <w:sz w:val="12"/>
          <w:szCs w:val="12"/>
          <w:color w:val="auto"/>
        </w:rPr>
      </w:pPr>
    </w:p>
    <w:p>
      <w:pPr>
        <w:ind w:left="620" w:hanging="304"/>
        <w:spacing w:after="0"/>
        <w:tabs>
          <w:tab w:leader="none" w:pos="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Ms. Duggirala and Ms. Johnson were appointed to the Company’s Board of Directors on January 12, 2022.</w:t>
      </w:r>
    </w:p>
    <w:p>
      <w:pPr>
        <w:spacing w:after="0" w:line="70" w:lineRule="exact"/>
        <w:rPr>
          <w:rFonts w:ascii="Arial" w:cs="Arial" w:eastAsia="Arial" w:hAnsi="Arial"/>
          <w:sz w:val="12"/>
          <w:szCs w:val="12"/>
          <w:color w:val="auto"/>
        </w:rPr>
      </w:pPr>
    </w:p>
    <w:p>
      <w:pPr>
        <w:ind w:left="620" w:hanging="304"/>
        <w:spacing w:after="0"/>
        <w:tabs>
          <w:tab w:leader="none" w:pos="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As part of the sale of our EMEA staffing operations, Ms. Koolhaas’ employment with the Company terminated on March 31, 2024.</w:t>
      </w:r>
    </w:p>
    <w:p>
      <w:pPr>
        <w:spacing w:after="0" w:line="21" w:lineRule="exact"/>
        <w:rPr>
          <w:rFonts w:ascii="Arial" w:cs="Arial" w:eastAsia="Arial" w:hAnsi="Arial"/>
          <w:sz w:val="12"/>
          <w:szCs w:val="12"/>
          <w:color w:val="auto"/>
        </w:rPr>
      </w:pPr>
    </w:p>
    <w:p>
      <w:pPr>
        <w:ind w:left="9380" w:hanging="281"/>
        <w:spacing w:after="0"/>
        <w:tabs>
          <w:tab w:leader="none" w:pos="9380" w:val="left"/>
        </w:tabs>
        <w:numPr>
          <w:ilvl w:val="1"/>
          <w:numId w:val="27"/>
        </w:numPr>
        <w:rPr>
          <w:rFonts w:ascii="Arial" w:cs="Arial" w:eastAsia="Arial" w:hAnsi="Arial"/>
          <w:sz w:val="21"/>
          <w:szCs w:val="21"/>
          <w:color w:val="auto"/>
          <w:vertAlign w:val="subscript"/>
        </w:rPr>
      </w:pPr>
      <w:r>
        <w:rPr>
          <w:sz w:val="1"/>
          <w:szCs w:val="1"/>
          <w:color w:val="auto"/>
        </w:rPr>
        <w:drawing>
          <wp:inline distT="0" distB="0" distL="0" distR="0">
            <wp:extent cx="396240" cy="18986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1"/>
          <w:szCs w:val="21"/>
          <w:color w:val="auto"/>
          <w:vertAlign w:val="subscript"/>
        </w:rPr>
        <w:t xml:space="preserve">    </w:t>
      </w:r>
      <w:r>
        <w:rPr>
          <w:rFonts w:ascii="Arial" w:cs="Arial" w:eastAsia="Arial" w:hAnsi="Arial"/>
          <w:sz w:val="21"/>
          <w:szCs w:val="21"/>
          <w:color w:val="auto"/>
        </w:rPr>
        <w: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-134620</wp:posOffset>
            </wp:positionV>
            <wp:extent cx="8255" cy="2228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Beneficial Ownership of Shares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Delinquent Section 16(a) Reports</w:t>
      </w:r>
    </w:p>
    <w:p>
      <w:pPr>
        <w:spacing w:after="0" w:line="85" w:lineRule="exact"/>
        <w:rPr>
          <w:sz w:val="20"/>
          <w:szCs w:val="20"/>
          <w:color w:val="auto"/>
        </w:rPr>
      </w:pPr>
    </w:p>
    <w:p>
      <w:pPr>
        <w:ind w:left="320" w:right="100"/>
        <w:spacing w:after="0" w:line="319" w:lineRule="auto"/>
        <w:rPr>
          <w:sz w:val="20"/>
          <w:szCs w:val="20"/>
          <w:color w:val="auto"/>
        </w:rPr>
      </w:pPr>
      <w:r>
        <w:rPr>
          <w:rFonts w:ascii="Arial" w:cs="Arial" w:eastAsia="Arial" w:hAnsi="Arial"/>
          <w:sz w:val="14"/>
          <w:szCs w:val="14"/>
          <w:color w:val="auto"/>
        </w:rPr>
        <w:t>Section 16(a) of the Exchange Act requires the Company’s directors and certain officers, as well as persons who beneficially own more than 10% of the outstanding shares of common stock, to file reports regarding their initial stock ownership and subsequent changes to their ownership with the SEC.</w:t>
      </w:r>
    </w:p>
    <w:p>
      <w:pPr>
        <w:spacing w:after="0" w:line="1" w:lineRule="exact"/>
        <w:rPr>
          <w:sz w:val="20"/>
          <w:szCs w:val="20"/>
          <w:color w:val="auto"/>
        </w:rPr>
      </w:pPr>
    </w:p>
    <w:p>
      <w:pPr>
        <w:ind w:left="320"/>
        <w:spacing w:after="0" w:line="251" w:lineRule="auto"/>
        <w:rPr>
          <w:sz w:val="20"/>
          <w:szCs w:val="20"/>
          <w:color w:val="auto"/>
        </w:rPr>
      </w:pPr>
      <w:r>
        <w:rPr>
          <w:rFonts w:ascii="Arial" w:cs="Arial" w:eastAsia="Arial" w:hAnsi="Arial"/>
          <w:sz w:val="16"/>
          <w:szCs w:val="16"/>
          <w:color w:val="auto"/>
        </w:rPr>
        <w:t>Based solely upon a review of filings for fiscal year 2023 with the SEC and related written representations that no other reports were required, we believe that all Section 16(a) reports were filed on a timely basis, except a Form 4 for Mr. Corona due November 16, 2023, which was filed on November 17, 2023, to report his gift of 200 shares of Class A Common Stock to Oakland University on November 14, 2023.</w:t>
      </w:r>
    </w:p>
    <w:p>
      <w:pPr>
        <w:spacing w:after="0" w:line="49"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44 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860"/>
          </w:cols>
          <w:pgMar w:left="320" w:top="471" w:right="7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320" w:right="940"/>
        <w:spacing w:after="0" w:line="295" w:lineRule="auto"/>
        <w:rPr>
          <w:sz w:val="20"/>
          <w:szCs w:val="20"/>
          <w:color w:val="auto"/>
        </w:rPr>
      </w:pPr>
      <w:r>
        <w:rPr>
          <w:rFonts w:ascii="Arial" w:cs="Arial" w:eastAsia="Arial" w:hAnsi="Arial"/>
          <w:sz w:val="31"/>
          <w:szCs w:val="31"/>
          <w:b w:val="1"/>
          <w:bCs w:val="1"/>
          <w:color w:val="auto"/>
        </w:rPr>
        <w:t>Proposal 2 – Advisory Vote to Approve the Company’s Executive Compensation</w:t>
      </w:r>
    </w:p>
    <w:p>
      <w:pPr>
        <w:spacing w:after="0" w:line="181" w:lineRule="exact"/>
        <w:rPr>
          <w:sz w:val="20"/>
          <w:szCs w:val="20"/>
          <w:color w:val="auto"/>
        </w:rPr>
      </w:pPr>
    </w:p>
    <w:p>
      <w:pPr>
        <w:ind w:left="320"/>
        <w:spacing w:after="0" w:line="284" w:lineRule="auto"/>
        <w:rPr>
          <w:sz w:val="20"/>
          <w:szCs w:val="20"/>
          <w:color w:val="auto"/>
        </w:rPr>
      </w:pPr>
      <w:r>
        <w:rPr>
          <w:rFonts w:ascii="Arial" w:cs="Arial" w:eastAsia="Arial" w:hAnsi="Arial"/>
          <w:sz w:val="14"/>
          <w:szCs w:val="14"/>
          <w:color w:val="auto"/>
        </w:rPr>
        <w:t>As described in the following Compensation Discussion and Analysis, our executive compensation programs are designed to align the interests of our executive officers with those of our shareholders by tying a significant portion of the compensation they receive to Company performance, and by providing a competitive level of compensation in order to attract, retain, and reward executive officers who are critical to the long-term success of our business. Under these programs, our named executive officers are rewarded for the Company’s financial performance, individual performance, and long-term value creation, as well as to facilitate retention, and reflect market realities. Please read the Compensation Discussion and Analysis for additional details about our executive compensation programs, including information about the fiscal year 2023 compensation of our named executive officers.</w:t>
      </w:r>
    </w:p>
    <w:p>
      <w:pPr>
        <w:spacing w:after="0" w:line="28" w:lineRule="exact"/>
        <w:rPr>
          <w:sz w:val="20"/>
          <w:szCs w:val="20"/>
          <w:color w:val="auto"/>
        </w:rPr>
      </w:pPr>
    </w:p>
    <w:p>
      <w:pPr>
        <w:ind w:left="320" w:right="100"/>
        <w:spacing w:after="0" w:line="251" w:lineRule="auto"/>
        <w:rPr>
          <w:sz w:val="20"/>
          <w:szCs w:val="20"/>
          <w:color w:val="auto"/>
        </w:rPr>
      </w:pPr>
      <w:r>
        <w:rPr>
          <w:rFonts w:ascii="Arial" w:cs="Arial" w:eastAsia="Arial" w:hAnsi="Arial"/>
          <w:sz w:val="16"/>
          <w:szCs w:val="16"/>
          <w:color w:val="auto"/>
        </w:rPr>
        <w:t>As required by Section 14A of the Exchange Act, this proposal, commonly referred to as a “say-on-pay” proposal, seeks a shareholder advisory vote on our named executive officers’ compensation, as disclosed in this Proxy Statement pursuant to Item 402 of Regulation S-K and in the Compensation Discussion and Analysis, through the following resolution:</w:t>
      </w:r>
    </w:p>
    <w:p>
      <w:pPr>
        <w:spacing w:after="0" w:line="34" w:lineRule="exact"/>
        <w:rPr>
          <w:sz w:val="20"/>
          <w:szCs w:val="20"/>
          <w:color w:val="auto"/>
        </w:rPr>
      </w:pPr>
    </w:p>
    <w:p>
      <w:pPr>
        <w:ind w:left="320" w:right="260"/>
        <w:spacing w:after="0" w:line="251" w:lineRule="auto"/>
        <w:rPr>
          <w:sz w:val="20"/>
          <w:szCs w:val="20"/>
          <w:color w:val="auto"/>
        </w:rPr>
      </w:pPr>
      <w:r>
        <w:rPr>
          <w:rFonts w:ascii="Arial" w:cs="Arial" w:eastAsia="Arial" w:hAnsi="Arial"/>
          <w:sz w:val="16"/>
          <w:szCs w:val="16"/>
          <w:color w:val="auto"/>
        </w:rPr>
        <w:t>“RESOLVED, that the Company’s shareholders approve, on an advisory basis, the compensation of the named executive officers, as disclosed in the Company’s Proxy Statement for the 2024 Annual Meeting of Shareholders pursuant to the compensation disclosure rules of the SEC, including the Compensation Discussion and Analysis, the 2023 Summary Compensation Table, and the other related tables and disclosure.”</w:t>
      </w:r>
    </w:p>
    <w:p>
      <w:pPr>
        <w:spacing w:after="0" w:line="34" w:lineRule="exact"/>
        <w:rPr>
          <w:sz w:val="20"/>
          <w:szCs w:val="20"/>
          <w:color w:val="auto"/>
        </w:rPr>
      </w:pPr>
    </w:p>
    <w:p>
      <w:pPr>
        <w:ind w:left="320" w:right="160"/>
        <w:spacing w:after="0" w:line="251" w:lineRule="auto"/>
        <w:rPr>
          <w:sz w:val="20"/>
          <w:szCs w:val="20"/>
          <w:color w:val="auto"/>
        </w:rPr>
      </w:pPr>
      <w:r>
        <w:rPr>
          <w:rFonts w:ascii="Arial" w:cs="Arial" w:eastAsia="Arial" w:hAnsi="Arial"/>
          <w:sz w:val="16"/>
          <w:szCs w:val="16"/>
          <w:color w:val="auto"/>
        </w:rPr>
        <w:t>The say-on-pay vote is advisory and, therefore, not binding on the Company. Our Board of Directors and our Compensation and Talent Management Committee value the opinions of our shareholders and consider the result of the advisory vote in designing and evaluating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136525</wp:posOffset>
            </wp:positionV>
            <wp:extent cx="6773545" cy="5041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73545" cy="50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-184150</wp:posOffset>
            </wp:positionV>
            <wp:extent cx="8255" cy="2228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860"/>
          </w:cols>
          <w:pgMar w:left="320" w:top="471" w:right="7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Compensation Discussion and Analysis</w:t>
      </w:r>
    </w:p>
    <w:p>
      <w:pPr>
        <w:sectPr>
          <w:pgSz w:w="11900" w:h="16838" w:orient="portrait"/>
          <w:cols w:equalWidth="0" w:num="1">
            <w:col w:w="10940"/>
          </w:cols>
          <w:pgMar w:left="320" w:top="471" w:right="639" w:bottom="1440" w:gutter="0" w:footer="0" w:header="0"/>
        </w:sectPr>
      </w:pPr>
    </w:p>
    <w:p>
      <w:pPr>
        <w:spacing w:after="0" w:line="76" w:lineRule="exact"/>
        <w:rPr>
          <w:sz w:val="20"/>
          <w:szCs w:val="20"/>
          <w:color w:val="auto"/>
        </w:rPr>
      </w:pPr>
    </w:p>
    <w:p>
      <w:pPr>
        <w:ind w:left="320"/>
        <w:spacing w:after="0" w:line="242" w:lineRule="auto"/>
        <w:rPr>
          <w:sz w:val="20"/>
          <w:szCs w:val="20"/>
          <w:color w:val="auto"/>
        </w:rPr>
      </w:pPr>
      <w:r>
        <w:rPr>
          <w:rFonts w:ascii="Arial" w:cs="Arial" w:eastAsia="Arial" w:hAnsi="Arial"/>
          <w:sz w:val="16"/>
          <w:szCs w:val="16"/>
          <w:color w:val="auto"/>
        </w:rPr>
        <w:t>The Compensation Discussion and Analysis section of this Proxy Statement provides an overview of our executive compensation philosophy and objectives. This section describes the material elements of our executive compensation programs, the compensation decisions the Compensation and Talent Management Committee (the “Committee”) made under those programs, key factors considered, and details of the compensation paid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215900</wp:posOffset>
            </wp:positionV>
            <wp:extent cx="3230245" cy="49066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30245" cy="490664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320"/>
        <w:spacing w:after="0"/>
        <w:tabs>
          <w:tab w:leader="none" w:pos="860" w:val="left"/>
          <w:tab w:leader="none" w:pos="4880" w:val="left"/>
        </w:tabs>
        <w:rPr>
          <w:sz w:val="20"/>
          <w:szCs w:val="20"/>
          <w:color w:val="auto"/>
        </w:rPr>
      </w:pPr>
      <w:r>
        <w:rPr>
          <w:rFonts w:ascii="Arial" w:cs="Arial" w:eastAsia="Arial" w:hAnsi="Arial"/>
          <w:sz w:val="16"/>
          <w:szCs w:val="16"/>
          <w:color w:val="auto"/>
        </w:rPr>
        <w:t xml:space="preserve">    </w:t>
      </w:r>
      <w:r>
        <w:rPr>
          <w:sz w:val="20"/>
          <w:szCs w:val="20"/>
          <w:color w:val="auto"/>
        </w:rPr>
        <w:tab/>
      </w:r>
      <w:r>
        <w:rPr>
          <w:rFonts w:ascii="Arial" w:cs="Arial" w:eastAsia="Arial" w:hAnsi="Arial"/>
          <w:sz w:val="21"/>
          <w:szCs w:val="21"/>
          <w:b w:val="1"/>
          <w:bCs w:val="1"/>
          <w:color w:val="auto"/>
        </w:rPr>
        <w:t>2023 Named Executive Officers</w:t>
      </w:r>
      <w:r>
        <w:rPr>
          <w:sz w:val="20"/>
          <w:szCs w:val="20"/>
          <w:color w:val="auto"/>
        </w:rPr>
        <w:tab/>
      </w:r>
      <w:r>
        <w:rPr>
          <w:rFonts w:ascii="Arial" w:cs="Arial" w:eastAsia="Arial" w:hAnsi="Arial"/>
          <w:sz w:val="16"/>
          <w:szCs w:val="16"/>
          <w:color w:val="auto"/>
        </w:rPr>
        <w:t xml:space="preserve">    </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Our named executive officers for 2023, as defined by the</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SEC, were as follows:</w:t>
      </w:r>
    </w:p>
    <w:p>
      <w:pPr>
        <w:spacing w:after="0" w:line="231"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 </w:t>
      </w:r>
    </w:p>
    <w:p>
      <w:pPr>
        <w:spacing w:after="0" w:line="61"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Peter W. Quigley</w:t>
      </w:r>
    </w:p>
    <w:p>
      <w:pPr>
        <w:spacing w:after="0" w:line="1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President and Chief</w:t>
      </w:r>
    </w:p>
    <w:p>
      <w:pPr>
        <w:ind w:left="2300"/>
        <w:spacing w:after="0"/>
        <w:rPr>
          <w:sz w:val="20"/>
          <w:szCs w:val="20"/>
          <w:color w:val="auto"/>
        </w:rPr>
      </w:pPr>
      <w:r>
        <w:rPr>
          <w:rFonts w:ascii="Arial" w:cs="Arial" w:eastAsia="Arial" w:hAnsi="Arial"/>
          <w:sz w:val="16"/>
          <w:szCs w:val="16"/>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Olivier G. Thirot</w:t>
      </w:r>
    </w:p>
    <w:p>
      <w:pPr>
        <w:spacing w:after="0" w:line="1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Executive Vice President and Chief</w:t>
      </w:r>
    </w:p>
    <w:p>
      <w:pPr>
        <w:ind w:left="2300"/>
        <w:spacing w:after="0"/>
        <w:rPr>
          <w:sz w:val="20"/>
          <w:szCs w:val="20"/>
          <w:color w:val="auto"/>
        </w:rPr>
      </w:pPr>
      <w:r>
        <w:rPr>
          <w:rFonts w:ascii="Arial" w:cs="Arial" w:eastAsia="Arial" w:hAnsi="Arial"/>
          <w:sz w:val="16"/>
          <w:szCs w:val="16"/>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Daniel H. Malan</w:t>
      </w:r>
    </w:p>
    <w:p>
      <w:pPr>
        <w:spacing w:after="0" w:line="1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Senior Vice President and President</w:t>
      </w:r>
    </w:p>
    <w:p>
      <w:pPr>
        <w:ind w:left="2300"/>
        <w:spacing w:after="0"/>
        <w:rPr>
          <w:sz w:val="20"/>
          <w:szCs w:val="20"/>
          <w:color w:val="auto"/>
        </w:rPr>
      </w:pPr>
      <w:r>
        <w:rPr>
          <w:rFonts w:ascii="Arial" w:cs="Arial" w:eastAsia="Arial" w:hAnsi="Arial"/>
          <w:sz w:val="16"/>
          <w:szCs w:val="16"/>
          <w:color w:val="auto"/>
        </w:rPr>
        <w:t>Science, Engineering &amp; Technology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Vanessa P. Williams</w:t>
      </w:r>
    </w:p>
    <w:p>
      <w:pPr>
        <w:spacing w:after="0" w:line="1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Senior Vice President</w:t>
      </w:r>
    </w:p>
    <w:p>
      <w:pPr>
        <w:ind w:left="2300"/>
        <w:spacing w:after="0" w:line="237" w:lineRule="auto"/>
        <w:rPr>
          <w:sz w:val="20"/>
          <w:szCs w:val="20"/>
          <w:color w:val="auto"/>
        </w:rPr>
      </w:pPr>
      <w:r>
        <w:rPr>
          <w:rFonts w:ascii="Arial" w:cs="Arial" w:eastAsia="Arial" w:hAnsi="Arial"/>
          <w:sz w:val="16"/>
          <w:szCs w:val="16"/>
          <w:color w:val="auto"/>
        </w:rPr>
        <w:t>General Counsel and Corporate</w:t>
      </w:r>
    </w:p>
    <w:p>
      <w:pPr>
        <w:ind w:left="2300"/>
        <w:spacing w:after="0"/>
        <w:rPr>
          <w:sz w:val="20"/>
          <w:szCs w:val="20"/>
          <w:color w:val="auto"/>
        </w:rPr>
      </w:pPr>
      <w:r>
        <w:rPr>
          <w:rFonts w:ascii="Arial" w:cs="Arial" w:eastAsia="Arial" w:hAnsi="Arial"/>
          <w:sz w:val="16"/>
          <w:szCs w:val="16"/>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Dinette Koolhaas</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Senior Vice President and</w:t>
      </w:r>
    </w:p>
    <w:p>
      <w:pPr>
        <w:ind w:left="2300"/>
        <w:spacing w:after="0"/>
        <w:rPr>
          <w:sz w:val="20"/>
          <w:szCs w:val="20"/>
          <w:color w:val="auto"/>
        </w:rPr>
      </w:pPr>
      <w:r>
        <w:rPr>
          <w:rFonts w:ascii="Arial" w:cs="Arial" w:eastAsia="Arial" w:hAnsi="Arial"/>
          <w:sz w:val="16"/>
          <w:szCs w:val="16"/>
          <w:color w:val="auto"/>
        </w:rPr>
        <w:t>President International</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Compensation Discussion and Analysis is organized in the following sections:</w:t>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CD&amp;A 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gridSpan w:val="5"/>
          </w:tcPr>
          <w:p>
            <w:pPr>
              <w:spacing w:after="0"/>
              <w:rPr>
                <w:sz w:val="20"/>
                <w:szCs w:val="20"/>
                <w:color w:val="auto"/>
              </w:rPr>
            </w:pPr>
            <w:r>
              <w:rPr>
                <w:rFonts w:ascii="Arial" w:cs="Arial" w:eastAsia="Arial" w:hAnsi="Arial"/>
                <w:sz w:val="16"/>
                <w:szCs w:val="16"/>
                <w:b w:val="1"/>
                <w:bCs w:val="1"/>
                <w:color w:val="0000EE"/>
              </w:rPr>
              <w:t>2023 Named Executive Officers</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0A9E50"/>
              </w:rPr>
              <w:t>46</w:t>
            </w:r>
          </w:p>
        </w:tc>
      </w:tr>
      <w:tr>
        <w:trPr>
          <w:trHeight w:val="71"/>
        </w:trPr>
        <w:tc>
          <w:tcPr>
            <w:tcW w:w="1480" w:type="dxa"/>
            <w:vAlign w:val="bottom"/>
            <w:tcBorders>
              <w:top w:val="single" w:sz="8" w:color="0000EE"/>
              <w:bottom w:val="single" w:sz="8" w:color="0A9E50"/>
            </w:tcBorders>
          </w:tcPr>
          <w:p>
            <w:pPr>
              <w:spacing w:after="0"/>
              <w:rPr>
                <w:sz w:val="6"/>
                <w:szCs w:val="6"/>
                <w:color w:val="auto"/>
              </w:rPr>
            </w:pPr>
          </w:p>
        </w:tc>
        <w:tc>
          <w:tcPr>
            <w:tcW w:w="200" w:type="dxa"/>
            <w:vAlign w:val="bottom"/>
            <w:tcBorders>
              <w:top w:val="single" w:sz="8" w:color="0000EE"/>
              <w:bottom w:val="single" w:sz="8" w:color="0A9E50"/>
            </w:tcBorders>
          </w:tcPr>
          <w:p>
            <w:pPr>
              <w:spacing w:after="0"/>
              <w:rPr>
                <w:sz w:val="6"/>
                <w:szCs w:val="6"/>
                <w:color w:val="auto"/>
              </w:rPr>
            </w:pPr>
          </w:p>
        </w:tc>
        <w:tc>
          <w:tcPr>
            <w:tcW w:w="60" w:type="dxa"/>
            <w:vAlign w:val="bottom"/>
            <w:tcBorders>
              <w:top w:val="single" w:sz="8" w:color="0000EE"/>
              <w:bottom w:val="single" w:sz="8" w:color="0A9E50"/>
            </w:tcBorders>
          </w:tcPr>
          <w:p>
            <w:pPr>
              <w:spacing w:after="0"/>
              <w:rPr>
                <w:sz w:val="6"/>
                <w:szCs w:val="6"/>
                <w:color w:val="auto"/>
              </w:rPr>
            </w:pPr>
          </w:p>
        </w:tc>
        <w:tc>
          <w:tcPr>
            <w:tcW w:w="580" w:type="dxa"/>
            <w:vAlign w:val="bottom"/>
            <w:tcBorders>
              <w:top w:val="single" w:sz="8" w:color="0000EE"/>
              <w:bottom w:val="single" w:sz="8" w:color="0A9E50"/>
            </w:tcBorders>
          </w:tcPr>
          <w:p>
            <w:pPr>
              <w:spacing w:after="0"/>
              <w:rPr>
                <w:sz w:val="6"/>
                <w:szCs w:val="6"/>
                <w:color w:val="auto"/>
              </w:rPr>
            </w:pPr>
          </w:p>
        </w:tc>
        <w:tc>
          <w:tcPr>
            <w:tcW w:w="2160" w:type="dxa"/>
            <w:vAlign w:val="bottom"/>
            <w:tcBorders>
              <w:bottom w:val="single" w:sz="8" w:color="0A9E50"/>
            </w:tcBorders>
          </w:tcPr>
          <w:p>
            <w:pPr>
              <w:spacing w:after="0"/>
              <w:rPr>
                <w:sz w:val="6"/>
                <w:szCs w:val="6"/>
                <w:color w:val="auto"/>
              </w:rPr>
            </w:pPr>
          </w:p>
        </w:tc>
        <w:tc>
          <w:tcPr>
            <w:tcW w:w="720" w:type="dxa"/>
            <w:vAlign w:val="bottom"/>
            <w:tcBorders>
              <w:bottom w:val="single" w:sz="8" w:color="0A9E50"/>
            </w:tcBorders>
          </w:tcPr>
          <w:p>
            <w:pPr>
              <w:spacing w:after="0"/>
              <w:rPr>
                <w:sz w:val="6"/>
                <w:szCs w:val="6"/>
                <w:color w:val="auto"/>
              </w:rPr>
            </w:pPr>
          </w:p>
        </w:tc>
      </w:tr>
      <w:tr>
        <w:trPr>
          <w:trHeight w:val="162"/>
        </w:trPr>
        <w:tc>
          <w:tcPr>
            <w:tcW w:w="4480" w:type="dxa"/>
            <w:vAlign w:val="bottom"/>
            <w:gridSpan w:val="5"/>
          </w:tcPr>
          <w:p>
            <w:pPr>
              <w:spacing w:after="0" w:line="162" w:lineRule="exact"/>
              <w:rPr>
                <w:sz w:val="20"/>
                <w:szCs w:val="20"/>
                <w:color w:val="auto"/>
              </w:rPr>
            </w:pPr>
            <w:r>
              <w:rPr>
                <w:rFonts w:ascii="Arial" w:cs="Arial" w:eastAsia="Arial" w:hAnsi="Arial"/>
                <w:sz w:val="16"/>
                <w:szCs w:val="16"/>
                <w:b w:val="1"/>
                <w:bCs w:val="1"/>
                <w:color w:val="0000EE"/>
              </w:rPr>
              <w:t>Executive Summary</w:t>
            </w:r>
          </w:p>
        </w:tc>
        <w:tc>
          <w:tcPr>
            <w:tcW w:w="720" w:type="dxa"/>
            <w:vAlign w:val="bottom"/>
          </w:tcPr>
          <w:p>
            <w:pPr>
              <w:jc w:val="right"/>
              <w:spacing w:after="0" w:line="162" w:lineRule="exact"/>
              <w:rPr>
                <w:sz w:val="20"/>
                <w:szCs w:val="20"/>
                <w:color w:val="auto"/>
              </w:rPr>
            </w:pPr>
            <w:r>
              <w:rPr>
                <w:rFonts w:ascii="Arial" w:cs="Arial" w:eastAsia="Arial" w:hAnsi="Arial"/>
                <w:sz w:val="16"/>
                <w:szCs w:val="16"/>
                <w:b w:val="1"/>
                <w:bCs w:val="1"/>
                <w:color w:val="0A9E50"/>
              </w:rPr>
              <w:t>48</w:t>
            </w:r>
          </w:p>
        </w:tc>
      </w:tr>
      <w:tr>
        <w:trPr>
          <w:trHeight w:val="71"/>
        </w:trPr>
        <w:tc>
          <w:tcPr>
            <w:tcW w:w="1480" w:type="dxa"/>
            <w:vAlign w:val="bottom"/>
            <w:tcBorders>
              <w:top w:val="single" w:sz="8" w:color="0000EE"/>
              <w:bottom w:val="single" w:sz="8" w:color="0A9E50"/>
            </w:tcBorders>
          </w:tcPr>
          <w:p>
            <w:pPr>
              <w:spacing w:after="0"/>
              <w:rPr>
                <w:sz w:val="6"/>
                <w:szCs w:val="6"/>
                <w:color w:val="auto"/>
              </w:rPr>
            </w:pPr>
          </w:p>
        </w:tc>
        <w:tc>
          <w:tcPr>
            <w:tcW w:w="200" w:type="dxa"/>
            <w:vAlign w:val="bottom"/>
            <w:tcBorders>
              <w:bottom w:val="single" w:sz="8" w:color="0A9E50"/>
            </w:tcBorders>
          </w:tcPr>
          <w:p>
            <w:pPr>
              <w:spacing w:after="0"/>
              <w:rPr>
                <w:sz w:val="6"/>
                <w:szCs w:val="6"/>
                <w:color w:val="auto"/>
              </w:rPr>
            </w:pPr>
          </w:p>
        </w:tc>
        <w:tc>
          <w:tcPr>
            <w:tcW w:w="60" w:type="dxa"/>
            <w:vAlign w:val="bottom"/>
            <w:tcBorders>
              <w:bottom w:val="single" w:sz="8" w:color="0A9E50"/>
            </w:tcBorders>
          </w:tcPr>
          <w:p>
            <w:pPr>
              <w:spacing w:after="0"/>
              <w:rPr>
                <w:sz w:val="6"/>
                <w:szCs w:val="6"/>
                <w:color w:val="auto"/>
              </w:rPr>
            </w:pPr>
          </w:p>
        </w:tc>
        <w:tc>
          <w:tcPr>
            <w:tcW w:w="580" w:type="dxa"/>
            <w:vAlign w:val="bottom"/>
            <w:tcBorders>
              <w:bottom w:val="single" w:sz="8" w:color="0A9E50"/>
            </w:tcBorders>
          </w:tcPr>
          <w:p>
            <w:pPr>
              <w:spacing w:after="0"/>
              <w:rPr>
                <w:sz w:val="6"/>
                <w:szCs w:val="6"/>
                <w:color w:val="auto"/>
              </w:rPr>
            </w:pPr>
          </w:p>
        </w:tc>
        <w:tc>
          <w:tcPr>
            <w:tcW w:w="2160" w:type="dxa"/>
            <w:vAlign w:val="bottom"/>
            <w:tcBorders>
              <w:bottom w:val="single" w:sz="8" w:color="0A9E50"/>
            </w:tcBorders>
          </w:tcPr>
          <w:p>
            <w:pPr>
              <w:spacing w:after="0"/>
              <w:rPr>
                <w:sz w:val="6"/>
                <w:szCs w:val="6"/>
                <w:color w:val="auto"/>
              </w:rPr>
            </w:pPr>
          </w:p>
        </w:tc>
        <w:tc>
          <w:tcPr>
            <w:tcW w:w="720" w:type="dxa"/>
            <w:vAlign w:val="bottom"/>
            <w:tcBorders>
              <w:bottom w:val="single" w:sz="8" w:color="0A9E50"/>
            </w:tcBorders>
          </w:tcPr>
          <w:p>
            <w:pPr>
              <w:spacing w:after="0"/>
              <w:rPr>
                <w:sz w:val="6"/>
                <w:szCs w:val="6"/>
                <w:color w:val="auto"/>
              </w:rPr>
            </w:pPr>
          </w:p>
        </w:tc>
      </w:tr>
      <w:tr>
        <w:trPr>
          <w:trHeight w:val="149"/>
        </w:trPr>
        <w:tc>
          <w:tcPr>
            <w:tcW w:w="1740" w:type="dxa"/>
            <w:vAlign w:val="bottom"/>
            <w:tcBorders>
              <w:bottom w:val="single" w:sz="8" w:color="0000EE"/>
            </w:tcBorders>
            <w:gridSpan w:val="3"/>
          </w:tcPr>
          <w:p>
            <w:pPr>
              <w:spacing w:after="0" w:line="149" w:lineRule="exact"/>
              <w:rPr>
                <w:sz w:val="20"/>
                <w:szCs w:val="20"/>
                <w:color w:val="auto"/>
              </w:rPr>
            </w:pPr>
            <w:r>
              <w:rPr>
                <w:rFonts w:ascii="Arial" w:cs="Arial" w:eastAsia="Arial" w:hAnsi="Arial"/>
                <w:sz w:val="16"/>
                <w:szCs w:val="16"/>
                <w:color w:val="0000EE"/>
                <w:w w:val="96"/>
              </w:rPr>
              <w:t>Fiscal 2023 Performance</w:t>
            </w:r>
          </w:p>
        </w:tc>
        <w:tc>
          <w:tcPr>
            <w:tcW w:w="2740" w:type="dxa"/>
            <w:vAlign w:val="bottom"/>
            <w:gridSpan w:val="2"/>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6"/>
                <w:szCs w:val="16"/>
                <w:color w:val="auto"/>
              </w:rPr>
              <w:t>48</w:t>
            </w:r>
          </w:p>
        </w:tc>
      </w:tr>
      <w:tr>
        <w:trPr>
          <w:trHeight w:val="227"/>
        </w:trPr>
        <w:tc>
          <w:tcPr>
            <w:tcW w:w="448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7"/>
              </w:rPr>
              <w:t>Key Executive Compensation Program Highlights for Fiscal 2023</w:t>
            </w:r>
          </w:p>
        </w:tc>
        <w:tc>
          <w:tcPr>
            <w:tcW w:w="7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27"/>
        </w:trPr>
        <w:tc>
          <w:tcPr>
            <w:tcW w:w="168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5"/>
              </w:rPr>
              <w:t>Annual Say on Pay Vote</w:t>
            </w:r>
          </w:p>
        </w:tc>
        <w:tc>
          <w:tcPr>
            <w:tcW w:w="2800" w:type="dxa"/>
            <w:vAlign w:val="bottom"/>
            <w:gridSpan w:val="3"/>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w:t>
            </w:r>
          </w:p>
        </w:tc>
      </w:tr>
    </w:tbl>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gridSpan w:val="5"/>
          </w:tcPr>
          <w:p>
            <w:pPr>
              <w:spacing w:after="0"/>
              <w:rPr>
                <w:sz w:val="20"/>
                <w:szCs w:val="20"/>
                <w:color w:val="auto"/>
              </w:rPr>
            </w:pPr>
            <w:r>
              <w:rPr>
                <w:rFonts w:ascii="Arial" w:cs="Arial" w:eastAsia="Arial" w:hAnsi="Arial"/>
                <w:sz w:val="16"/>
                <w:szCs w:val="16"/>
                <w:b w:val="1"/>
                <w:bCs w:val="1"/>
                <w:color w:val="0000EE"/>
              </w:rPr>
              <w:t>Executive Compensation Philosophy, Objectives, and Design</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0A9E50"/>
              </w:rPr>
              <w:t>50</w:t>
            </w:r>
          </w:p>
        </w:tc>
      </w:tr>
      <w:tr>
        <w:trPr>
          <w:trHeight w:val="71"/>
        </w:trPr>
        <w:tc>
          <w:tcPr>
            <w:tcW w:w="2160" w:type="dxa"/>
            <w:vAlign w:val="bottom"/>
            <w:tcBorders>
              <w:top w:val="single" w:sz="8" w:color="0000EE"/>
              <w:bottom w:val="single" w:sz="8" w:color="0A9E50"/>
            </w:tcBorders>
          </w:tcPr>
          <w:p>
            <w:pPr>
              <w:spacing w:after="0"/>
              <w:rPr>
                <w:sz w:val="6"/>
                <w:szCs w:val="6"/>
                <w:color w:val="auto"/>
              </w:rPr>
            </w:pPr>
          </w:p>
        </w:tc>
        <w:tc>
          <w:tcPr>
            <w:tcW w:w="1360" w:type="dxa"/>
            <w:vAlign w:val="bottom"/>
            <w:tcBorders>
              <w:top w:val="single" w:sz="8" w:color="0000EE"/>
              <w:bottom w:val="single" w:sz="8" w:color="0A9E50"/>
            </w:tcBorders>
          </w:tcPr>
          <w:p>
            <w:pPr>
              <w:spacing w:after="0"/>
              <w:rPr>
                <w:sz w:val="6"/>
                <w:szCs w:val="6"/>
                <w:color w:val="auto"/>
              </w:rPr>
            </w:pPr>
          </w:p>
        </w:tc>
        <w:tc>
          <w:tcPr>
            <w:tcW w:w="420" w:type="dxa"/>
            <w:vAlign w:val="bottom"/>
            <w:tcBorders>
              <w:top w:val="single" w:sz="8" w:color="0000EE"/>
              <w:bottom w:val="single" w:sz="8" w:color="0A9E50"/>
            </w:tcBorders>
          </w:tcPr>
          <w:p>
            <w:pPr>
              <w:spacing w:after="0"/>
              <w:rPr>
                <w:sz w:val="6"/>
                <w:szCs w:val="6"/>
                <w:color w:val="auto"/>
              </w:rPr>
            </w:pPr>
          </w:p>
        </w:tc>
        <w:tc>
          <w:tcPr>
            <w:tcW w:w="580" w:type="dxa"/>
            <w:vAlign w:val="bottom"/>
            <w:tcBorders>
              <w:top w:val="single" w:sz="8" w:color="0000EE"/>
              <w:bottom w:val="single" w:sz="8" w:color="0A9E50"/>
            </w:tcBorders>
          </w:tcPr>
          <w:p>
            <w:pPr>
              <w:spacing w:after="0"/>
              <w:rPr>
                <w:sz w:val="6"/>
                <w:szCs w:val="6"/>
                <w:color w:val="auto"/>
              </w:rPr>
            </w:pPr>
          </w:p>
        </w:tc>
        <w:tc>
          <w:tcPr>
            <w:tcW w:w="220" w:type="dxa"/>
            <w:vAlign w:val="bottom"/>
            <w:tcBorders>
              <w:bottom w:val="single" w:sz="8" w:color="0A9E50"/>
            </w:tcBorders>
          </w:tcPr>
          <w:p>
            <w:pPr>
              <w:spacing w:after="0"/>
              <w:rPr>
                <w:sz w:val="6"/>
                <w:szCs w:val="6"/>
                <w:color w:val="auto"/>
              </w:rPr>
            </w:pPr>
          </w:p>
        </w:tc>
        <w:tc>
          <w:tcPr>
            <w:tcW w:w="460" w:type="dxa"/>
            <w:vAlign w:val="bottom"/>
            <w:tcBorders>
              <w:bottom w:val="single" w:sz="8" w:color="0A9E50"/>
            </w:tcBorders>
          </w:tcPr>
          <w:p>
            <w:pPr>
              <w:spacing w:after="0"/>
              <w:rPr>
                <w:sz w:val="6"/>
                <w:szCs w:val="6"/>
                <w:color w:val="auto"/>
              </w:rPr>
            </w:pPr>
          </w:p>
        </w:tc>
      </w:tr>
      <w:tr>
        <w:trPr>
          <w:trHeight w:val="149"/>
        </w:trPr>
        <w:tc>
          <w:tcPr>
            <w:tcW w:w="3520" w:type="dxa"/>
            <w:vAlign w:val="bottom"/>
            <w:tcBorders>
              <w:bottom w:val="single" w:sz="8" w:color="0000EE"/>
            </w:tcBorders>
            <w:gridSpan w:val="2"/>
          </w:tcPr>
          <w:p>
            <w:pPr>
              <w:spacing w:after="0" w:line="149" w:lineRule="exact"/>
              <w:rPr>
                <w:sz w:val="20"/>
                <w:szCs w:val="20"/>
                <w:color w:val="auto"/>
              </w:rPr>
            </w:pPr>
            <w:r>
              <w:rPr>
                <w:rFonts w:ascii="Arial" w:cs="Arial" w:eastAsia="Arial" w:hAnsi="Arial"/>
                <w:sz w:val="16"/>
                <w:szCs w:val="16"/>
                <w:color w:val="0000EE"/>
                <w:w w:val="96"/>
              </w:rPr>
              <w:t>CEO and Other Named Executive Officers Pay Mix</w:t>
            </w:r>
          </w:p>
        </w:tc>
        <w:tc>
          <w:tcPr>
            <w:tcW w:w="1220" w:type="dxa"/>
            <w:vAlign w:val="bottom"/>
            <w:gridSpan w:val="3"/>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6"/>
                <w:szCs w:val="16"/>
                <w:color w:val="auto"/>
              </w:rPr>
              <w:t>50</w:t>
            </w:r>
          </w:p>
        </w:tc>
      </w:tr>
      <w:tr>
        <w:trPr>
          <w:trHeight w:val="227"/>
        </w:trPr>
        <w:tc>
          <w:tcPr>
            <w:tcW w:w="4740" w:type="dxa"/>
            <w:vAlign w:val="bottom"/>
            <w:gridSpan w:val="5"/>
          </w:tcPr>
          <w:p>
            <w:pPr>
              <w:spacing w:after="0"/>
              <w:rPr>
                <w:sz w:val="20"/>
                <w:szCs w:val="20"/>
                <w:color w:val="auto"/>
              </w:rPr>
            </w:pPr>
            <w:r>
              <w:rPr>
                <w:rFonts w:ascii="Arial" w:cs="Arial" w:eastAsia="Arial" w:hAnsi="Arial"/>
                <w:sz w:val="16"/>
                <w:szCs w:val="16"/>
                <w:color w:val="0000EE"/>
              </w:rPr>
              <w:t>Elements of Compensation for Named Executive Officers</w:t>
            </w:r>
          </w:p>
        </w:tc>
        <w:tc>
          <w:tcPr>
            <w:tcW w:w="4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27"/>
        </w:trPr>
        <w:tc>
          <w:tcPr>
            <w:tcW w:w="394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0000EE"/>
              </w:rPr>
              <w:t>2024 Executive Incentive Plans</w:t>
            </w:r>
          </w:p>
        </w:tc>
        <w:tc>
          <w:tcPr>
            <w:tcW w:w="800" w:type="dxa"/>
            <w:vAlign w:val="bottom"/>
            <w:gridSpan w:val="2"/>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0"/>
        </w:trPr>
        <w:tc>
          <w:tcPr>
            <w:tcW w:w="21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gridSpan w:val="18"/>
          </w:tcPr>
          <w:p>
            <w:pPr>
              <w:spacing w:after="0"/>
              <w:rPr>
                <w:sz w:val="20"/>
                <w:szCs w:val="20"/>
                <w:color w:val="auto"/>
              </w:rPr>
            </w:pPr>
            <w:r>
              <w:rPr>
                <w:rFonts w:ascii="Arial" w:cs="Arial" w:eastAsia="Arial" w:hAnsi="Arial"/>
                <w:sz w:val="16"/>
                <w:szCs w:val="16"/>
                <w:b w:val="1"/>
                <w:bCs w:val="1"/>
                <w:color w:val="0000EE"/>
              </w:rPr>
              <w:t>Process for Determining Executive Compensation</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A9E50"/>
              </w:rPr>
              <w:t>52</w:t>
            </w:r>
          </w:p>
        </w:tc>
        <w:tc>
          <w:tcPr>
            <w:tcW w:w="0" w:type="dxa"/>
            <w:vAlign w:val="bottom"/>
          </w:tcPr>
          <w:p>
            <w:pPr>
              <w:spacing w:after="0"/>
              <w:rPr>
                <w:sz w:val="1"/>
                <w:szCs w:val="1"/>
                <w:color w:val="auto"/>
              </w:rPr>
            </w:pPr>
          </w:p>
        </w:tc>
      </w:tr>
      <w:tr>
        <w:trPr>
          <w:trHeight w:val="71"/>
        </w:trPr>
        <w:tc>
          <w:tcPr>
            <w:tcW w:w="7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360" w:type="dxa"/>
            <w:vAlign w:val="bottom"/>
            <w:tcBorders>
              <w:top w:val="single" w:sz="8" w:color="0000EE"/>
              <w:bottom w:val="single" w:sz="8" w:color="0A9E50"/>
            </w:tcBorders>
          </w:tcPr>
          <w:p>
            <w:pPr>
              <w:spacing w:after="0"/>
              <w:rPr>
                <w:sz w:val="6"/>
                <w:szCs w:val="6"/>
                <w:color w:val="auto"/>
              </w:rPr>
            </w:pPr>
          </w:p>
        </w:tc>
        <w:tc>
          <w:tcPr>
            <w:tcW w:w="1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34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30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1180" w:type="dxa"/>
            <w:vAlign w:val="bottom"/>
            <w:tcBorders>
              <w:top w:val="single" w:sz="8" w:color="0000EE"/>
              <w:bottom w:val="single" w:sz="8" w:color="0A9E50"/>
            </w:tcBorders>
          </w:tcPr>
          <w:p>
            <w:pPr>
              <w:spacing w:after="0"/>
              <w:rPr>
                <w:sz w:val="6"/>
                <w:szCs w:val="6"/>
                <w:color w:val="auto"/>
              </w:rPr>
            </w:pPr>
          </w:p>
        </w:tc>
        <w:tc>
          <w:tcPr>
            <w:tcW w:w="200" w:type="dxa"/>
            <w:vAlign w:val="bottom"/>
            <w:tcBorders>
              <w:top w:val="single" w:sz="8" w:color="0000EE"/>
              <w:bottom w:val="single" w:sz="8" w:color="0A9E50"/>
            </w:tcBorders>
          </w:tcPr>
          <w:p>
            <w:pPr>
              <w:spacing w:after="0"/>
              <w:rPr>
                <w:sz w:val="6"/>
                <w:szCs w:val="6"/>
                <w:color w:val="auto"/>
              </w:rPr>
            </w:pPr>
          </w:p>
        </w:tc>
        <w:tc>
          <w:tcPr>
            <w:tcW w:w="60" w:type="dxa"/>
            <w:vAlign w:val="bottom"/>
            <w:tcBorders>
              <w:bottom w:val="single" w:sz="8" w:color="0A9E50"/>
            </w:tcBorders>
          </w:tcPr>
          <w:p>
            <w:pPr>
              <w:spacing w:after="0"/>
              <w:rPr>
                <w:sz w:val="6"/>
                <w:szCs w:val="6"/>
                <w:color w:val="auto"/>
              </w:rPr>
            </w:pPr>
          </w:p>
        </w:tc>
        <w:tc>
          <w:tcPr>
            <w:tcW w:w="160" w:type="dxa"/>
            <w:vAlign w:val="bottom"/>
            <w:tcBorders>
              <w:bottom w:val="single" w:sz="8" w:color="0A9E50"/>
            </w:tcBorders>
          </w:tcPr>
          <w:p>
            <w:pPr>
              <w:spacing w:after="0"/>
              <w:rPr>
                <w:sz w:val="6"/>
                <w:szCs w:val="6"/>
                <w:color w:val="auto"/>
              </w:rPr>
            </w:pPr>
          </w:p>
        </w:tc>
        <w:tc>
          <w:tcPr>
            <w:tcW w:w="280" w:type="dxa"/>
            <w:vAlign w:val="bottom"/>
            <w:tcBorders>
              <w:bottom w:val="single" w:sz="8" w:color="0A9E50"/>
            </w:tcBorders>
          </w:tcPr>
          <w:p>
            <w:pPr>
              <w:spacing w:after="0"/>
              <w:rPr>
                <w:sz w:val="6"/>
                <w:szCs w:val="6"/>
                <w:color w:val="auto"/>
              </w:rPr>
            </w:pPr>
          </w:p>
        </w:tc>
        <w:tc>
          <w:tcPr>
            <w:tcW w:w="80" w:type="dxa"/>
            <w:vAlign w:val="bottom"/>
            <w:tcBorders>
              <w:bottom w:val="single" w:sz="8" w:color="0A9E50"/>
            </w:tcBorders>
          </w:tcPr>
          <w:p>
            <w:pPr>
              <w:spacing w:after="0"/>
              <w:rPr>
                <w:sz w:val="6"/>
                <w:szCs w:val="6"/>
                <w:color w:val="auto"/>
              </w:rPr>
            </w:pPr>
          </w:p>
        </w:tc>
        <w:tc>
          <w:tcPr>
            <w:tcW w:w="40" w:type="dxa"/>
            <w:vAlign w:val="bottom"/>
            <w:tcBorders>
              <w:bottom w:val="single" w:sz="8" w:color="0A9E50"/>
            </w:tcBorders>
          </w:tcPr>
          <w:p>
            <w:pPr>
              <w:spacing w:after="0"/>
              <w:rPr>
                <w:sz w:val="6"/>
                <w:szCs w:val="6"/>
                <w:color w:val="auto"/>
              </w:rPr>
            </w:pPr>
          </w:p>
        </w:tc>
        <w:tc>
          <w:tcPr>
            <w:tcW w:w="880" w:type="dxa"/>
            <w:vAlign w:val="bottom"/>
            <w:tcBorders>
              <w:bottom w:val="single" w:sz="8" w:color="0A9E50"/>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320" w:type="dxa"/>
            <w:vAlign w:val="bottom"/>
            <w:tcBorders>
              <w:bottom w:val="single" w:sz="8" w:color="0000EE"/>
            </w:tcBorders>
            <w:gridSpan w:val="18"/>
          </w:tcPr>
          <w:p>
            <w:pPr>
              <w:spacing w:after="0" w:line="149" w:lineRule="exact"/>
              <w:rPr>
                <w:sz w:val="20"/>
                <w:szCs w:val="20"/>
                <w:color w:val="auto"/>
              </w:rPr>
            </w:pPr>
            <w:r>
              <w:rPr>
                <w:rFonts w:ascii="Arial" w:cs="Arial" w:eastAsia="Arial" w:hAnsi="Arial"/>
                <w:sz w:val="16"/>
                <w:szCs w:val="16"/>
                <w:color w:val="0000EE"/>
                <w:w w:val="96"/>
              </w:rPr>
              <w:t>Role of the Compensation and Talent Management Committee</w:t>
            </w:r>
          </w:p>
        </w:tc>
        <w:tc>
          <w:tcPr>
            <w:tcW w:w="880" w:type="dxa"/>
            <w:vAlign w:val="bottom"/>
          </w:tcPr>
          <w:p>
            <w:pPr>
              <w:jc w:val="right"/>
              <w:spacing w:after="0" w:line="149"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7"/>
        </w:trPr>
        <w:tc>
          <w:tcPr>
            <w:tcW w:w="4320" w:type="dxa"/>
            <w:vAlign w:val="bottom"/>
            <w:gridSpan w:val="18"/>
          </w:tcPr>
          <w:p>
            <w:pPr>
              <w:spacing w:after="0"/>
              <w:rPr>
                <w:sz w:val="20"/>
                <w:szCs w:val="20"/>
                <w:color w:val="auto"/>
              </w:rPr>
            </w:pPr>
            <w:r>
              <w:rPr>
                <w:rFonts w:ascii="Arial" w:cs="Arial" w:eastAsia="Arial" w:hAnsi="Arial"/>
                <w:sz w:val="16"/>
                <w:szCs w:val="16"/>
                <w:color w:val="0000EE"/>
              </w:rPr>
              <w:t>Role of the Independent Compensation Consultant</w:t>
            </w:r>
          </w:p>
        </w:tc>
        <w:tc>
          <w:tcPr>
            <w:tcW w:w="8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7"/>
        </w:trPr>
        <w:tc>
          <w:tcPr>
            <w:tcW w:w="3500" w:type="dxa"/>
            <w:vAlign w:val="bottom"/>
            <w:tcBorders>
              <w:top w:val="single" w:sz="8" w:color="0000EE"/>
            </w:tcBorders>
            <w:gridSpan w:val="12"/>
          </w:tcPr>
          <w:p>
            <w:pPr>
              <w:spacing w:after="0"/>
              <w:rPr>
                <w:sz w:val="20"/>
                <w:szCs w:val="20"/>
                <w:color w:val="auto"/>
              </w:rPr>
            </w:pPr>
            <w:r>
              <w:rPr>
                <w:rFonts w:ascii="Arial" w:cs="Arial" w:eastAsia="Arial" w:hAnsi="Arial"/>
                <w:sz w:val="16"/>
                <w:szCs w:val="16"/>
                <w:color w:val="0000EE"/>
              </w:rPr>
              <w:t>Role of Management</w:t>
            </w:r>
          </w:p>
        </w:tc>
        <w:tc>
          <w:tcPr>
            <w:tcW w:w="820" w:type="dxa"/>
            <w:vAlign w:val="bottom"/>
            <w:gridSpan w:val="6"/>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7"/>
        </w:trPr>
        <w:tc>
          <w:tcPr>
            <w:tcW w:w="12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color w:val="0000EE"/>
                <w:w w:val="96"/>
              </w:rPr>
              <w:t>Comparator Data</w:t>
            </w:r>
          </w:p>
        </w:tc>
        <w:tc>
          <w:tcPr>
            <w:tcW w:w="240" w:type="dxa"/>
            <w:vAlign w:val="bottom"/>
            <w:tcBorders>
              <w:top w:val="single" w:sz="8" w:color="0000EE"/>
            </w:tcBorders>
            <w:gridSpan w:val="2"/>
          </w:tcPr>
          <w:p>
            <w:pPr>
              <w:spacing w:after="0"/>
              <w:rPr>
                <w:sz w:val="19"/>
                <w:szCs w:val="19"/>
                <w:color w:val="auto"/>
              </w:rPr>
            </w:pPr>
          </w:p>
        </w:tc>
        <w:tc>
          <w:tcPr>
            <w:tcW w:w="2880" w:type="dxa"/>
            <w:vAlign w:val="bottom"/>
            <w:gridSpan w:val="13"/>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27"/>
        </w:trPr>
        <w:tc>
          <w:tcPr>
            <w:tcW w:w="432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w w:val="97"/>
              </w:rPr>
              <w:t>Senior Officer Performance Reviews and Succession Planning</w:t>
            </w:r>
          </w:p>
        </w:tc>
        <w:tc>
          <w:tcPr>
            <w:tcW w:w="88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53"/>
        </w:trPr>
        <w:tc>
          <w:tcPr>
            <w:tcW w:w="4320" w:type="dxa"/>
            <w:vAlign w:val="bottom"/>
            <w:gridSpan w:val="18"/>
          </w:tcPr>
          <w:p>
            <w:pPr>
              <w:spacing w:after="0"/>
              <w:rPr>
                <w:sz w:val="20"/>
                <w:szCs w:val="20"/>
                <w:color w:val="auto"/>
              </w:rPr>
            </w:pPr>
            <w:r>
              <w:rPr>
                <w:rFonts w:ascii="Arial" w:cs="Arial" w:eastAsia="Arial" w:hAnsi="Arial"/>
                <w:sz w:val="16"/>
                <w:szCs w:val="16"/>
                <w:b w:val="1"/>
                <w:bCs w:val="1"/>
                <w:color w:val="0000EE"/>
              </w:rPr>
              <w:t>Compensation Programs:</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0A9E50"/>
              </w:rPr>
              <w:t>54</w:t>
            </w:r>
          </w:p>
        </w:tc>
        <w:tc>
          <w:tcPr>
            <w:tcW w:w="0" w:type="dxa"/>
            <w:vAlign w:val="bottom"/>
          </w:tcPr>
          <w:p>
            <w:pPr>
              <w:spacing w:after="0"/>
              <w:rPr>
                <w:sz w:val="1"/>
                <w:szCs w:val="1"/>
                <w:color w:val="auto"/>
              </w:rPr>
            </w:pPr>
          </w:p>
        </w:tc>
      </w:tr>
      <w:tr>
        <w:trPr>
          <w:trHeight w:val="208"/>
        </w:trPr>
        <w:tc>
          <w:tcPr>
            <w:tcW w:w="1900" w:type="dxa"/>
            <w:vAlign w:val="bottom"/>
            <w:tcBorders>
              <w:top w:val="single" w:sz="8" w:color="0000EE"/>
            </w:tcBorders>
            <w:gridSpan w:val="8"/>
          </w:tcPr>
          <w:p>
            <w:pPr>
              <w:spacing w:after="0"/>
              <w:rPr>
                <w:sz w:val="20"/>
                <w:szCs w:val="20"/>
                <w:color w:val="auto"/>
              </w:rPr>
            </w:pPr>
            <w:r>
              <w:rPr>
                <w:rFonts w:ascii="Arial" w:cs="Arial" w:eastAsia="Arial" w:hAnsi="Arial"/>
                <w:sz w:val="16"/>
                <w:szCs w:val="16"/>
                <w:b w:val="1"/>
                <w:bCs w:val="1"/>
                <w:color w:val="0A9E50"/>
                <w:w w:val="98"/>
              </w:rPr>
              <w:t>Decisions and Actions in</w:t>
            </w: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0A9E50"/>
                <w:w w:val="89"/>
              </w:rPr>
              <w:t>2023</w:t>
            </w:r>
          </w:p>
        </w:tc>
        <w:tc>
          <w:tcPr>
            <w:tcW w:w="80" w:type="dxa"/>
            <w:vAlign w:val="bottom"/>
          </w:tcPr>
          <w:p>
            <w:pPr>
              <w:spacing w:after="0"/>
              <w:rPr>
                <w:sz w:val="18"/>
                <w:szCs w:val="18"/>
                <w:color w:val="auto"/>
              </w:rPr>
            </w:pPr>
          </w:p>
        </w:tc>
        <w:tc>
          <w:tcPr>
            <w:tcW w:w="144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760" w:type="dxa"/>
            <w:vAlign w:val="bottom"/>
            <w:tcBorders>
              <w:bottom w:val="single" w:sz="8" w:color="0A9E50"/>
            </w:tcBorders>
          </w:tcPr>
          <w:p>
            <w:pPr>
              <w:spacing w:after="0"/>
              <w:rPr>
                <w:sz w:val="3"/>
                <w:szCs w:val="3"/>
                <w:color w:val="auto"/>
              </w:rPr>
            </w:pPr>
          </w:p>
        </w:tc>
        <w:tc>
          <w:tcPr>
            <w:tcW w:w="80" w:type="dxa"/>
            <w:vAlign w:val="bottom"/>
            <w:tcBorders>
              <w:bottom w:val="single" w:sz="8" w:color="0A9E50"/>
            </w:tcBorders>
          </w:tcPr>
          <w:p>
            <w:pPr>
              <w:spacing w:after="0"/>
              <w:rPr>
                <w:sz w:val="3"/>
                <w:szCs w:val="3"/>
                <w:color w:val="auto"/>
              </w:rPr>
            </w:pPr>
          </w:p>
        </w:tc>
        <w:tc>
          <w:tcPr>
            <w:tcW w:w="360" w:type="dxa"/>
            <w:vAlign w:val="bottom"/>
            <w:tcBorders>
              <w:bottom w:val="single" w:sz="8" w:color="0A9E50"/>
            </w:tcBorders>
          </w:tcPr>
          <w:p>
            <w:pPr>
              <w:spacing w:after="0"/>
              <w:rPr>
                <w:sz w:val="3"/>
                <w:szCs w:val="3"/>
                <w:color w:val="auto"/>
              </w:rPr>
            </w:pPr>
          </w:p>
        </w:tc>
        <w:tc>
          <w:tcPr>
            <w:tcW w:w="160" w:type="dxa"/>
            <w:vAlign w:val="bottom"/>
            <w:tcBorders>
              <w:bottom w:val="single" w:sz="8" w:color="0A9E50"/>
            </w:tcBorders>
          </w:tcPr>
          <w:p>
            <w:pPr>
              <w:spacing w:after="0"/>
              <w:rPr>
                <w:sz w:val="3"/>
                <w:szCs w:val="3"/>
                <w:color w:val="auto"/>
              </w:rPr>
            </w:pPr>
          </w:p>
        </w:tc>
        <w:tc>
          <w:tcPr>
            <w:tcW w:w="80" w:type="dxa"/>
            <w:vAlign w:val="bottom"/>
            <w:tcBorders>
              <w:bottom w:val="single" w:sz="8" w:color="0A9E50"/>
            </w:tcBorders>
          </w:tcPr>
          <w:p>
            <w:pPr>
              <w:spacing w:after="0"/>
              <w:rPr>
                <w:sz w:val="3"/>
                <w:szCs w:val="3"/>
                <w:color w:val="auto"/>
              </w:rPr>
            </w:pPr>
          </w:p>
        </w:tc>
        <w:tc>
          <w:tcPr>
            <w:tcW w:w="40" w:type="dxa"/>
            <w:vAlign w:val="bottom"/>
            <w:tcBorders>
              <w:bottom w:val="single" w:sz="8" w:color="0A9E50"/>
            </w:tcBorders>
          </w:tcPr>
          <w:p>
            <w:pPr>
              <w:spacing w:after="0"/>
              <w:rPr>
                <w:sz w:val="3"/>
                <w:szCs w:val="3"/>
                <w:color w:val="auto"/>
              </w:rPr>
            </w:pPr>
          </w:p>
        </w:tc>
        <w:tc>
          <w:tcPr>
            <w:tcW w:w="80" w:type="dxa"/>
            <w:vAlign w:val="bottom"/>
            <w:tcBorders>
              <w:bottom w:val="single" w:sz="8" w:color="0A9E50"/>
            </w:tcBorders>
          </w:tcPr>
          <w:p>
            <w:pPr>
              <w:spacing w:after="0"/>
              <w:rPr>
                <w:sz w:val="3"/>
                <w:szCs w:val="3"/>
                <w:color w:val="auto"/>
              </w:rPr>
            </w:pPr>
          </w:p>
        </w:tc>
        <w:tc>
          <w:tcPr>
            <w:tcW w:w="340" w:type="dxa"/>
            <w:vAlign w:val="bottom"/>
            <w:tcBorders>
              <w:bottom w:val="single" w:sz="8" w:color="0A9E50"/>
            </w:tcBorders>
          </w:tcPr>
          <w:p>
            <w:pPr>
              <w:spacing w:after="0"/>
              <w:rPr>
                <w:sz w:val="3"/>
                <w:szCs w:val="3"/>
                <w:color w:val="auto"/>
              </w:rPr>
            </w:pPr>
          </w:p>
        </w:tc>
        <w:tc>
          <w:tcPr>
            <w:tcW w:w="40" w:type="dxa"/>
            <w:vAlign w:val="bottom"/>
            <w:tcBorders>
              <w:bottom w:val="single" w:sz="8" w:color="0A9E50"/>
            </w:tcBorders>
          </w:tcPr>
          <w:p>
            <w:pPr>
              <w:spacing w:after="0"/>
              <w:rPr>
                <w:sz w:val="3"/>
                <w:szCs w:val="3"/>
                <w:color w:val="auto"/>
              </w:rPr>
            </w:pPr>
          </w:p>
        </w:tc>
        <w:tc>
          <w:tcPr>
            <w:tcW w:w="300" w:type="dxa"/>
            <w:vAlign w:val="bottom"/>
            <w:tcBorders>
              <w:bottom w:val="single" w:sz="8" w:color="0A9E50"/>
            </w:tcBorders>
          </w:tcPr>
          <w:p>
            <w:pPr>
              <w:spacing w:after="0"/>
              <w:rPr>
                <w:sz w:val="3"/>
                <w:szCs w:val="3"/>
                <w:color w:val="auto"/>
              </w:rPr>
            </w:pPr>
          </w:p>
        </w:tc>
        <w:tc>
          <w:tcPr>
            <w:tcW w:w="80" w:type="dxa"/>
            <w:vAlign w:val="bottom"/>
            <w:tcBorders>
              <w:bottom w:val="single" w:sz="8" w:color="0A9E50"/>
            </w:tcBorders>
          </w:tcPr>
          <w:p>
            <w:pPr>
              <w:spacing w:after="0"/>
              <w:rPr>
                <w:sz w:val="3"/>
                <w:szCs w:val="3"/>
                <w:color w:val="auto"/>
              </w:rPr>
            </w:pPr>
          </w:p>
        </w:tc>
        <w:tc>
          <w:tcPr>
            <w:tcW w:w="1180" w:type="dxa"/>
            <w:vAlign w:val="bottom"/>
            <w:tcBorders>
              <w:bottom w:val="single" w:sz="8" w:color="0A9E50"/>
            </w:tcBorders>
          </w:tcPr>
          <w:p>
            <w:pPr>
              <w:spacing w:after="0"/>
              <w:rPr>
                <w:sz w:val="3"/>
                <w:szCs w:val="3"/>
                <w:color w:val="auto"/>
              </w:rPr>
            </w:pPr>
          </w:p>
        </w:tc>
        <w:tc>
          <w:tcPr>
            <w:tcW w:w="200" w:type="dxa"/>
            <w:vAlign w:val="bottom"/>
            <w:tcBorders>
              <w:bottom w:val="single" w:sz="8" w:color="0A9E50"/>
            </w:tcBorders>
          </w:tcPr>
          <w:p>
            <w:pPr>
              <w:spacing w:after="0"/>
              <w:rPr>
                <w:sz w:val="3"/>
                <w:szCs w:val="3"/>
                <w:color w:val="auto"/>
              </w:rPr>
            </w:pPr>
          </w:p>
        </w:tc>
        <w:tc>
          <w:tcPr>
            <w:tcW w:w="60" w:type="dxa"/>
            <w:vAlign w:val="bottom"/>
            <w:tcBorders>
              <w:bottom w:val="single" w:sz="8" w:color="0A9E50"/>
            </w:tcBorders>
          </w:tcPr>
          <w:p>
            <w:pPr>
              <w:spacing w:after="0"/>
              <w:rPr>
                <w:sz w:val="3"/>
                <w:szCs w:val="3"/>
                <w:color w:val="auto"/>
              </w:rPr>
            </w:pPr>
          </w:p>
        </w:tc>
        <w:tc>
          <w:tcPr>
            <w:tcW w:w="160" w:type="dxa"/>
            <w:vAlign w:val="bottom"/>
            <w:tcBorders>
              <w:bottom w:val="single" w:sz="8" w:color="0A9E50"/>
            </w:tcBorders>
          </w:tcPr>
          <w:p>
            <w:pPr>
              <w:spacing w:after="0"/>
              <w:rPr>
                <w:sz w:val="3"/>
                <w:szCs w:val="3"/>
                <w:color w:val="auto"/>
              </w:rPr>
            </w:pPr>
          </w:p>
        </w:tc>
        <w:tc>
          <w:tcPr>
            <w:tcW w:w="280" w:type="dxa"/>
            <w:vAlign w:val="bottom"/>
            <w:tcBorders>
              <w:bottom w:val="single" w:sz="8" w:color="0A9E50"/>
            </w:tcBorders>
          </w:tcPr>
          <w:p>
            <w:pPr>
              <w:spacing w:after="0"/>
              <w:rPr>
                <w:sz w:val="3"/>
                <w:szCs w:val="3"/>
                <w:color w:val="auto"/>
              </w:rPr>
            </w:pPr>
          </w:p>
        </w:tc>
        <w:tc>
          <w:tcPr>
            <w:tcW w:w="80" w:type="dxa"/>
            <w:vAlign w:val="bottom"/>
            <w:tcBorders>
              <w:bottom w:val="single" w:sz="8" w:color="0A9E50"/>
            </w:tcBorders>
          </w:tcPr>
          <w:p>
            <w:pPr>
              <w:spacing w:after="0"/>
              <w:rPr>
                <w:sz w:val="3"/>
                <w:szCs w:val="3"/>
                <w:color w:val="auto"/>
              </w:rPr>
            </w:pPr>
          </w:p>
        </w:tc>
        <w:tc>
          <w:tcPr>
            <w:tcW w:w="40" w:type="dxa"/>
            <w:vAlign w:val="bottom"/>
            <w:tcBorders>
              <w:bottom w:val="single" w:sz="8" w:color="0A9E50"/>
            </w:tcBorders>
          </w:tcPr>
          <w:p>
            <w:pPr>
              <w:spacing w:after="0"/>
              <w:rPr>
                <w:sz w:val="3"/>
                <w:szCs w:val="3"/>
                <w:color w:val="auto"/>
              </w:rPr>
            </w:pPr>
          </w:p>
        </w:tc>
        <w:tc>
          <w:tcPr>
            <w:tcW w:w="880" w:type="dxa"/>
            <w:vAlign w:val="bottom"/>
            <w:tcBorders>
              <w:bottom w:val="single" w:sz="8" w:color="0A9E50"/>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840" w:type="dxa"/>
            <w:vAlign w:val="bottom"/>
            <w:tcBorders>
              <w:bottom w:val="single" w:sz="8" w:color="0000EE"/>
            </w:tcBorders>
            <w:gridSpan w:val="2"/>
          </w:tcPr>
          <w:p>
            <w:pPr>
              <w:spacing w:after="0" w:line="149" w:lineRule="exact"/>
              <w:rPr>
                <w:sz w:val="20"/>
                <w:szCs w:val="20"/>
                <w:color w:val="auto"/>
              </w:rPr>
            </w:pPr>
            <w:r>
              <w:rPr>
                <w:rFonts w:ascii="Arial" w:cs="Arial" w:eastAsia="Arial" w:hAnsi="Arial"/>
                <w:sz w:val="16"/>
                <w:szCs w:val="16"/>
                <w:color w:val="0000EE"/>
                <w:w w:val="95"/>
              </w:rPr>
              <w:t>Base Salary</w:t>
            </w:r>
          </w:p>
        </w:tc>
        <w:tc>
          <w:tcPr>
            <w:tcW w:w="3480" w:type="dxa"/>
            <w:vAlign w:val="bottom"/>
            <w:gridSpan w:val="16"/>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27"/>
        </w:trPr>
        <w:tc>
          <w:tcPr>
            <w:tcW w:w="15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w w:val="96"/>
              </w:rPr>
              <w:t>Annual Cash Incentive</w:t>
            </w:r>
          </w:p>
        </w:tc>
        <w:tc>
          <w:tcPr>
            <w:tcW w:w="2760" w:type="dxa"/>
            <w:vAlign w:val="bottom"/>
            <w:gridSpan w:val="11"/>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27"/>
        </w:trPr>
        <w:tc>
          <w:tcPr>
            <w:tcW w:w="4320" w:type="dxa"/>
            <w:vAlign w:val="bottom"/>
            <w:gridSpan w:val="18"/>
          </w:tcPr>
          <w:p>
            <w:pPr>
              <w:spacing w:after="0"/>
              <w:rPr>
                <w:sz w:val="20"/>
                <w:szCs w:val="20"/>
                <w:color w:val="auto"/>
              </w:rPr>
            </w:pPr>
            <w:r>
              <w:rPr>
                <w:rFonts w:ascii="Arial" w:cs="Arial" w:eastAsia="Arial" w:hAnsi="Arial"/>
                <w:sz w:val="16"/>
                <w:szCs w:val="16"/>
                <w:color w:val="0000EE"/>
              </w:rPr>
              <w:t>Long-Term Incentives</w:t>
            </w: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27"/>
        </w:trPr>
        <w:tc>
          <w:tcPr>
            <w:tcW w:w="1480" w:type="dxa"/>
            <w:vAlign w:val="bottom"/>
            <w:tcBorders>
              <w:top w:val="single" w:sz="8" w:color="0000EE"/>
            </w:tcBorders>
            <w:gridSpan w:val="6"/>
          </w:tcPr>
          <w:p>
            <w:pPr>
              <w:spacing w:after="0"/>
              <w:rPr>
                <w:sz w:val="20"/>
                <w:szCs w:val="20"/>
                <w:color w:val="auto"/>
              </w:rPr>
            </w:pPr>
            <w:r>
              <w:rPr>
                <w:rFonts w:ascii="Arial" w:cs="Arial" w:eastAsia="Arial" w:hAnsi="Arial"/>
                <w:sz w:val="16"/>
                <w:szCs w:val="16"/>
                <w:color w:val="0000EE"/>
              </w:rPr>
              <w:t>Retirement Benefits</w:t>
            </w:r>
          </w:p>
        </w:tc>
        <w:tc>
          <w:tcPr>
            <w:tcW w:w="2840" w:type="dxa"/>
            <w:vAlign w:val="bottom"/>
            <w:gridSpan w:val="12"/>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94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00EE"/>
                <w:w w:val="96"/>
              </w:rPr>
              <w:t>Health and Welfare Benefits</w:t>
            </w:r>
          </w:p>
        </w:tc>
        <w:tc>
          <w:tcPr>
            <w:tcW w:w="2380" w:type="dxa"/>
            <w:vAlign w:val="bottom"/>
            <w:gridSpan w:val="9"/>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27"/>
        </w:trPr>
        <w:tc>
          <w:tcPr>
            <w:tcW w:w="4320" w:type="dxa"/>
            <w:vAlign w:val="bottom"/>
            <w:gridSpan w:val="18"/>
          </w:tcPr>
          <w:p>
            <w:pPr>
              <w:spacing w:after="0"/>
              <w:rPr>
                <w:sz w:val="20"/>
                <w:szCs w:val="20"/>
                <w:color w:val="auto"/>
              </w:rPr>
            </w:pPr>
            <w:r>
              <w:rPr>
                <w:rFonts w:ascii="Arial" w:cs="Arial" w:eastAsia="Arial" w:hAnsi="Arial"/>
                <w:sz w:val="16"/>
                <w:szCs w:val="16"/>
                <w:color w:val="0000EE"/>
              </w:rPr>
              <w:t>Perquisites</w:t>
            </w: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32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w w:val="96"/>
              </w:rPr>
              <w:t>Senior Executive Severance Plan</w:t>
            </w:r>
          </w:p>
        </w:tc>
        <w:tc>
          <w:tcPr>
            <w:tcW w:w="2000" w:type="dxa"/>
            <w:vAlign w:val="bottom"/>
            <w:gridSpan w:val="7"/>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53"/>
        </w:trPr>
        <w:tc>
          <w:tcPr>
            <w:tcW w:w="4320" w:type="dxa"/>
            <w:vAlign w:val="bottom"/>
            <w:gridSpan w:val="18"/>
          </w:tcPr>
          <w:p>
            <w:pPr>
              <w:spacing w:after="0"/>
              <w:rPr>
                <w:sz w:val="20"/>
                <w:szCs w:val="20"/>
                <w:color w:val="auto"/>
              </w:rPr>
            </w:pPr>
            <w:r>
              <w:rPr>
                <w:rFonts w:ascii="Arial" w:cs="Arial" w:eastAsia="Arial" w:hAnsi="Arial"/>
                <w:sz w:val="16"/>
                <w:szCs w:val="16"/>
                <w:b w:val="1"/>
                <w:bCs w:val="1"/>
                <w:color w:val="0000EE"/>
              </w:rPr>
              <w:t>Governance of Executive Compensation Programs</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A9E50"/>
              </w:rPr>
              <w:t>63</w:t>
            </w:r>
          </w:p>
        </w:tc>
        <w:tc>
          <w:tcPr>
            <w:tcW w:w="0" w:type="dxa"/>
            <w:vAlign w:val="bottom"/>
          </w:tcPr>
          <w:p>
            <w:pPr>
              <w:spacing w:after="0"/>
              <w:rPr>
                <w:sz w:val="1"/>
                <w:szCs w:val="1"/>
                <w:color w:val="auto"/>
              </w:rPr>
            </w:pPr>
          </w:p>
        </w:tc>
      </w:tr>
      <w:tr>
        <w:trPr>
          <w:trHeight w:val="71"/>
        </w:trPr>
        <w:tc>
          <w:tcPr>
            <w:tcW w:w="7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360" w:type="dxa"/>
            <w:vAlign w:val="bottom"/>
            <w:tcBorders>
              <w:top w:val="single" w:sz="8" w:color="0000EE"/>
              <w:bottom w:val="single" w:sz="8" w:color="0A9E50"/>
            </w:tcBorders>
          </w:tcPr>
          <w:p>
            <w:pPr>
              <w:spacing w:after="0"/>
              <w:rPr>
                <w:sz w:val="6"/>
                <w:szCs w:val="6"/>
                <w:color w:val="auto"/>
              </w:rPr>
            </w:pPr>
          </w:p>
        </w:tc>
        <w:tc>
          <w:tcPr>
            <w:tcW w:w="1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34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30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1180" w:type="dxa"/>
            <w:vAlign w:val="bottom"/>
            <w:tcBorders>
              <w:top w:val="single" w:sz="8" w:color="0000EE"/>
              <w:bottom w:val="single" w:sz="8" w:color="0A9E50"/>
            </w:tcBorders>
          </w:tcPr>
          <w:p>
            <w:pPr>
              <w:spacing w:after="0"/>
              <w:rPr>
                <w:sz w:val="6"/>
                <w:szCs w:val="6"/>
                <w:color w:val="auto"/>
              </w:rPr>
            </w:pPr>
          </w:p>
        </w:tc>
        <w:tc>
          <w:tcPr>
            <w:tcW w:w="200" w:type="dxa"/>
            <w:vAlign w:val="bottom"/>
            <w:tcBorders>
              <w:top w:val="single" w:sz="8" w:color="0000EE"/>
              <w:bottom w:val="single" w:sz="8" w:color="0A9E50"/>
            </w:tcBorders>
          </w:tcPr>
          <w:p>
            <w:pPr>
              <w:spacing w:after="0"/>
              <w:rPr>
                <w:sz w:val="6"/>
                <w:szCs w:val="6"/>
                <w:color w:val="auto"/>
              </w:rPr>
            </w:pPr>
          </w:p>
        </w:tc>
        <w:tc>
          <w:tcPr>
            <w:tcW w:w="60" w:type="dxa"/>
            <w:vAlign w:val="bottom"/>
            <w:tcBorders>
              <w:top w:val="single" w:sz="8" w:color="0000EE"/>
              <w:bottom w:val="single" w:sz="8" w:color="0A9E50"/>
            </w:tcBorders>
          </w:tcPr>
          <w:p>
            <w:pPr>
              <w:spacing w:after="0"/>
              <w:rPr>
                <w:sz w:val="6"/>
                <w:szCs w:val="6"/>
                <w:color w:val="auto"/>
              </w:rPr>
            </w:pPr>
          </w:p>
        </w:tc>
        <w:tc>
          <w:tcPr>
            <w:tcW w:w="160" w:type="dxa"/>
            <w:vAlign w:val="bottom"/>
            <w:tcBorders>
              <w:bottom w:val="single" w:sz="8" w:color="0A9E50"/>
            </w:tcBorders>
          </w:tcPr>
          <w:p>
            <w:pPr>
              <w:spacing w:after="0"/>
              <w:rPr>
                <w:sz w:val="6"/>
                <w:szCs w:val="6"/>
                <w:color w:val="auto"/>
              </w:rPr>
            </w:pPr>
          </w:p>
        </w:tc>
        <w:tc>
          <w:tcPr>
            <w:tcW w:w="280" w:type="dxa"/>
            <w:vAlign w:val="bottom"/>
            <w:tcBorders>
              <w:bottom w:val="single" w:sz="8" w:color="0A9E50"/>
            </w:tcBorders>
          </w:tcPr>
          <w:p>
            <w:pPr>
              <w:spacing w:after="0"/>
              <w:rPr>
                <w:sz w:val="6"/>
                <w:szCs w:val="6"/>
                <w:color w:val="auto"/>
              </w:rPr>
            </w:pPr>
          </w:p>
        </w:tc>
        <w:tc>
          <w:tcPr>
            <w:tcW w:w="80" w:type="dxa"/>
            <w:vAlign w:val="bottom"/>
            <w:tcBorders>
              <w:bottom w:val="single" w:sz="8" w:color="0A9E50"/>
            </w:tcBorders>
          </w:tcPr>
          <w:p>
            <w:pPr>
              <w:spacing w:after="0"/>
              <w:rPr>
                <w:sz w:val="6"/>
                <w:szCs w:val="6"/>
                <w:color w:val="auto"/>
              </w:rPr>
            </w:pPr>
          </w:p>
        </w:tc>
        <w:tc>
          <w:tcPr>
            <w:tcW w:w="40" w:type="dxa"/>
            <w:vAlign w:val="bottom"/>
            <w:tcBorders>
              <w:bottom w:val="single" w:sz="8" w:color="0A9E50"/>
            </w:tcBorders>
          </w:tcPr>
          <w:p>
            <w:pPr>
              <w:spacing w:after="0"/>
              <w:rPr>
                <w:sz w:val="6"/>
                <w:szCs w:val="6"/>
                <w:color w:val="auto"/>
              </w:rPr>
            </w:pPr>
          </w:p>
        </w:tc>
        <w:tc>
          <w:tcPr>
            <w:tcW w:w="880" w:type="dxa"/>
            <w:vAlign w:val="bottom"/>
            <w:tcBorders>
              <w:bottom w:val="single" w:sz="8" w:color="0A9E50"/>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320" w:type="dxa"/>
            <w:vAlign w:val="bottom"/>
            <w:gridSpan w:val="18"/>
          </w:tcPr>
          <w:p>
            <w:pPr>
              <w:spacing w:after="0" w:line="149" w:lineRule="exact"/>
              <w:rPr>
                <w:sz w:val="20"/>
                <w:szCs w:val="20"/>
                <w:color w:val="auto"/>
              </w:rPr>
            </w:pPr>
            <w:r>
              <w:rPr>
                <w:rFonts w:ascii="Arial" w:cs="Arial" w:eastAsia="Arial" w:hAnsi="Arial"/>
                <w:sz w:val="16"/>
                <w:szCs w:val="16"/>
                <w:color w:val="0000EE"/>
              </w:rPr>
              <w:t>Executive Stock Ownership and Retention Requirements</w:t>
            </w:r>
          </w:p>
        </w:tc>
        <w:tc>
          <w:tcPr>
            <w:tcW w:w="880" w:type="dxa"/>
            <w:vAlign w:val="bottom"/>
          </w:tcPr>
          <w:p>
            <w:pPr>
              <w:jc w:val="right"/>
              <w:spacing w:after="0" w:line="149"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27"/>
        </w:trPr>
        <w:tc>
          <w:tcPr>
            <w:tcW w:w="376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6"/>
                <w:szCs w:val="16"/>
                <w:color w:val="0000EE"/>
                <w:w w:val="96"/>
              </w:rPr>
              <w:t>Incentive Compensation Recovery (“Clawback”) Policy</w:t>
            </w:r>
          </w:p>
        </w:tc>
        <w:tc>
          <w:tcPr>
            <w:tcW w:w="160" w:type="dxa"/>
            <w:vAlign w:val="bottom"/>
            <w:tcBorders>
              <w:top w:val="single" w:sz="8" w:color="0000EE"/>
            </w:tcBorders>
          </w:tcPr>
          <w:p>
            <w:pPr>
              <w:spacing w:after="0"/>
              <w:rPr>
                <w:sz w:val="19"/>
                <w:szCs w:val="19"/>
                <w:color w:val="auto"/>
              </w:rPr>
            </w:pPr>
          </w:p>
        </w:tc>
        <w:tc>
          <w:tcPr>
            <w:tcW w:w="400" w:type="dxa"/>
            <w:vAlign w:val="bottom"/>
            <w:gridSpan w:val="3"/>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27"/>
        </w:trPr>
        <w:tc>
          <w:tcPr>
            <w:tcW w:w="4320" w:type="dxa"/>
            <w:vAlign w:val="bottom"/>
            <w:gridSpan w:val="18"/>
          </w:tcPr>
          <w:p>
            <w:pPr>
              <w:spacing w:after="0"/>
              <w:rPr>
                <w:sz w:val="20"/>
                <w:szCs w:val="20"/>
                <w:color w:val="auto"/>
              </w:rPr>
            </w:pPr>
            <w:r>
              <w:rPr>
                <w:rFonts w:ascii="Arial" w:cs="Arial" w:eastAsia="Arial" w:hAnsi="Arial"/>
                <w:sz w:val="16"/>
                <w:szCs w:val="16"/>
                <w:color w:val="0000EE"/>
              </w:rPr>
              <w:t>Hedging and Pledging of Shares</w:t>
            </w: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2240" w:type="dxa"/>
            <w:vAlign w:val="bottom"/>
            <w:gridSpan w:val="10"/>
            <w:shd w:val="clear" w:color="auto" w:fill="0000EE"/>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20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w w:val="96"/>
              </w:rPr>
              <w:t>Tax Considerations: Deductibility of Executive Compensation</w:t>
            </w:r>
          </w:p>
        </w:tc>
        <w:tc>
          <w:tcPr>
            <w:tcW w:w="120" w:type="dxa"/>
            <w:vAlign w:val="bottom"/>
            <w:gridSpan w:val="2"/>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53"/>
        </w:trPr>
        <w:tc>
          <w:tcPr>
            <w:tcW w:w="4320" w:type="dxa"/>
            <w:vAlign w:val="bottom"/>
            <w:gridSpan w:val="18"/>
          </w:tcPr>
          <w:p>
            <w:pPr>
              <w:spacing w:after="0"/>
              <w:rPr>
                <w:sz w:val="20"/>
                <w:szCs w:val="20"/>
                <w:color w:val="auto"/>
              </w:rPr>
            </w:pPr>
            <w:r>
              <w:rPr>
                <w:rFonts w:ascii="Arial" w:cs="Arial" w:eastAsia="Arial" w:hAnsi="Arial"/>
                <w:sz w:val="16"/>
                <w:szCs w:val="16"/>
                <w:b w:val="1"/>
                <w:bCs w:val="1"/>
                <w:color w:val="0000EE"/>
                <w:w w:val="97"/>
              </w:rPr>
              <w:t>Compensation and Talent Management Committee Report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A9E50"/>
              </w:rPr>
              <w:t>64</w:t>
            </w:r>
          </w:p>
        </w:tc>
        <w:tc>
          <w:tcPr>
            <w:tcW w:w="0" w:type="dxa"/>
            <w:vAlign w:val="bottom"/>
          </w:tcPr>
          <w:p>
            <w:pPr>
              <w:spacing w:after="0"/>
              <w:rPr>
                <w:sz w:val="1"/>
                <w:szCs w:val="1"/>
                <w:color w:val="auto"/>
              </w:rPr>
            </w:pPr>
          </w:p>
        </w:tc>
      </w:tr>
      <w:tr>
        <w:trPr>
          <w:trHeight w:val="71"/>
        </w:trPr>
        <w:tc>
          <w:tcPr>
            <w:tcW w:w="7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360" w:type="dxa"/>
            <w:vAlign w:val="bottom"/>
            <w:tcBorders>
              <w:top w:val="single" w:sz="8" w:color="0000EE"/>
              <w:bottom w:val="single" w:sz="8" w:color="0A9E50"/>
            </w:tcBorders>
          </w:tcPr>
          <w:p>
            <w:pPr>
              <w:spacing w:after="0"/>
              <w:rPr>
                <w:sz w:val="6"/>
                <w:szCs w:val="6"/>
                <w:color w:val="auto"/>
              </w:rPr>
            </w:pPr>
          </w:p>
        </w:tc>
        <w:tc>
          <w:tcPr>
            <w:tcW w:w="1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34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30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1180" w:type="dxa"/>
            <w:vAlign w:val="bottom"/>
            <w:tcBorders>
              <w:top w:val="single" w:sz="8" w:color="0000EE"/>
              <w:bottom w:val="single" w:sz="8" w:color="0A9E50"/>
            </w:tcBorders>
          </w:tcPr>
          <w:p>
            <w:pPr>
              <w:spacing w:after="0"/>
              <w:rPr>
                <w:sz w:val="6"/>
                <w:szCs w:val="6"/>
                <w:color w:val="auto"/>
              </w:rPr>
            </w:pPr>
          </w:p>
        </w:tc>
        <w:tc>
          <w:tcPr>
            <w:tcW w:w="200" w:type="dxa"/>
            <w:vAlign w:val="bottom"/>
            <w:tcBorders>
              <w:top w:val="single" w:sz="8" w:color="0000EE"/>
              <w:bottom w:val="single" w:sz="8" w:color="0A9E50"/>
            </w:tcBorders>
          </w:tcPr>
          <w:p>
            <w:pPr>
              <w:spacing w:after="0"/>
              <w:rPr>
                <w:sz w:val="6"/>
                <w:szCs w:val="6"/>
                <w:color w:val="auto"/>
              </w:rPr>
            </w:pPr>
          </w:p>
        </w:tc>
        <w:tc>
          <w:tcPr>
            <w:tcW w:w="60" w:type="dxa"/>
            <w:vAlign w:val="bottom"/>
            <w:tcBorders>
              <w:top w:val="single" w:sz="8" w:color="0000EE"/>
              <w:bottom w:val="single" w:sz="8" w:color="0A9E50"/>
            </w:tcBorders>
          </w:tcPr>
          <w:p>
            <w:pPr>
              <w:spacing w:after="0"/>
              <w:rPr>
                <w:sz w:val="6"/>
                <w:szCs w:val="6"/>
                <w:color w:val="auto"/>
              </w:rPr>
            </w:pPr>
          </w:p>
        </w:tc>
        <w:tc>
          <w:tcPr>
            <w:tcW w:w="160" w:type="dxa"/>
            <w:vAlign w:val="bottom"/>
            <w:tcBorders>
              <w:top w:val="single" w:sz="8" w:color="0000EE"/>
              <w:bottom w:val="single" w:sz="8" w:color="0A9E50"/>
            </w:tcBorders>
          </w:tcPr>
          <w:p>
            <w:pPr>
              <w:spacing w:after="0"/>
              <w:rPr>
                <w:sz w:val="6"/>
                <w:szCs w:val="6"/>
                <w:color w:val="auto"/>
              </w:rPr>
            </w:pPr>
          </w:p>
        </w:tc>
        <w:tc>
          <w:tcPr>
            <w:tcW w:w="28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40" w:type="dxa"/>
            <w:vAlign w:val="bottom"/>
            <w:tcBorders>
              <w:bottom w:val="single" w:sz="8" w:color="0A9E50"/>
            </w:tcBorders>
          </w:tcPr>
          <w:p>
            <w:pPr>
              <w:spacing w:after="0"/>
              <w:rPr>
                <w:sz w:val="6"/>
                <w:szCs w:val="6"/>
                <w:color w:val="auto"/>
              </w:rPr>
            </w:pPr>
          </w:p>
        </w:tc>
        <w:tc>
          <w:tcPr>
            <w:tcW w:w="880" w:type="dxa"/>
            <w:vAlign w:val="bottom"/>
            <w:tcBorders>
              <w:bottom w:val="single" w:sz="8" w:color="0A9E5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449" w:lineRule="exact"/>
        <w:rPr>
          <w:sz w:val="20"/>
          <w:szCs w:val="20"/>
          <w:color w:val="auto"/>
        </w:rPr>
      </w:pPr>
    </w:p>
    <w:p>
      <w:pPr>
        <w:sectPr>
          <w:pgSz w:w="11900" w:h="16838" w:orient="portrait"/>
          <w:cols w:equalWidth="0" w:num="2">
            <w:col w:w="5400" w:space="340"/>
            <w:col w:w="5200"/>
          </w:cols>
          <w:pgMar w:left="320" w:top="471" w:right="639" w:bottom="1440" w:gutter="0" w:footer="0" w:header="0"/>
          <w:type w:val="continuous"/>
        </w:sectPr>
      </w:pPr>
    </w:p>
    <w:p>
      <w:pPr>
        <w:spacing w:after="0" w:line="274" w:lineRule="exact"/>
        <w:rPr>
          <w:sz w:val="20"/>
          <w:szCs w:val="20"/>
          <w:color w:val="auto"/>
        </w:rPr>
      </w:pPr>
    </w:p>
    <w:p>
      <w:pPr>
        <w:ind w:left="560" w:right="5680" w:hanging="244"/>
        <w:spacing w:after="0" w:line="264" w:lineRule="auto"/>
        <w:tabs>
          <w:tab w:leader="none" w:pos="5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As part of the sale of our EMEA staffing operations, Ms. Koolhaas’ employment with the Company terminated on March 31, 2024.</w:t>
      </w:r>
    </w:p>
    <w:p>
      <w:pPr>
        <w:spacing w:after="0" w:line="186"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46 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2240" w:type="dxa"/>
            <w:vAlign w:val="bottom"/>
          </w:tcPr>
          <w:p>
            <w:pPr>
              <w:spacing w:after="0"/>
              <w:rPr>
                <w:sz w:val="15"/>
                <w:szCs w:val="15"/>
                <w:color w:val="auto"/>
              </w:rPr>
            </w:pPr>
          </w:p>
        </w:tc>
        <w:tc>
          <w:tcPr>
            <w:tcW w:w="8380" w:type="dxa"/>
            <w:vAlign w:val="bottom"/>
          </w:tcPr>
          <w:p>
            <w:pPr>
              <w:ind w:left="5900"/>
              <w:spacing w:after="0"/>
              <w:rPr>
                <w:sz w:val="20"/>
                <w:szCs w:val="20"/>
                <w:color w:val="auto"/>
              </w:rPr>
            </w:pPr>
            <w:r>
              <w:rPr>
                <w:rFonts w:ascii="Arial" w:cs="Arial" w:eastAsia="Arial" w:hAnsi="Arial"/>
                <w:sz w:val="13"/>
                <w:szCs w:val="13"/>
                <w:b w:val="1"/>
                <w:bCs w:val="1"/>
                <w:color w:val="auto"/>
                <w:w w:val="99"/>
              </w:rPr>
              <w:t>Compensation Discussion and Analysis</w:t>
            </w:r>
          </w:p>
        </w:tc>
        <w:tc>
          <w:tcPr>
            <w:tcW w:w="0" w:type="dxa"/>
            <w:vAlign w:val="bottom"/>
          </w:tcPr>
          <w:p>
            <w:pPr>
              <w:spacing w:after="0"/>
              <w:rPr>
                <w:sz w:val="1"/>
                <w:szCs w:val="1"/>
                <w:color w:val="auto"/>
              </w:rPr>
            </w:pPr>
          </w:p>
        </w:tc>
      </w:tr>
      <w:tr>
        <w:trPr>
          <w:trHeight w:val="322"/>
        </w:trPr>
        <w:tc>
          <w:tcPr>
            <w:tcW w:w="2240" w:type="dxa"/>
            <w:vAlign w:val="bottom"/>
          </w:tcPr>
          <w:p>
            <w:pPr>
              <w:ind w:left="60"/>
              <w:spacing w:after="0"/>
              <w:rPr>
                <w:sz w:val="20"/>
                <w:szCs w:val="20"/>
                <w:color w:val="auto"/>
              </w:rPr>
            </w:pPr>
            <w:r>
              <w:rPr>
                <w:rFonts w:ascii="Arial" w:cs="Arial" w:eastAsia="Arial" w:hAnsi="Arial"/>
                <w:sz w:val="16"/>
                <w:szCs w:val="16"/>
                <w:b w:val="1"/>
                <w:bCs w:val="1"/>
                <w:color w:val="0A9E50"/>
              </w:rPr>
              <w:t>Name</w:t>
            </w:r>
          </w:p>
        </w:tc>
        <w:tc>
          <w:tcPr>
            <w:tcW w:w="8380" w:type="dxa"/>
            <w:vAlign w:val="bottom"/>
          </w:tcPr>
          <w:p>
            <w:pPr>
              <w:ind w:left="640"/>
              <w:spacing w:after="0"/>
              <w:rPr>
                <w:sz w:val="20"/>
                <w:szCs w:val="20"/>
                <w:color w:val="auto"/>
              </w:rPr>
            </w:pPr>
            <w:r>
              <w:rPr>
                <w:rFonts w:ascii="Arial" w:cs="Arial" w:eastAsia="Arial" w:hAnsi="Arial"/>
                <w:sz w:val="16"/>
                <w:szCs w:val="16"/>
                <w:b w:val="1"/>
                <w:bCs w:val="1"/>
                <w:color w:val="0A9E50"/>
              </w:rPr>
              <w:t>Biographical Information</w:t>
            </w:r>
          </w:p>
        </w:tc>
        <w:tc>
          <w:tcPr>
            <w:tcW w:w="0" w:type="dxa"/>
            <w:vAlign w:val="bottom"/>
          </w:tcPr>
          <w:p>
            <w:pPr>
              <w:spacing w:after="0"/>
              <w:rPr>
                <w:sz w:val="1"/>
                <w:szCs w:val="1"/>
                <w:color w:val="auto"/>
              </w:rPr>
            </w:pPr>
          </w:p>
        </w:tc>
      </w:tr>
      <w:tr>
        <w:trPr>
          <w:trHeight w:val="46"/>
        </w:trPr>
        <w:tc>
          <w:tcPr>
            <w:tcW w:w="2240" w:type="dxa"/>
            <w:vAlign w:val="bottom"/>
            <w:tcBorders>
              <w:bottom w:val="single" w:sz="8" w:color="auto"/>
            </w:tcBorders>
          </w:tcPr>
          <w:p>
            <w:pPr>
              <w:spacing w:after="0"/>
              <w:rPr>
                <w:sz w:val="4"/>
                <w:szCs w:val="4"/>
                <w:color w:val="auto"/>
              </w:rPr>
            </w:pPr>
          </w:p>
        </w:tc>
        <w:tc>
          <w:tcPr>
            <w:tcW w:w="8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60"/>
              <w:spacing w:after="0"/>
              <w:rPr>
                <w:sz w:val="20"/>
                <w:szCs w:val="20"/>
                <w:color w:val="auto"/>
              </w:rPr>
            </w:pPr>
            <w:r>
              <w:rPr>
                <w:rFonts w:ascii="Arial" w:cs="Arial" w:eastAsia="Arial" w:hAnsi="Arial"/>
                <w:sz w:val="16"/>
                <w:szCs w:val="16"/>
                <w:b w:val="1"/>
                <w:bCs w:val="1"/>
                <w:color w:val="auto"/>
              </w:rPr>
              <w:t>Peter W. Quigley</w:t>
            </w:r>
          </w:p>
        </w:tc>
        <w:tc>
          <w:tcPr>
            <w:tcW w:w="8380" w:type="dxa"/>
            <w:vAlign w:val="bottom"/>
          </w:tcPr>
          <w:p>
            <w:pPr>
              <w:ind w:left="640"/>
              <w:spacing w:after="0"/>
              <w:rPr>
                <w:sz w:val="20"/>
                <w:szCs w:val="20"/>
                <w:color w:val="auto"/>
              </w:rPr>
            </w:pPr>
            <w:r>
              <w:rPr>
                <w:rFonts w:ascii="Arial" w:cs="Arial" w:eastAsia="Arial" w:hAnsi="Arial"/>
                <w:sz w:val="16"/>
                <w:szCs w:val="16"/>
                <w:color w:val="auto"/>
              </w:rPr>
              <w:t>Mr. Quigley served as Executive Vice President, President, Global Staffing, and General Manager, Global</w:t>
            </w:r>
          </w:p>
        </w:tc>
        <w:tc>
          <w:tcPr>
            <w:tcW w:w="0" w:type="dxa"/>
            <w:vAlign w:val="bottom"/>
          </w:tcPr>
          <w:p>
            <w:pPr>
              <w:spacing w:after="0"/>
              <w:rPr>
                <w:sz w:val="1"/>
                <w:szCs w:val="1"/>
                <w:color w:val="auto"/>
              </w:rPr>
            </w:pPr>
          </w:p>
        </w:tc>
      </w:tr>
      <w:tr>
        <w:trPr>
          <w:trHeight w:val="182"/>
        </w:trPr>
        <w:tc>
          <w:tcPr>
            <w:tcW w:w="2240" w:type="dxa"/>
            <w:vAlign w:val="bottom"/>
          </w:tcPr>
          <w:p>
            <w:pPr>
              <w:ind w:left="60"/>
              <w:spacing w:after="0" w:line="182" w:lineRule="exact"/>
              <w:rPr>
                <w:sz w:val="20"/>
                <w:szCs w:val="20"/>
                <w:color w:val="auto"/>
              </w:rPr>
            </w:pPr>
            <w:r>
              <w:rPr>
                <w:rFonts w:ascii="Arial" w:cs="Arial" w:eastAsia="Arial" w:hAnsi="Arial"/>
                <w:sz w:val="16"/>
                <w:szCs w:val="16"/>
                <w:color w:val="auto"/>
              </w:rPr>
              <w:t>President and Chief</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w w:val="97"/>
              </w:rPr>
              <w:t>Information Technology, Global Business Services and Global Service from May 2017 through September 2019.</w:t>
            </w:r>
          </w:p>
        </w:tc>
        <w:tc>
          <w:tcPr>
            <w:tcW w:w="0" w:type="dxa"/>
            <w:vAlign w:val="bottom"/>
          </w:tcPr>
          <w:p>
            <w:pPr>
              <w:spacing w:after="0"/>
              <w:rPr>
                <w:sz w:val="1"/>
                <w:szCs w:val="1"/>
                <w:color w:val="auto"/>
              </w:rPr>
            </w:pPr>
          </w:p>
        </w:tc>
      </w:tr>
      <w:tr>
        <w:trPr>
          <w:trHeight w:val="182"/>
        </w:trPr>
        <w:tc>
          <w:tcPr>
            <w:tcW w:w="2240" w:type="dxa"/>
            <w:vAlign w:val="bottom"/>
          </w:tcPr>
          <w:p>
            <w:pPr>
              <w:ind w:left="60"/>
              <w:spacing w:after="0" w:line="182" w:lineRule="exact"/>
              <w:rPr>
                <w:sz w:val="20"/>
                <w:szCs w:val="20"/>
                <w:color w:val="auto"/>
              </w:rPr>
            </w:pPr>
            <w:r>
              <w:rPr>
                <w:rFonts w:ascii="Arial" w:cs="Arial" w:eastAsia="Arial" w:hAnsi="Arial"/>
                <w:sz w:val="16"/>
                <w:szCs w:val="16"/>
                <w:color w:val="auto"/>
              </w:rPr>
              <w:t>Executive Officer</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rPr>
              <w:t>He served as the Company’s Chief Administrative Officer and General Counsel from May 2015 to May 2017,</w:t>
            </w:r>
          </w:p>
        </w:tc>
        <w:tc>
          <w:tcPr>
            <w:tcW w:w="0" w:type="dxa"/>
            <w:vAlign w:val="bottom"/>
          </w:tcPr>
          <w:p>
            <w:pPr>
              <w:spacing w:after="0"/>
              <w:rPr>
                <w:sz w:val="1"/>
                <w:szCs w:val="1"/>
                <w:color w:val="auto"/>
              </w:rPr>
            </w:pPr>
          </w:p>
        </w:tc>
      </w:tr>
      <w:tr>
        <w:trPr>
          <w:trHeight w:val="182"/>
        </w:trPr>
        <w:tc>
          <w:tcPr>
            <w:tcW w:w="2240" w:type="dxa"/>
            <w:vAlign w:val="bottom"/>
            <w:vMerge w:val="restart"/>
          </w:tcPr>
          <w:p>
            <w:pPr>
              <w:ind w:left="60"/>
              <w:spacing w:after="0"/>
              <w:rPr>
                <w:sz w:val="20"/>
                <w:szCs w:val="20"/>
                <w:color w:val="auto"/>
              </w:rPr>
            </w:pPr>
            <w:r>
              <w:rPr>
                <w:rFonts w:ascii="Arial" w:cs="Arial" w:eastAsia="Arial" w:hAnsi="Arial"/>
                <w:sz w:val="16"/>
                <w:szCs w:val="16"/>
                <w:b w:val="1"/>
                <w:bCs w:val="1"/>
                <w:color w:val="0A9E50"/>
              </w:rPr>
              <w:t xml:space="preserve">Age: </w:t>
            </w:r>
            <w:r>
              <w:rPr>
                <w:rFonts w:ascii="Arial" w:cs="Arial" w:eastAsia="Arial" w:hAnsi="Arial"/>
                <w:sz w:val="16"/>
                <w:szCs w:val="16"/>
                <w:color w:val="000000"/>
              </w:rPr>
              <w:t>62</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w w:val="99"/>
              </w:rPr>
              <w:t>General Counsel from January 2013 to May 2015. Mr. Quigley led the Company’s Global Client Relationships</w:t>
            </w:r>
          </w:p>
        </w:tc>
        <w:tc>
          <w:tcPr>
            <w:tcW w:w="0" w:type="dxa"/>
            <w:vAlign w:val="bottom"/>
          </w:tcPr>
          <w:p>
            <w:pPr>
              <w:spacing w:after="0"/>
              <w:rPr>
                <w:sz w:val="1"/>
                <w:szCs w:val="1"/>
                <w:color w:val="auto"/>
              </w:rPr>
            </w:pPr>
          </w:p>
        </w:tc>
      </w:tr>
      <w:tr>
        <w:trPr>
          <w:trHeight w:val="109"/>
        </w:trPr>
        <w:tc>
          <w:tcPr>
            <w:tcW w:w="2240" w:type="dxa"/>
            <w:vAlign w:val="bottom"/>
            <w:vMerge w:val="continue"/>
          </w:tcPr>
          <w:p>
            <w:pPr>
              <w:spacing w:after="0"/>
              <w:rPr>
                <w:sz w:val="9"/>
                <w:szCs w:val="9"/>
                <w:color w:val="auto"/>
              </w:rPr>
            </w:pPr>
          </w:p>
        </w:tc>
        <w:tc>
          <w:tcPr>
            <w:tcW w:w="8380" w:type="dxa"/>
            <w:vAlign w:val="bottom"/>
            <w:vMerge w:val="restart"/>
          </w:tcPr>
          <w:p>
            <w:pPr>
              <w:ind w:left="640"/>
              <w:spacing w:after="0" w:line="182" w:lineRule="exact"/>
              <w:rPr>
                <w:sz w:val="20"/>
                <w:szCs w:val="20"/>
                <w:color w:val="auto"/>
              </w:rPr>
            </w:pPr>
            <w:r>
              <w:rPr>
                <w:rFonts w:ascii="Arial" w:cs="Arial" w:eastAsia="Arial" w:hAnsi="Arial"/>
                <w:sz w:val="16"/>
                <w:szCs w:val="16"/>
                <w:color w:val="auto"/>
                <w:w w:val="98"/>
              </w:rPr>
              <w:t>group from January 2008 to December 2012 and served in multiple roles including Sr. Director of Service, Vice</w:t>
            </w:r>
          </w:p>
        </w:tc>
        <w:tc>
          <w:tcPr>
            <w:tcW w:w="0" w:type="dxa"/>
            <w:vAlign w:val="bottom"/>
          </w:tcPr>
          <w:p>
            <w:pPr>
              <w:spacing w:after="0"/>
              <w:rPr>
                <w:sz w:val="1"/>
                <w:szCs w:val="1"/>
                <w:color w:val="auto"/>
              </w:rPr>
            </w:pPr>
          </w:p>
        </w:tc>
      </w:tr>
      <w:tr>
        <w:trPr>
          <w:trHeight w:val="73"/>
        </w:trPr>
        <w:tc>
          <w:tcPr>
            <w:tcW w:w="2240" w:type="dxa"/>
            <w:vAlign w:val="bottom"/>
          </w:tcPr>
          <w:p>
            <w:pPr>
              <w:spacing w:after="0"/>
              <w:rPr>
                <w:sz w:val="6"/>
                <w:szCs w:val="6"/>
                <w:color w:val="auto"/>
              </w:rPr>
            </w:pPr>
          </w:p>
        </w:tc>
        <w:tc>
          <w:tcPr>
            <w:tcW w:w="8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w w:val="98"/>
              </w:rPr>
              <w:t>President, Contract Administration, and Vice President, Associate General Counsel from the time he joined the</w:t>
            </w: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rPr>
              <w:t>company in November 2002 until December 2007. Prior to joining the Company, Mr. Quigley held a variety of</w:t>
            </w:r>
          </w:p>
        </w:tc>
        <w:tc>
          <w:tcPr>
            <w:tcW w:w="0" w:type="dxa"/>
            <w:vAlign w:val="bottom"/>
          </w:tcPr>
          <w:p>
            <w:pPr>
              <w:spacing w:after="0"/>
              <w:rPr>
                <w:sz w:val="1"/>
                <w:szCs w:val="1"/>
                <w:color w:val="auto"/>
              </w:rPr>
            </w:pPr>
          </w:p>
        </w:tc>
      </w:tr>
      <w:tr>
        <w:trPr>
          <w:trHeight w:val="205"/>
        </w:trPr>
        <w:tc>
          <w:tcPr>
            <w:tcW w:w="2240" w:type="dxa"/>
            <w:vAlign w:val="bottom"/>
          </w:tcPr>
          <w:p>
            <w:pPr>
              <w:spacing w:after="0"/>
              <w:rPr>
                <w:sz w:val="17"/>
                <w:szCs w:val="17"/>
                <w:color w:val="auto"/>
              </w:rPr>
            </w:pPr>
          </w:p>
        </w:tc>
        <w:tc>
          <w:tcPr>
            <w:tcW w:w="8380" w:type="dxa"/>
            <w:vAlign w:val="bottom"/>
          </w:tcPr>
          <w:p>
            <w:pPr>
              <w:ind w:left="640"/>
              <w:spacing w:after="0"/>
              <w:rPr>
                <w:sz w:val="20"/>
                <w:szCs w:val="20"/>
                <w:color w:val="auto"/>
              </w:rPr>
            </w:pPr>
            <w:r>
              <w:rPr>
                <w:rFonts w:ascii="Arial" w:cs="Arial" w:eastAsia="Arial" w:hAnsi="Arial"/>
                <w:sz w:val="16"/>
                <w:szCs w:val="16"/>
                <w:color w:val="auto"/>
              </w:rPr>
              <w:t>roles at Lucent Technologies and AT&amp;T Corporation.</w:t>
            </w:r>
          </w:p>
        </w:tc>
        <w:tc>
          <w:tcPr>
            <w:tcW w:w="0" w:type="dxa"/>
            <w:vAlign w:val="bottom"/>
          </w:tcPr>
          <w:p>
            <w:pPr>
              <w:spacing w:after="0"/>
              <w:rPr>
                <w:sz w:val="1"/>
                <w:szCs w:val="1"/>
                <w:color w:val="auto"/>
              </w:rPr>
            </w:pPr>
          </w:p>
        </w:tc>
      </w:tr>
      <w:tr>
        <w:trPr>
          <w:trHeight w:val="119"/>
        </w:trPr>
        <w:tc>
          <w:tcPr>
            <w:tcW w:w="2240" w:type="dxa"/>
            <w:vAlign w:val="bottom"/>
            <w:tcBorders>
              <w:bottom w:val="single" w:sz="8" w:color="7F7F7F"/>
            </w:tcBorders>
          </w:tcPr>
          <w:p>
            <w:pPr>
              <w:spacing w:after="0"/>
              <w:rPr>
                <w:sz w:val="10"/>
                <w:szCs w:val="10"/>
                <w:color w:val="auto"/>
              </w:rPr>
            </w:pPr>
          </w:p>
        </w:tc>
        <w:tc>
          <w:tcPr>
            <w:tcW w:w="8380" w:type="dxa"/>
            <w:vAlign w:val="bottom"/>
            <w:tcBorders>
              <w:bottom w:val="single" w:sz="8" w:color="7F7F7F"/>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60"/>
              <w:spacing w:after="0"/>
              <w:rPr>
                <w:sz w:val="20"/>
                <w:szCs w:val="20"/>
                <w:color w:val="auto"/>
              </w:rPr>
            </w:pPr>
            <w:r>
              <w:rPr>
                <w:rFonts w:ascii="Arial" w:cs="Arial" w:eastAsia="Arial" w:hAnsi="Arial"/>
                <w:sz w:val="16"/>
                <w:szCs w:val="16"/>
                <w:b w:val="1"/>
                <w:bCs w:val="1"/>
                <w:color w:val="auto"/>
              </w:rPr>
              <w:t>Olivier G. Thirot</w:t>
            </w:r>
          </w:p>
        </w:tc>
        <w:tc>
          <w:tcPr>
            <w:tcW w:w="8380" w:type="dxa"/>
            <w:vAlign w:val="bottom"/>
          </w:tcPr>
          <w:p>
            <w:pPr>
              <w:ind w:left="640"/>
              <w:spacing w:after="0"/>
              <w:rPr>
                <w:sz w:val="20"/>
                <w:szCs w:val="20"/>
                <w:color w:val="auto"/>
              </w:rPr>
            </w:pPr>
            <w:r>
              <w:rPr>
                <w:rFonts w:ascii="Arial" w:cs="Arial" w:eastAsia="Arial" w:hAnsi="Arial"/>
                <w:sz w:val="16"/>
                <w:szCs w:val="16"/>
                <w:color w:val="auto"/>
              </w:rPr>
              <w:t>Mr. Thirot served as the Company’s acting Chief Financial Officer from March 2015 to January 2016 when he</w:t>
            </w:r>
          </w:p>
        </w:tc>
        <w:tc>
          <w:tcPr>
            <w:tcW w:w="0" w:type="dxa"/>
            <w:vAlign w:val="bottom"/>
          </w:tcPr>
          <w:p>
            <w:pPr>
              <w:spacing w:after="0"/>
              <w:rPr>
                <w:sz w:val="1"/>
                <w:szCs w:val="1"/>
                <w:color w:val="auto"/>
              </w:rPr>
            </w:pPr>
          </w:p>
        </w:tc>
      </w:tr>
      <w:tr>
        <w:trPr>
          <w:trHeight w:val="182"/>
        </w:trPr>
        <w:tc>
          <w:tcPr>
            <w:tcW w:w="2240" w:type="dxa"/>
            <w:vAlign w:val="bottom"/>
          </w:tcPr>
          <w:p>
            <w:pPr>
              <w:ind w:left="60"/>
              <w:spacing w:after="0" w:line="182" w:lineRule="exact"/>
              <w:rPr>
                <w:sz w:val="20"/>
                <w:szCs w:val="20"/>
                <w:color w:val="auto"/>
              </w:rPr>
            </w:pPr>
            <w:r>
              <w:rPr>
                <w:rFonts w:ascii="Arial" w:cs="Arial" w:eastAsia="Arial" w:hAnsi="Arial"/>
                <w:sz w:val="16"/>
                <w:szCs w:val="16"/>
                <w:color w:val="auto"/>
              </w:rPr>
              <w:t>Executive Vice</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w w:val="97"/>
              </w:rPr>
              <w:t>was appointed Chief Financial Officer. He served as the Company’s Senior Vice President and Chief Accounting</w:t>
            </w:r>
          </w:p>
        </w:tc>
        <w:tc>
          <w:tcPr>
            <w:tcW w:w="0" w:type="dxa"/>
            <w:vAlign w:val="bottom"/>
          </w:tcPr>
          <w:p>
            <w:pPr>
              <w:spacing w:after="0"/>
              <w:rPr>
                <w:sz w:val="1"/>
                <w:szCs w:val="1"/>
                <w:color w:val="auto"/>
              </w:rPr>
            </w:pPr>
          </w:p>
        </w:tc>
      </w:tr>
      <w:tr>
        <w:trPr>
          <w:trHeight w:val="182"/>
        </w:trPr>
        <w:tc>
          <w:tcPr>
            <w:tcW w:w="2240" w:type="dxa"/>
            <w:vAlign w:val="bottom"/>
          </w:tcPr>
          <w:p>
            <w:pPr>
              <w:ind w:left="60"/>
              <w:spacing w:after="0" w:line="182" w:lineRule="exact"/>
              <w:rPr>
                <w:sz w:val="20"/>
                <w:szCs w:val="20"/>
                <w:color w:val="auto"/>
              </w:rPr>
            </w:pPr>
            <w:r>
              <w:rPr>
                <w:rFonts w:ascii="Arial" w:cs="Arial" w:eastAsia="Arial" w:hAnsi="Arial"/>
                <w:sz w:val="16"/>
                <w:szCs w:val="16"/>
                <w:color w:val="auto"/>
              </w:rPr>
              <w:t>President and Chief</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w w:val="98"/>
              </w:rPr>
              <w:t>Officer from September 2014 to March 2015. Mr. Thirot was Vice President, Finance for the Company’s EMEA</w:t>
            </w:r>
          </w:p>
        </w:tc>
        <w:tc>
          <w:tcPr>
            <w:tcW w:w="0" w:type="dxa"/>
            <w:vAlign w:val="bottom"/>
          </w:tcPr>
          <w:p>
            <w:pPr>
              <w:spacing w:after="0"/>
              <w:rPr>
                <w:sz w:val="1"/>
                <w:szCs w:val="1"/>
                <w:color w:val="auto"/>
              </w:rPr>
            </w:pPr>
          </w:p>
        </w:tc>
      </w:tr>
      <w:tr>
        <w:trPr>
          <w:trHeight w:val="182"/>
        </w:trPr>
        <w:tc>
          <w:tcPr>
            <w:tcW w:w="2240" w:type="dxa"/>
            <w:vAlign w:val="bottom"/>
          </w:tcPr>
          <w:p>
            <w:pPr>
              <w:ind w:left="60"/>
              <w:spacing w:after="0" w:line="182" w:lineRule="exact"/>
              <w:rPr>
                <w:sz w:val="20"/>
                <w:szCs w:val="20"/>
                <w:color w:val="auto"/>
              </w:rPr>
            </w:pPr>
            <w:r>
              <w:rPr>
                <w:rFonts w:ascii="Arial" w:cs="Arial" w:eastAsia="Arial" w:hAnsi="Arial"/>
                <w:sz w:val="16"/>
                <w:szCs w:val="16"/>
                <w:color w:val="auto"/>
              </w:rPr>
              <w:t>Financial Officer</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rPr>
              <w:t>business beginning in 2008 when he joined the Company and assumed added responsibility for the APAC</w:t>
            </w:r>
          </w:p>
        </w:tc>
        <w:tc>
          <w:tcPr>
            <w:tcW w:w="0" w:type="dxa"/>
            <w:vAlign w:val="bottom"/>
          </w:tcPr>
          <w:p>
            <w:pPr>
              <w:spacing w:after="0"/>
              <w:rPr>
                <w:sz w:val="1"/>
                <w:szCs w:val="1"/>
                <w:color w:val="auto"/>
              </w:rPr>
            </w:pPr>
          </w:p>
        </w:tc>
      </w:tr>
      <w:tr>
        <w:trPr>
          <w:trHeight w:val="182"/>
        </w:trPr>
        <w:tc>
          <w:tcPr>
            <w:tcW w:w="2240" w:type="dxa"/>
            <w:vAlign w:val="bottom"/>
            <w:vMerge w:val="restart"/>
          </w:tcPr>
          <w:p>
            <w:pPr>
              <w:ind w:left="60"/>
              <w:spacing w:after="0"/>
              <w:rPr>
                <w:sz w:val="20"/>
                <w:szCs w:val="20"/>
                <w:color w:val="auto"/>
              </w:rPr>
            </w:pPr>
            <w:r>
              <w:rPr>
                <w:rFonts w:ascii="Arial" w:cs="Arial" w:eastAsia="Arial" w:hAnsi="Arial"/>
                <w:sz w:val="16"/>
                <w:szCs w:val="16"/>
                <w:b w:val="1"/>
                <w:bCs w:val="1"/>
                <w:color w:val="0A9E50"/>
              </w:rPr>
              <w:t xml:space="preserve">Age: </w:t>
            </w:r>
            <w:r>
              <w:rPr>
                <w:rFonts w:ascii="Arial" w:cs="Arial" w:eastAsia="Arial" w:hAnsi="Arial"/>
                <w:sz w:val="16"/>
                <w:szCs w:val="16"/>
                <w:color w:val="000000"/>
              </w:rPr>
              <w:t>63</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w w:val="98"/>
              </w:rPr>
              <w:t>business in 2011. Prior to joining the Company, he worked at L. Raphael as Chief Financial Officer and prior to</w:t>
            </w:r>
          </w:p>
        </w:tc>
        <w:tc>
          <w:tcPr>
            <w:tcW w:w="0" w:type="dxa"/>
            <w:vAlign w:val="bottom"/>
          </w:tcPr>
          <w:p>
            <w:pPr>
              <w:spacing w:after="0"/>
              <w:rPr>
                <w:sz w:val="1"/>
                <w:szCs w:val="1"/>
                <w:color w:val="auto"/>
              </w:rPr>
            </w:pPr>
          </w:p>
        </w:tc>
      </w:tr>
      <w:tr>
        <w:trPr>
          <w:trHeight w:val="109"/>
        </w:trPr>
        <w:tc>
          <w:tcPr>
            <w:tcW w:w="2240" w:type="dxa"/>
            <w:vAlign w:val="bottom"/>
            <w:vMerge w:val="continue"/>
          </w:tcPr>
          <w:p>
            <w:pPr>
              <w:spacing w:after="0"/>
              <w:rPr>
                <w:sz w:val="9"/>
                <w:szCs w:val="9"/>
                <w:color w:val="auto"/>
              </w:rPr>
            </w:pPr>
          </w:p>
        </w:tc>
        <w:tc>
          <w:tcPr>
            <w:tcW w:w="8380" w:type="dxa"/>
            <w:vAlign w:val="bottom"/>
            <w:vMerge w:val="restart"/>
          </w:tcPr>
          <w:p>
            <w:pPr>
              <w:ind w:left="640"/>
              <w:spacing w:after="0"/>
              <w:rPr>
                <w:sz w:val="20"/>
                <w:szCs w:val="20"/>
                <w:color w:val="auto"/>
              </w:rPr>
            </w:pPr>
            <w:r>
              <w:rPr>
                <w:rFonts w:ascii="Arial" w:cs="Arial" w:eastAsia="Arial" w:hAnsi="Arial"/>
                <w:sz w:val="16"/>
                <w:szCs w:val="16"/>
                <w:color w:val="auto"/>
              </w:rPr>
              <w:t>that, he spent 18 years with Bacardi, LTD in various leadership positions.</w:t>
            </w:r>
          </w:p>
        </w:tc>
        <w:tc>
          <w:tcPr>
            <w:tcW w:w="0" w:type="dxa"/>
            <w:vAlign w:val="bottom"/>
          </w:tcPr>
          <w:p>
            <w:pPr>
              <w:spacing w:after="0"/>
              <w:rPr>
                <w:sz w:val="1"/>
                <w:szCs w:val="1"/>
                <w:color w:val="auto"/>
              </w:rPr>
            </w:pPr>
          </w:p>
        </w:tc>
      </w:tr>
      <w:tr>
        <w:trPr>
          <w:trHeight w:val="96"/>
        </w:trPr>
        <w:tc>
          <w:tcPr>
            <w:tcW w:w="2240" w:type="dxa"/>
            <w:vAlign w:val="bottom"/>
          </w:tcPr>
          <w:p>
            <w:pPr>
              <w:spacing w:after="0"/>
              <w:rPr>
                <w:sz w:val="8"/>
                <w:szCs w:val="8"/>
                <w:color w:val="auto"/>
              </w:rPr>
            </w:pPr>
          </w:p>
        </w:tc>
        <w:tc>
          <w:tcPr>
            <w:tcW w:w="8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240" w:type="dxa"/>
            <w:vAlign w:val="bottom"/>
            <w:tcBorders>
              <w:bottom w:val="single" w:sz="8" w:color="7F7F7F"/>
            </w:tcBorders>
          </w:tcPr>
          <w:p>
            <w:pPr>
              <w:spacing w:after="0"/>
              <w:rPr>
                <w:sz w:val="10"/>
                <w:szCs w:val="10"/>
                <w:color w:val="auto"/>
              </w:rPr>
            </w:pPr>
          </w:p>
        </w:tc>
        <w:tc>
          <w:tcPr>
            <w:tcW w:w="8380" w:type="dxa"/>
            <w:vAlign w:val="bottom"/>
            <w:tcBorders>
              <w:bottom w:val="single" w:sz="8" w:color="7F7F7F"/>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60"/>
              <w:spacing w:after="0"/>
              <w:rPr>
                <w:sz w:val="20"/>
                <w:szCs w:val="20"/>
                <w:color w:val="auto"/>
              </w:rPr>
            </w:pPr>
            <w:r>
              <w:rPr>
                <w:rFonts w:ascii="Arial" w:cs="Arial" w:eastAsia="Arial" w:hAnsi="Arial"/>
                <w:sz w:val="16"/>
                <w:szCs w:val="16"/>
                <w:b w:val="1"/>
                <w:bCs w:val="1"/>
                <w:color w:val="auto"/>
              </w:rPr>
              <w:t>Daniel Hugo Malan</w:t>
            </w:r>
          </w:p>
        </w:tc>
        <w:tc>
          <w:tcPr>
            <w:tcW w:w="8380" w:type="dxa"/>
            <w:vAlign w:val="bottom"/>
          </w:tcPr>
          <w:p>
            <w:pPr>
              <w:ind w:left="640"/>
              <w:spacing w:after="0"/>
              <w:rPr>
                <w:sz w:val="20"/>
                <w:szCs w:val="20"/>
                <w:color w:val="auto"/>
              </w:rPr>
            </w:pPr>
            <w:r>
              <w:rPr>
                <w:rFonts w:ascii="Arial" w:cs="Arial" w:eastAsia="Arial" w:hAnsi="Arial"/>
                <w:sz w:val="16"/>
                <w:szCs w:val="16"/>
                <w:color w:val="auto"/>
                <w:w w:val="97"/>
              </w:rPr>
              <w:t>Mr. Malan has served as the Company’s President of Science, Engineering, and Technology since March 2020.</w:t>
            </w:r>
          </w:p>
        </w:tc>
        <w:tc>
          <w:tcPr>
            <w:tcW w:w="0" w:type="dxa"/>
            <w:vAlign w:val="bottom"/>
          </w:tcPr>
          <w:p>
            <w:pPr>
              <w:spacing w:after="0"/>
              <w:rPr>
                <w:sz w:val="1"/>
                <w:szCs w:val="1"/>
                <w:color w:val="auto"/>
              </w:rPr>
            </w:pPr>
          </w:p>
        </w:tc>
      </w:tr>
      <w:tr>
        <w:trPr>
          <w:trHeight w:val="182"/>
        </w:trPr>
        <w:tc>
          <w:tcPr>
            <w:tcW w:w="2240" w:type="dxa"/>
            <w:vAlign w:val="bottom"/>
          </w:tcPr>
          <w:p>
            <w:pPr>
              <w:ind w:left="60"/>
              <w:spacing w:after="0" w:line="182" w:lineRule="exact"/>
              <w:rPr>
                <w:sz w:val="20"/>
                <w:szCs w:val="20"/>
                <w:color w:val="auto"/>
              </w:rPr>
            </w:pPr>
            <w:r>
              <w:rPr>
                <w:rFonts w:ascii="Arial" w:cs="Arial" w:eastAsia="Arial" w:hAnsi="Arial"/>
                <w:sz w:val="16"/>
                <w:szCs w:val="16"/>
                <w:color w:val="auto"/>
              </w:rPr>
              <w:t>Senior Vice President</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w w:val="99"/>
              </w:rPr>
              <w:t>Prior to that he worked at EmployBridge for three years, serving as President of its Commercial Business from</w:t>
            </w:r>
          </w:p>
        </w:tc>
        <w:tc>
          <w:tcPr>
            <w:tcW w:w="0" w:type="dxa"/>
            <w:vAlign w:val="bottom"/>
          </w:tcPr>
          <w:p>
            <w:pPr>
              <w:spacing w:after="0"/>
              <w:rPr>
                <w:sz w:val="1"/>
                <w:szCs w:val="1"/>
                <w:color w:val="auto"/>
              </w:rPr>
            </w:pPr>
          </w:p>
        </w:tc>
      </w:tr>
      <w:tr>
        <w:trPr>
          <w:trHeight w:val="182"/>
        </w:trPr>
        <w:tc>
          <w:tcPr>
            <w:tcW w:w="2240" w:type="dxa"/>
            <w:vAlign w:val="bottom"/>
          </w:tcPr>
          <w:p>
            <w:pPr>
              <w:ind w:left="60"/>
              <w:spacing w:after="0" w:line="182" w:lineRule="exact"/>
              <w:rPr>
                <w:sz w:val="20"/>
                <w:szCs w:val="20"/>
                <w:color w:val="auto"/>
              </w:rPr>
            </w:pPr>
            <w:r>
              <w:rPr>
                <w:rFonts w:ascii="Arial" w:cs="Arial" w:eastAsia="Arial" w:hAnsi="Arial"/>
                <w:sz w:val="16"/>
                <w:szCs w:val="16"/>
                <w:color w:val="auto"/>
              </w:rPr>
              <w:t>President, Kelly</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rPr>
              <w:t>December 2016 to July 2018 before being named Chief Operating Officer in August 2018 through November</w:t>
            </w:r>
          </w:p>
        </w:tc>
        <w:tc>
          <w:tcPr>
            <w:tcW w:w="0" w:type="dxa"/>
            <w:vAlign w:val="bottom"/>
          </w:tcPr>
          <w:p>
            <w:pPr>
              <w:spacing w:after="0"/>
              <w:rPr>
                <w:sz w:val="1"/>
                <w:szCs w:val="1"/>
                <w:color w:val="auto"/>
              </w:rPr>
            </w:pPr>
          </w:p>
        </w:tc>
      </w:tr>
      <w:tr>
        <w:trPr>
          <w:trHeight w:val="182"/>
        </w:trPr>
        <w:tc>
          <w:tcPr>
            <w:tcW w:w="2240" w:type="dxa"/>
            <w:vAlign w:val="bottom"/>
          </w:tcPr>
          <w:p>
            <w:pPr>
              <w:ind w:left="60"/>
              <w:spacing w:after="0" w:line="182" w:lineRule="exact"/>
              <w:rPr>
                <w:sz w:val="20"/>
                <w:szCs w:val="20"/>
                <w:color w:val="auto"/>
              </w:rPr>
            </w:pPr>
            <w:r>
              <w:rPr>
                <w:rFonts w:ascii="Arial" w:cs="Arial" w:eastAsia="Arial" w:hAnsi="Arial"/>
                <w:sz w:val="16"/>
                <w:szCs w:val="16"/>
                <w:color w:val="auto"/>
              </w:rPr>
              <w:t>Science, Enginerring,</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w w:val="98"/>
              </w:rPr>
              <w:t>2019. From November 2014 to November 2016, Mr. Malan was Executive Vice President and President, North</w:t>
            </w:r>
          </w:p>
        </w:tc>
        <w:tc>
          <w:tcPr>
            <w:tcW w:w="0" w:type="dxa"/>
            <w:vAlign w:val="bottom"/>
          </w:tcPr>
          <w:p>
            <w:pPr>
              <w:spacing w:after="0"/>
              <w:rPr>
                <w:sz w:val="1"/>
                <w:szCs w:val="1"/>
                <w:color w:val="auto"/>
              </w:rPr>
            </w:pPr>
          </w:p>
        </w:tc>
      </w:tr>
      <w:tr>
        <w:trPr>
          <w:trHeight w:val="182"/>
        </w:trPr>
        <w:tc>
          <w:tcPr>
            <w:tcW w:w="2240" w:type="dxa"/>
            <w:vAlign w:val="bottom"/>
          </w:tcPr>
          <w:p>
            <w:pPr>
              <w:ind w:left="60"/>
              <w:spacing w:after="0" w:line="182" w:lineRule="exact"/>
              <w:rPr>
                <w:sz w:val="20"/>
                <w:szCs w:val="20"/>
                <w:color w:val="auto"/>
              </w:rPr>
            </w:pPr>
            <w:r>
              <w:rPr>
                <w:rFonts w:ascii="Arial" w:cs="Arial" w:eastAsia="Arial" w:hAnsi="Arial"/>
                <w:sz w:val="16"/>
                <w:szCs w:val="16"/>
                <w:color w:val="auto"/>
              </w:rPr>
              <w:t>Technology &amp; Telecom</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rPr>
              <w:t>America Staffing for CDI Talent and Technology Solutions, and from March 2009 to October 2014 served as</w:t>
            </w:r>
          </w:p>
        </w:tc>
        <w:tc>
          <w:tcPr>
            <w:tcW w:w="0" w:type="dxa"/>
            <w:vAlign w:val="bottom"/>
          </w:tcPr>
          <w:p>
            <w:pPr>
              <w:spacing w:after="0"/>
              <w:rPr>
                <w:sz w:val="1"/>
                <w:szCs w:val="1"/>
                <w:color w:val="auto"/>
              </w:rPr>
            </w:pPr>
          </w:p>
        </w:tc>
      </w:tr>
      <w:tr>
        <w:trPr>
          <w:trHeight w:val="205"/>
        </w:trPr>
        <w:tc>
          <w:tcPr>
            <w:tcW w:w="2240" w:type="dxa"/>
            <w:vAlign w:val="bottom"/>
            <w:vMerge w:val="restart"/>
          </w:tcPr>
          <w:p>
            <w:pPr>
              <w:ind w:left="60"/>
              <w:spacing w:after="0"/>
              <w:rPr>
                <w:sz w:val="20"/>
                <w:szCs w:val="20"/>
                <w:color w:val="auto"/>
              </w:rPr>
            </w:pPr>
            <w:r>
              <w:rPr>
                <w:rFonts w:ascii="Arial" w:cs="Arial" w:eastAsia="Arial" w:hAnsi="Arial"/>
                <w:sz w:val="16"/>
                <w:szCs w:val="16"/>
                <w:b w:val="1"/>
                <w:bCs w:val="1"/>
                <w:color w:val="0A9E50"/>
              </w:rPr>
              <w:t xml:space="preserve">Age: </w:t>
            </w:r>
            <w:r>
              <w:rPr>
                <w:rFonts w:ascii="Arial" w:cs="Arial" w:eastAsia="Arial" w:hAnsi="Arial"/>
                <w:sz w:val="16"/>
                <w:szCs w:val="16"/>
                <w:color w:val="000000"/>
              </w:rPr>
              <w:t>54</w:t>
            </w:r>
          </w:p>
        </w:tc>
        <w:tc>
          <w:tcPr>
            <w:tcW w:w="8380" w:type="dxa"/>
            <w:vAlign w:val="bottom"/>
          </w:tcPr>
          <w:p>
            <w:pPr>
              <w:ind w:left="640"/>
              <w:spacing w:after="0"/>
              <w:rPr>
                <w:sz w:val="20"/>
                <w:szCs w:val="20"/>
                <w:color w:val="auto"/>
              </w:rPr>
            </w:pPr>
            <w:r>
              <w:rPr>
                <w:rFonts w:ascii="Arial" w:cs="Arial" w:eastAsia="Arial" w:hAnsi="Arial"/>
                <w:sz w:val="16"/>
                <w:szCs w:val="16"/>
                <w:color w:val="auto"/>
              </w:rPr>
              <w:t>Senior Vice President and President of operating units for Sears Holdings.</w:t>
            </w:r>
          </w:p>
        </w:tc>
        <w:tc>
          <w:tcPr>
            <w:tcW w:w="0" w:type="dxa"/>
            <w:vAlign w:val="bottom"/>
          </w:tcPr>
          <w:p>
            <w:pPr>
              <w:spacing w:after="0"/>
              <w:rPr>
                <w:sz w:val="1"/>
                <w:szCs w:val="1"/>
                <w:color w:val="auto"/>
              </w:rPr>
            </w:pPr>
          </w:p>
        </w:tc>
      </w:tr>
      <w:tr>
        <w:trPr>
          <w:trHeight w:val="86"/>
        </w:trPr>
        <w:tc>
          <w:tcPr>
            <w:tcW w:w="2240" w:type="dxa"/>
            <w:vAlign w:val="bottom"/>
            <w:vMerge w:val="continue"/>
          </w:tcPr>
          <w:p>
            <w:pPr>
              <w:spacing w:after="0"/>
              <w:rPr>
                <w:sz w:val="7"/>
                <w:szCs w:val="7"/>
                <w:color w:val="auto"/>
              </w:rPr>
            </w:pPr>
          </w:p>
        </w:tc>
        <w:tc>
          <w:tcPr>
            <w:tcW w:w="8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78740</wp:posOffset>
            </wp:positionV>
            <wp:extent cx="67405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16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Vanessa P. Williams</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Senior Vice President</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General Counsel and</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Corporate Secretary</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A9E50"/>
        </w:rPr>
        <w:t xml:space="preserve">Age: </w:t>
      </w:r>
      <w:r>
        <w:rPr>
          <w:rFonts w:ascii="Arial" w:cs="Arial" w:eastAsia="Arial" w:hAnsi="Arial"/>
          <w:sz w:val="16"/>
          <w:szCs w:val="16"/>
          <w:color w:val="000000"/>
        </w:rPr>
        <w:t>52</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Ms. Williams has served as General Counsel since joining the Company in September 2020 and was recently appointed Corporate Secretary effective October 1, 2023. Previously, she worked from July 2006 to September 2020 in a variety of roles for IHS Market including Senior Vice President, Legal, Risk and Compliance; Vice President, Divisional Counsel-Transportation; Vice President, Chief Legal Counsel and Global Privacy Officer (IHS, Inc.); Vice President and Deputy General Counsel and Chief Compliance Officer; Deputy General Counsel; and Associate General Counsel (R.L. Polk &amp; Co.). In addition, Ms. Williams has been a member of Horizon Bank’s board of directors since 2022 and Horizon Bancorp, Inc.’s board of directors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59055</wp:posOffset>
            </wp:positionV>
            <wp:extent cx="67405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2480" w:space="720"/>
            <w:col w:w="7740"/>
          </w:cols>
          <w:pgMar w:left="320" w:top="471" w:right="639" w:bottom="1440" w:gutter="0" w:footer="0" w:header="0"/>
          <w:type w:val="continuous"/>
        </w:sectPr>
      </w:pPr>
    </w:p>
    <w:p>
      <w:pPr>
        <w:spacing w:after="0" w:line="193" w:lineRule="exact"/>
        <w:rPr>
          <w:sz w:val="20"/>
          <w:szCs w:val="20"/>
          <w:color w:val="auto"/>
        </w:rPr>
      </w:pPr>
    </w:p>
    <w:p>
      <w:pPr>
        <w:ind w:left="380" w:right="100"/>
        <w:spacing w:after="0" w:line="252" w:lineRule="auto"/>
        <w:rPr>
          <w:sz w:val="20"/>
          <w:szCs w:val="20"/>
          <w:color w:val="auto"/>
        </w:rPr>
      </w:pPr>
      <w:r>
        <w:rPr>
          <w:rFonts w:ascii="Arial" w:cs="Arial" w:eastAsia="Arial" w:hAnsi="Arial"/>
          <w:sz w:val="16"/>
          <w:szCs w:val="16"/>
          <w:b w:val="1"/>
          <w:bCs w:val="1"/>
          <w:color w:val="auto"/>
        </w:rPr>
        <w:t xml:space="preserve">Dinette Koolhaas </w:t>
      </w:r>
      <w:r>
        <w:rPr>
          <w:rFonts w:ascii="Arial" w:cs="Arial" w:eastAsia="Arial" w:hAnsi="Arial"/>
          <w:sz w:val="16"/>
          <w:szCs w:val="16"/>
          <w:color w:val="auto"/>
        </w:rPr>
        <w:t>Senior Vice President President, Kelly International</w:t>
      </w:r>
    </w:p>
    <w:p>
      <w:pPr>
        <w:spacing w:after="0" w:line="4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A9E50"/>
        </w:rPr>
        <w:t xml:space="preserve">Age: </w:t>
      </w:r>
      <w:r>
        <w:rPr>
          <w:rFonts w:ascii="Arial" w:cs="Arial" w:eastAsia="Arial" w:hAnsi="Arial"/>
          <w:sz w:val="16"/>
          <w:szCs w:val="16"/>
          <w:color w:val="000000"/>
        </w:rPr>
        <w:t>55</w:t>
      </w:r>
    </w:p>
    <w:p>
      <w:pPr>
        <w:spacing w:after="0" w:line="20" w:lineRule="exact"/>
        <w:rPr>
          <w:sz w:val="20"/>
          <w:szCs w:val="20"/>
          <w:color w:val="auto"/>
        </w:rPr>
      </w:pPr>
      <w:r>
        <w:rPr>
          <w:sz w:val="20"/>
          <w:szCs w:val="20"/>
          <w:color w:val="auto"/>
        </w:rPr>
        <w:br w:type="column"/>
      </w:r>
    </w:p>
    <w:p>
      <w:pPr>
        <w:ind w:right="120"/>
        <w:spacing w:after="0" w:line="244" w:lineRule="auto"/>
        <w:rPr>
          <w:sz w:val="20"/>
          <w:szCs w:val="20"/>
          <w:color w:val="auto"/>
        </w:rPr>
      </w:pPr>
      <w:r>
        <w:rPr>
          <w:rFonts w:ascii="Arial" w:cs="Arial" w:eastAsia="Arial" w:hAnsi="Arial"/>
          <w:sz w:val="16"/>
          <w:szCs w:val="16"/>
          <w:color w:val="auto"/>
        </w:rPr>
        <w:t>Ms. Koolhaas previously served as Vice President, EMEA Operations from September 2013 to February 2017, at which time she took on Managing Director responsibilities for EMEA until July 2020 when she took on her current role. Prior to that, she was Vice President and Regional Manager of Western Europe from June 2008 through August 2013. Prior to joining the Company in 2008, Ms. Koolhaas served in various roles with USG People.</w:t>
      </w:r>
    </w:p>
    <w:p>
      <w:pPr>
        <w:spacing w:after="0" w:line="186" w:lineRule="exact"/>
        <w:rPr>
          <w:sz w:val="20"/>
          <w:szCs w:val="20"/>
          <w:color w:val="auto"/>
        </w:rPr>
      </w:pPr>
    </w:p>
    <w:p>
      <w:pPr>
        <w:sectPr>
          <w:pgSz w:w="11900" w:h="16838" w:orient="portrait"/>
          <w:cols w:equalWidth="0" w:num="2">
            <w:col w:w="2480" w:space="720"/>
            <w:col w:w="7740"/>
          </w:cols>
          <w:pgMar w:left="320" w:top="471" w:right="639" w:bottom="1440" w:gutter="0" w:footer="0" w:header="0"/>
          <w:type w:val="continuous"/>
        </w:sectPr>
      </w:pP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-283210</wp:posOffset>
            </wp:positionV>
            <wp:extent cx="67405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-184150</wp:posOffset>
            </wp:positionV>
            <wp:extent cx="8255" cy="2228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Executive Summary</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Fiscal 2023 Performance</w:t>
      </w:r>
    </w:p>
    <w:p>
      <w:pPr>
        <w:spacing w:after="0" w:line="108" w:lineRule="exact"/>
        <w:rPr>
          <w:sz w:val="20"/>
          <w:szCs w:val="20"/>
          <w:color w:val="auto"/>
        </w:rPr>
      </w:pPr>
    </w:p>
    <w:p>
      <w:pPr>
        <w:ind w:left="320"/>
        <w:spacing w:after="0" w:line="243" w:lineRule="auto"/>
        <w:rPr>
          <w:sz w:val="20"/>
          <w:szCs w:val="20"/>
          <w:color w:val="auto"/>
        </w:rPr>
      </w:pPr>
      <w:r>
        <w:rPr>
          <w:rFonts w:ascii="Arial" w:cs="Arial" w:eastAsia="Arial" w:hAnsi="Arial"/>
          <w:sz w:val="16"/>
          <w:szCs w:val="16"/>
          <w:color w:val="auto"/>
        </w:rPr>
        <w:t>Kelly’s philosophy as a talent company is rooted in the conviction that our business makes a difference daily – in the lives of our employees and talent networks, for our customers, in the local communities we serve, and in the broader economy. As work has evolved so has our range of solutions, growing over the years to reflect the changing needs of our customers and the changing nature of work itself. Kelly’s simple yet powerful noble purpose, “We connect people to work in ways that enrich their lives,” continues to guide our strategy and actions. Kelly remains committed to being a leading talent solutions provider in our specialty areas and in the markets where we compete. While executing our strategy, we will continue to demonstrate our expected behaviors and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140335</wp:posOffset>
            </wp:positionV>
            <wp:extent cx="6773545" cy="2965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73545" cy="2965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line="251" w:lineRule="auto"/>
        <w:rPr>
          <w:sz w:val="20"/>
          <w:szCs w:val="20"/>
          <w:color w:val="auto"/>
        </w:rPr>
      </w:pPr>
      <w:r>
        <w:rPr>
          <w:rFonts w:ascii="Arial" w:cs="Arial" w:eastAsia="Arial" w:hAnsi="Arial"/>
          <w:sz w:val="16"/>
          <w:szCs w:val="16"/>
          <w:color w:val="auto"/>
        </w:rPr>
        <w:t xml:space="preserve">The described actions detailed below in the </w:t>
      </w:r>
      <w:r>
        <w:rPr>
          <w:rFonts w:ascii="Arial" w:cs="Arial" w:eastAsia="Arial" w:hAnsi="Arial"/>
          <w:sz w:val="16"/>
          <w:szCs w:val="16"/>
          <w:i w:val="1"/>
          <w:iCs w:val="1"/>
          <w:color w:val="auto"/>
        </w:rPr>
        <w:t>Key Executive Compensation Program Highlights for Fiscal 2023</w:t>
      </w:r>
      <w:r>
        <w:rPr>
          <w:rFonts w:ascii="Arial" w:cs="Arial" w:eastAsia="Arial" w:hAnsi="Arial"/>
          <w:sz w:val="16"/>
          <w:szCs w:val="16"/>
          <w:color w:val="auto"/>
        </w:rPr>
        <w:t xml:space="preserve"> section provided fiscally responsible reward programs while also providing targeted investments needed to reward employees for achieving important financial and operational goals, and to support the longer-term retention of critical talent.</w:t>
      </w:r>
    </w:p>
    <w:p>
      <w:pPr>
        <w:spacing w:after="0" w:line="34" w:lineRule="exact"/>
        <w:rPr>
          <w:sz w:val="20"/>
          <w:szCs w:val="20"/>
          <w:color w:val="auto"/>
        </w:rPr>
      </w:pPr>
    </w:p>
    <w:p>
      <w:pPr>
        <w:ind w:left="320" w:right="160"/>
        <w:spacing w:after="0" w:line="251" w:lineRule="auto"/>
        <w:rPr>
          <w:sz w:val="20"/>
          <w:szCs w:val="20"/>
          <w:color w:val="auto"/>
        </w:rPr>
      </w:pPr>
      <w:r>
        <w:rPr>
          <w:rFonts w:ascii="Arial" w:cs="Arial" w:eastAsia="Arial" w:hAnsi="Arial"/>
          <w:sz w:val="16"/>
          <w:szCs w:val="16"/>
          <w:color w:val="auto"/>
        </w:rPr>
        <w:t>As our strategy evolves and we manage through the impact of inflation and market uncertainty, we continue to move forward with our specialization strategy. These specialties represent areas where we see the most robust demand, the most promising growth opportunities, and where we believe we excel in attracting and placing talent.</w:t>
      </w:r>
    </w:p>
    <w:p>
      <w:pPr>
        <w:spacing w:after="0" w:line="34" w:lineRule="exact"/>
        <w:rPr>
          <w:sz w:val="20"/>
          <w:szCs w:val="20"/>
          <w:color w:val="auto"/>
        </w:rPr>
      </w:pPr>
    </w:p>
    <w:p>
      <w:pPr>
        <w:jc w:val="both"/>
        <w:ind w:left="320" w:right="160"/>
        <w:spacing w:after="0" w:line="304" w:lineRule="auto"/>
        <w:rPr>
          <w:sz w:val="20"/>
          <w:szCs w:val="20"/>
          <w:color w:val="auto"/>
        </w:rPr>
      </w:pPr>
      <w:r>
        <w:rPr>
          <w:rFonts w:ascii="Arial" w:cs="Arial" w:eastAsia="Arial" w:hAnsi="Arial"/>
          <w:sz w:val="14"/>
          <w:szCs w:val="14"/>
          <w:color w:val="auto"/>
        </w:rPr>
        <w:t>Kelly’s business model brings together both staffing and outcome-based solutions under a single specialty leader and aggregates assets to accelerate specialty growth and profitability. We believe this specialty structure gives us greater advantages in the market, and we expect our disciplined focus will enable us to achieve greater efficiencies and deliver profitable growth coming out of a period of elevated economic uncertainty.</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Key Executive Compensation Program Highlights for Fiscal 2023</w:t>
      </w:r>
    </w:p>
    <w:p>
      <w:pPr>
        <w:spacing w:after="0" w:line="82" w:lineRule="exact"/>
        <w:rPr>
          <w:sz w:val="20"/>
          <w:szCs w:val="20"/>
          <w:color w:val="auto"/>
        </w:rPr>
      </w:pPr>
    </w:p>
    <w:p>
      <w:pPr>
        <w:ind w:left="320" w:right="40"/>
        <w:spacing w:after="0" w:line="244" w:lineRule="auto"/>
        <w:rPr>
          <w:sz w:val="20"/>
          <w:szCs w:val="20"/>
          <w:color w:val="auto"/>
        </w:rPr>
      </w:pPr>
      <w:r>
        <w:rPr>
          <w:rFonts w:ascii="Arial" w:cs="Arial" w:eastAsia="Arial" w:hAnsi="Arial"/>
          <w:sz w:val="16"/>
          <w:szCs w:val="16"/>
          <w:color w:val="auto"/>
        </w:rPr>
        <w:t>We believe compensation should align with and enhance long-term shareholder value. Our pay-for-performance philosophy ensures that a significant portion of compensation for our senior officers is “at risk” and reflects our business performance. Kelly continued to focus on striking a balance of providing competitive compensation programs that attract, reward, and retain high performing talent while doing so in a fiscally responsible framework. Our named executive officers experienced the following outcomes for 2023 as a result of Company performance and management’s decision to focus on the Company’s transition in becoming a more profitable talent solutions company:</w:t>
      </w:r>
    </w:p>
    <w:p>
      <w:pPr>
        <w:spacing w:after="0" w:line="22" w:lineRule="exact"/>
        <w:rPr>
          <w:sz w:val="20"/>
          <w:szCs w:val="20"/>
          <w:color w:val="auto"/>
        </w:rPr>
      </w:pPr>
    </w:p>
    <w:p>
      <w:pPr>
        <w:ind w:left="520" w:hanging="204"/>
        <w:spacing w:after="0"/>
        <w:tabs>
          <w:tab w:leader="none" w:pos="520" w:val="left"/>
        </w:tabs>
        <w:numPr>
          <w:ilvl w:val="0"/>
          <w:numId w:val="2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Performed a targeted annual base salary review process with one named executive officer receiving a salary increase in 2023;</w:t>
      </w:r>
    </w:p>
    <w:p>
      <w:pPr>
        <w:spacing w:after="0" w:line="60"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48 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-216535</wp:posOffset>
            </wp:positionV>
            <wp:extent cx="8255" cy="2228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880"/>
          </w:cols>
          <w:pgMar w:left="320" w:top="471" w:right="6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Compensation Discussion and Analysis</w:t>
      </w:r>
    </w:p>
    <w:p>
      <w:pPr>
        <w:spacing w:after="0" w:line="66" w:lineRule="exact"/>
        <w:rPr>
          <w:sz w:val="20"/>
          <w:szCs w:val="20"/>
          <w:color w:val="auto"/>
        </w:rPr>
      </w:pPr>
    </w:p>
    <w:p>
      <w:pPr>
        <w:ind w:left="520" w:hanging="204"/>
        <w:spacing w:after="0"/>
        <w:tabs>
          <w:tab w:leader="none" w:pos="520" w:val="left"/>
        </w:tabs>
        <w:numPr>
          <w:ilvl w:val="0"/>
          <w:numId w:val="30"/>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With respect to our short-term incentive plan:</w:t>
      </w:r>
    </w:p>
    <w:p>
      <w:pPr>
        <w:spacing w:after="0" w:line="68" w:lineRule="exact"/>
        <w:rPr>
          <w:rFonts w:ascii="Times New Roman" w:cs="Times New Roman" w:eastAsia="Times New Roman" w:hAnsi="Times New Roman"/>
          <w:sz w:val="24"/>
          <w:szCs w:val="24"/>
          <w:color w:val="0A9E50"/>
          <w:vertAlign w:val="superscript"/>
        </w:rPr>
      </w:pPr>
    </w:p>
    <w:p>
      <w:pPr>
        <w:ind w:left="840" w:hanging="316"/>
        <w:spacing w:after="0"/>
        <w:tabs>
          <w:tab w:leader="none" w:pos="8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funding for all participants focused 100% on total Company earnings from operations (“EFO”)</w:t>
      </w:r>
    </w:p>
    <w:p>
      <w:pPr>
        <w:spacing w:after="0" w:line="62" w:lineRule="exact"/>
        <w:rPr>
          <w:rFonts w:ascii="Arial" w:cs="Arial" w:eastAsia="Arial" w:hAnsi="Arial"/>
          <w:sz w:val="16"/>
          <w:szCs w:val="16"/>
          <w:color w:val="auto"/>
        </w:rPr>
      </w:pPr>
    </w:p>
    <w:p>
      <w:pPr>
        <w:ind w:left="840" w:hanging="316"/>
        <w:spacing w:after="0"/>
        <w:tabs>
          <w:tab w:leader="none" w:pos="8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returned to setting threshold at 50% of target and straight-line interpolation between threshold and target;</w:t>
      </w:r>
    </w:p>
    <w:p>
      <w:pPr>
        <w:spacing w:after="0" w:line="76" w:lineRule="exact"/>
        <w:rPr>
          <w:rFonts w:ascii="Arial" w:cs="Arial" w:eastAsia="Arial" w:hAnsi="Arial"/>
          <w:sz w:val="16"/>
          <w:szCs w:val="16"/>
          <w:color w:val="auto"/>
        </w:rPr>
      </w:pPr>
    </w:p>
    <w:p>
      <w:pPr>
        <w:ind w:left="840" w:hanging="316"/>
        <w:spacing w:after="0"/>
        <w:tabs>
          <w:tab w:leader="none" w:pos="8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continued with a maximum payout opportunity of 200% of target;</w:t>
      </w:r>
    </w:p>
    <w:p>
      <w:pPr>
        <w:spacing w:after="0" w:line="76" w:lineRule="exact"/>
        <w:rPr>
          <w:rFonts w:ascii="Arial" w:cs="Arial" w:eastAsia="Arial" w:hAnsi="Arial"/>
          <w:sz w:val="16"/>
          <w:szCs w:val="16"/>
          <w:color w:val="auto"/>
        </w:rPr>
      </w:pPr>
    </w:p>
    <w:p>
      <w:pPr>
        <w:ind w:left="840" w:hanging="316"/>
        <w:spacing w:after="0"/>
        <w:tabs>
          <w:tab w:leader="none" w:pos="8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continued emphasis on individual performance for determining final payouts; and</w:t>
      </w:r>
    </w:p>
    <w:p>
      <w:pPr>
        <w:spacing w:after="0" w:line="76" w:lineRule="exact"/>
        <w:rPr>
          <w:rFonts w:ascii="Arial" w:cs="Arial" w:eastAsia="Arial" w:hAnsi="Arial"/>
          <w:sz w:val="16"/>
          <w:szCs w:val="16"/>
          <w:color w:val="auto"/>
        </w:rPr>
      </w:pPr>
    </w:p>
    <w:p>
      <w:pPr>
        <w:ind w:left="840" w:hanging="316"/>
        <w:spacing w:after="0"/>
        <w:tabs>
          <w:tab w:leader="none" w:pos="8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2023 Short Term Incentive Plan (“STIP”) was funded at 94% of target levels based on total company performance.</w:t>
      </w:r>
    </w:p>
    <w:p>
      <w:pPr>
        <w:spacing w:after="0" w:line="21" w:lineRule="exact"/>
        <w:rPr>
          <w:rFonts w:ascii="Arial" w:cs="Arial" w:eastAsia="Arial" w:hAnsi="Arial"/>
          <w:sz w:val="16"/>
          <w:szCs w:val="16"/>
          <w:color w:val="auto"/>
        </w:rPr>
      </w:pPr>
    </w:p>
    <w:p>
      <w:pPr>
        <w:ind w:left="520" w:hanging="204"/>
        <w:spacing w:after="0" w:line="226" w:lineRule="auto"/>
        <w:tabs>
          <w:tab w:leader="none" w:pos="520" w:val="left"/>
        </w:tabs>
        <w:numPr>
          <w:ilvl w:val="0"/>
          <w:numId w:val="30"/>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With respect to our long-term incentive plan:</w:t>
      </w:r>
    </w:p>
    <w:p>
      <w:pPr>
        <w:spacing w:after="0" w:line="69" w:lineRule="exact"/>
        <w:rPr>
          <w:rFonts w:ascii="Times New Roman" w:cs="Times New Roman" w:eastAsia="Times New Roman" w:hAnsi="Times New Roman"/>
          <w:sz w:val="24"/>
          <w:szCs w:val="24"/>
          <w:color w:val="0A9E50"/>
          <w:vertAlign w:val="superscript"/>
        </w:rPr>
      </w:pPr>
    </w:p>
    <w:p>
      <w:pPr>
        <w:ind w:left="840" w:hanging="316"/>
        <w:spacing w:after="0"/>
        <w:tabs>
          <w:tab w:leader="none" w:pos="8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continued with three one-year annual goals for performance-based Long-Term Incentives (“LTI”) program;</w:t>
      </w:r>
    </w:p>
    <w:p>
      <w:pPr>
        <w:spacing w:after="0" w:line="62" w:lineRule="exact"/>
        <w:rPr>
          <w:rFonts w:ascii="Arial" w:cs="Arial" w:eastAsia="Arial" w:hAnsi="Arial"/>
          <w:sz w:val="16"/>
          <w:szCs w:val="16"/>
          <w:color w:val="auto"/>
        </w:rPr>
      </w:pPr>
    </w:p>
    <w:p>
      <w:pPr>
        <w:ind w:left="840" w:hanging="316"/>
        <w:spacing w:after="0"/>
        <w:tabs>
          <w:tab w:leader="none" w:pos="8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continued with 100% cliff-vesting at the end of the three-year performance period for any earned performance-based LTI;</w:t>
      </w:r>
    </w:p>
    <w:p>
      <w:pPr>
        <w:spacing w:after="0" w:line="76" w:lineRule="exact"/>
        <w:rPr>
          <w:rFonts w:ascii="Arial" w:cs="Arial" w:eastAsia="Arial" w:hAnsi="Arial"/>
          <w:sz w:val="16"/>
          <w:szCs w:val="16"/>
          <w:color w:val="auto"/>
        </w:rPr>
      </w:pPr>
    </w:p>
    <w:p>
      <w:pPr>
        <w:ind w:left="840" w:right="20" w:hanging="316"/>
        <w:spacing w:after="0" w:line="251" w:lineRule="auto"/>
        <w:tabs>
          <w:tab w:leader="none" w:pos="8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2023 LTI target award opportunity was granted in a mix of 75% weighting in the form of Performance Shares and 25% weighting in the form of time-based vesting restricted shares for the CEO and a mix of 60% weighting in the form of Performance Shares and 40% weighting in the form of time-based vesting restricted shares for all other named executive officers;</w:t>
      </w:r>
    </w:p>
    <w:p>
      <w:pPr>
        <w:spacing w:after="0" w:line="47" w:lineRule="exact"/>
        <w:rPr>
          <w:rFonts w:ascii="Arial" w:cs="Arial" w:eastAsia="Arial" w:hAnsi="Arial"/>
          <w:sz w:val="16"/>
          <w:szCs w:val="16"/>
          <w:color w:val="auto"/>
        </w:rPr>
      </w:pPr>
    </w:p>
    <w:p>
      <w:pPr>
        <w:ind w:left="840" w:right="60" w:hanging="316"/>
        <w:spacing w:after="0" w:line="265" w:lineRule="auto"/>
        <w:tabs>
          <w:tab w:leader="none" w:pos="8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year one of the 2023-2025, year two of the 2022-2024 and year three of the 2021-2023 Performance Shares were earned in aggregate, at 50% of target for the 2023 assessment period;</w:t>
      </w:r>
    </w:p>
    <w:p>
      <w:pPr>
        <w:spacing w:after="0" w:line="36" w:lineRule="exact"/>
        <w:rPr>
          <w:rFonts w:ascii="Arial" w:cs="Arial" w:eastAsia="Arial" w:hAnsi="Arial"/>
          <w:sz w:val="16"/>
          <w:szCs w:val="16"/>
          <w:color w:val="auto"/>
        </w:rPr>
      </w:pPr>
    </w:p>
    <w:p>
      <w:pPr>
        <w:ind w:left="840" w:hanging="316"/>
        <w:spacing w:after="0"/>
        <w:tabs>
          <w:tab w:leader="none" w:pos="8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one-third of the 2021 special equity award Key Employee Equity Plan (“KEEP”) was earned during 2023; and</w:t>
      </w:r>
    </w:p>
    <w:p>
      <w:pPr>
        <w:spacing w:after="0" w:line="76" w:lineRule="exact"/>
        <w:rPr>
          <w:rFonts w:ascii="Arial" w:cs="Arial" w:eastAsia="Arial" w:hAnsi="Arial"/>
          <w:sz w:val="16"/>
          <w:szCs w:val="16"/>
          <w:color w:val="auto"/>
        </w:rPr>
      </w:pPr>
    </w:p>
    <w:p>
      <w:pPr>
        <w:ind w:left="840" w:hanging="316"/>
        <w:spacing w:after="0"/>
        <w:tabs>
          <w:tab w:leader="none" w:pos="8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granted special long-term equity recognition award to one named executive officer.</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Annual Say on Pay Vote</w:t>
      </w:r>
    </w:p>
    <w:p>
      <w:pPr>
        <w:spacing w:after="0" w:line="82" w:lineRule="exact"/>
        <w:rPr>
          <w:sz w:val="20"/>
          <w:szCs w:val="20"/>
          <w:color w:val="auto"/>
        </w:rPr>
      </w:pPr>
    </w:p>
    <w:p>
      <w:pPr>
        <w:ind w:left="320" w:right="20"/>
        <w:spacing w:after="0" w:line="303" w:lineRule="auto"/>
        <w:rPr>
          <w:sz w:val="20"/>
          <w:szCs w:val="20"/>
          <w:color w:val="auto"/>
        </w:rPr>
      </w:pPr>
      <w:r>
        <w:rPr>
          <w:rFonts w:ascii="Arial" w:cs="Arial" w:eastAsia="Arial" w:hAnsi="Arial"/>
          <w:sz w:val="14"/>
          <w:szCs w:val="14"/>
          <w:color w:val="auto"/>
        </w:rPr>
        <w:t xml:space="preserve">The frequency of the Company’s Say on Pay vote is annual and, as such, the Committee considers the shareholder advisory vote on executive compensation as disclosed in the Company’s Proxy Statement each year. In 2023, </w:t>
      </w:r>
      <w:r>
        <w:rPr>
          <w:rFonts w:ascii="Arial" w:cs="Arial" w:eastAsia="Arial" w:hAnsi="Arial"/>
          <w:sz w:val="14"/>
          <w:szCs w:val="14"/>
          <w:b w:val="1"/>
          <w:bCs w:val="1"/>
          <w:color w:val="auto"/>
        </w:rPr>
        <w:t>98.57%</w:t>
      </w:r>
      <w:r>
        <w:rPr>
          <w:rFonts w:ascii="Arial" w:cs="Arial" w:eastAsia="Arial" w:hAnsi="Arial"/>
          <w:sz w:val="14"/>
          <w:szCs w:val="14"/>
          <w:color w:val="auto"/>
        </w:rPr>
        <w:t xml:space="preserve"> of the shares represented at the meeting approved the Say on Pay proposal. The Committee considered this result as a factor in its decision to maintain the general design of the Company’s compensation programs.</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However, we continue to evaluate our executive compensation program and make changes to further align with our</w:t>
      </w:r>
    </w:p>
    <w:p>
      <w:pPr>
        <w:spacing w:after="0" w:line="12" w:lineRule="exact"/>
        <w:rPr>
          <w:sz w:val="20"/>
          <w:szCs w:val="20"/>
          <w:color w:val="auto"/>
        </w:rPr>
      </w:pPr>
    </w:p>
    <w:p>
      <w:pPr>
        <w:ind w:left="320" w:right="60"/>
        <w:spacing w:after="0"/>
        <w:rPr>
          <w:sz w:val="20"/>
          <w:szCs w:val="20"/>
          <w:color w:val="auto"/>
        </w:rPr>
      </w:pPr>
      <w:r>
        <w:rPr>
          <w:rFonts w:ascii="Arial" w:cs="Arial" w:eastAsia="Arial" w:hAnsi="Arial"/>
          <w:sz w:val="16"/>
          <w:szCs w:val="16"/>
          <w:color w:val="auto"/>
        </w:rPr>
        <w:t>strategic priorities and to reward short- and long-term business success. We designed a program that aligns with shareholder interests, incentivizes growth and operational excellence, and demonstrates a clear linkage between compensation and performance. The program continues to seek to ensure pay for performance and minimize incentives for management to take excessive risks. The Committee worked with management and its independent compensation consultant, as described later in this document, to review current compensation programs, including the incentive plans.</w:t>
      </w:r>
    </w:p>
    <w:p>
      <w:pPr>
        <w:spacing w:after="0" w:line="44" w:lineRule="exact"/>
        <w:rPr>
          <w:sz w:val="20"/>
          <w:szCs w:val="20"/>
          <w:color w:val="auto"/>
        </w:rPr>
      </w:pPr>
    </w:p>
    <w:p>
      <w:pPr>
        <w:ind w:left="320" w:right="80"/>
        <w:spacing w:after="0" w:line="265" w:lineRule="auto"/>
        <w:rPr>
          <w:sz w:val="20"/>
          <w:szCs w:val="20"/>
          <w:color w:val="auto"/>
        </w:rPr>
      </w:pPr>
      <w:r>
        <w:rPr>
          <w:rFonts w:ascii="Arial" w:cs="Arial" w:eastAsia="Arial" w:hAnsi="Arial"/>
          <w:sz w:val="16"/>
          <w:szCs w:val="16"/>
          <w:color w:val="auto"/>
        </w:rPr>
        <w:t>The Company has two plans that provide the framework for incentive compensation opportunities for our senior officers, a group that includes our named executive officers.</w:t>
      </w:r>
    </w:p>
    <w:p>
      <w:pPr>
        <w:spacing w:after="0" w:line="75" w:lineRule="exact"/>
        <w:rPr>
          <w:sz w:val="20"/>
          <w:szCs w:val="20"/>
          <w:color w:val="auto"/>
        </w:rPr>
      </w:pPr>
    </w:p>
    <w:p>
      <w:pPr>
        <w:ind w:left="520" w:right="780" w:hanging="204"/>
        <w:spacing w:after="0" w:line="202" w:lineRule="auto"/>
        <w:tabs>
          <w:tab w:leader="none" w:pos="520" w:val="left"/>
        </w:tabs>
        <w:numPr>
          <w:ilvl w:val="0"/>
          <w:numId w:val="3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The Short-Term Incentive Plan (“STIP”) provides for annual cash-based incentive opportunities based upon the achievement of one or more performance measures, as established by the Committee.</w:t>
      </w:r>
    </w:p>
    <w:p>
      <w:pPr>
        <w:spacing w:after="0" w:line="55" w:lineRule="exact"/>
        <w:rPr>
          <w:rFonts w:ascii="Times New Roman" w:cs="Times New Roman" w:eastAsia="Times New Roman" w:hAnsi="Times New Roman"/>
          <w:sz w:val="24"/>
          <w:szCs w:val="24"/>
          <w:color w:val="0A9E50"/>
          <w:vertAlign w:val="superscript"/>
        </w:rPr>
      </w:pPr>
    </w:p>
    <w:p>
      <w:pPr>
        <w:ind w:left="520" w:right="420" w:hanging="204"/>
        <w:spacing w:after="0" w:line="202" w:lineRule="auto"/>
        <w:tabs>
          <w:tab w:leader="none" w:pos="520" w:val="left"/>
        </w:tabs>
        <w:numPr>
          <w:ilvl w:val="0"/>
          <w:numId w:val="3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The Equity Incentive Plan (“EIP”) provides the Committee the ability to grant long-term incentive (“LTI”) opportunities, in various award types, that focus on the long-term performance of the Company and align the interests of senior officers with those of shareholders.</w:t>
      </w:r>
    </w:p>
    <w:p>
      <w:pPr>
        <w:ind w:left="9380" w:hanging="281"/>
        <w:spacing w:after="0"/>
        <w:tabs>
          <w:tab w:leader="none" w:pos="9380" w:val="left"/>
        </w:tabs>
        <w:numPr>
          <w:ilvl w:val="1"/>
          <w:numId w:val="31"/>
        </w:numPr>
        <w:rPr>
          <w:rFonts w:ascii="Arial" w:cs="Arial" w:eastAsia="Arial" w:hAnsi="Arial"/>
          <w:sz w:val="21"/>
          <w:szCs w:val="21"/>
          <w:color w:val="auto"/>
          <w:vertAlign w:val="subscript"/>
        </w:rPr>
      </w:pPr>
      <w:r>
        <w:rPr>
          <w:sz w:val="1"/>
          <w:szCs w:val="1"/>
          <w:color w:val="auto"/>
        </w:rPr>
        <w:drawing>
          <wp:inline distT="0" distB="0" distL="0" distR="0">
            <wp:extent cx="396240" cy="189865"/>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1"/>
          <w:szCs w:val="21"/>
          <w:color w:val="auto"/>
          <w:vertAlign w:val="subscript"/>
        </w:rPr>
        <w:t xml:space="preserve">    </w:t>
      </w:r>
      <w:r>
        <w:rPr>
          <w:rFonts w:ascii="Arial" w:cs="Arial" w:eastAsia="Arial" w:hAnsi="Arial"/>
          <w:sz w:val="21"/>
          <w:szCs w:val="21"/>
          <w:color w:val="auto"/>
        </w:rPr>
        <w: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-133985</wp:posOffset>
            </wp:positionV>
            <wp:extent cx="8255" cy="2228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Executive Compensation Philosophy, Objectives, and Design</w:t>
      </w:r>
    </w:p>
    <w:p>
      <w:pPr>
        <w:spacing w:after="0" w:line="111" w:lineRule="exact"/>
        <w:rPr>
          <w:sz w:val="20"/>
          <w:szCs w:val="20"/>
          <w:color w:val="auto"/>
        </w:rPr>
      </w:pPr>
    </w:p>
    <w:p>
      <w:pPr>
        <w:ind w:left="320"/>
        <w:spacing w:after="0" w:line="243" w:lineRule="auto"/>
        <w:rPr>
          <w:sz w:val="20"/>
          <w:szCs w:val="20"/>
          <w:color w:val="auto"/>
        </w:rPr>
      </w:pPr>
      <w:r>
        <w:rPr>
          <w:rFonts w:ascii="Arial" w:cs="Arial" w:eastAsia="Arial" w:hAnsi="Arial"/>
          <w:sz w:val="16"/>
          <w:szCs w:val="16"/>
          <w:color w:val="auto"/>
        </w:rPr>
        <w:t>Our executive compensation philosophy is to provide market-based pay opportunities with incentive payouts aligned with the achievement of the Company’s overall short- and long-term business strategy, performance goals, and results. The design of our executive compensation programs allocates total compensation to fixed and variable pay elements resulting in a mix of short-term and long-term pay elements. The Committee continually evaluates our executive compensation programs to ensure that the Company provides market-competitive opportunities that enable us to attract and retain highly qualified individuals to lead the organization and drive business success. Our executive compensation programs are designed to achieve the following objectives: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6"/>
          <w:szCs w:val="16"/>
          <w:i w:val="1"/>
          <w:iCs w:val="1"/>
          <w:u w:val="single" w:color="auto"/>
          <w:color w:val="auto"/>
        </w:rPr>
        <w:t>Pay-for-Performance Framework</w:t>
      </w:r>
    </w:p>
    <w:p>
      <w:pPr>
        <w:spacing w:after="0" w:line="76" w:lineRule="exact"/>
        <w:rPr>
          <w:sz w:val="20"/>
          <w:szCs w:val="20"/>
          <w:color w:val="auto"/>
        </w:rPr>
      </w:pPr>
    </w:p>
    <w:p>
      <w:pPr>
        <w:ind w:left="740" w:right="420" w:hanging="216"/>
        <w:spacing w:after="0" w:line="202" w:lineRule="auto"/>
        <w:tabs>
          <w:tab w:leader="none" w:pos="740" w:val="left"/>
        </w:tabs>
        <w:numPr>
          <w:ilvl w:val="0"/>
          <w:numId w:val="32"/>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Align a significant portion of compensation with the achievement of multiple performance goals that motivate and reward executives based on Company, business unit, and individual performance results.</w:t>
      </w:r>
    </w:p>
    <w:p>
      <w:pPr>
        <w:spacing w:after="0" w:line="55" w:lineRule="exact"/>
        <w:rPr>
          <w:rFonts w:ascii="Times New Roman" w:cs="Times New Roman" w:eastAsia="Times New Roman" w:hAnsi="Times New Roman"/>
          <w:sz w:val="24"/>
          <w:szCs w:val="24"/>
          <w:color w:val="0A9E50"/>
          <w:vertAlign w:val="superscript"/>
        </w:rPr>
      </w:pPr>
    </w:p>
    <w:p>
      <w:pPr>
        <w:ind w:left="740" w:right="280" w:hanging="216"/>
        <w:spacing w:after="0" w:line="202" w:lineRule="auto"/>
        <w:tabs>
          <w:tab w:leader="none" w:pos="740" w:val="left"/>
        </w:tabs>
        <w:numPr>
          <w:ilvl w:val="0"/>
          <w:numId w:val="32"/>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Attract and retain exceptional talent with the leadership abilities and experience necessary to develop and execute business strategies, achieve outstanding results, and build long-term shareholder value.</w:t>
      </w:r>
    </w:p>
    <w:p>
      <w:pPr>
        <w:ind w:left="740" w:hanging="216"/>
        <w:spacing w:after="0" w:line="226" w:lineRule="auto"/>
        <w:tabs>
          <w:tab w:leader="none" w:pos="740" w:val="left"/>
        </w:tabs>
        <w:numPr>
          <w:ilvl w:val="0"/>
          <w:numId w:val="32"/>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Support achievement of the Company’s vision and strategy.</w:t>
      </w:r>
    </w:p>
    <w:p>
      <w:pPr>
        <w:spacing w:after="0" w:line="69" w:lineRule="exact"/>
        <w:rPr>
          <w:rFonts w:ascii="Times New Roman" w:cs="Times New Roman" w:eastAsia="Times New Roman" w:hAnsi="Times New Roman"/>
          <w:sz w:val="24"/>
          <w:szCs w:val="24"/>
          <w:color w:val="0A9E50"/>
          <w:vertAlign w:val="superscript"/>
        </w:rPr>
      </w:pPr>
    </w:p>
    <w:p>
      <w:pPr>
        <w:ind w:left="740" w:hanging="216"/>
        <w:spacing w:after="0" w:line="181" w:lineRule="auto"/>
        <w:tabs>
          <w:tab w:leader="none" w:pos="740" w:val="left"/>
        </w:tabs>
        <w:numPr>
          <w:ilvl w:val="0"/>
          <w:numId w:val="32"/>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Create an ownership mindset that closely aligns the interests of management with those of shareholders.</w:t>
      </w:r>
    </w:p>
    <w:p>
      <w:pPr>
        <w:spacing w:after="0" w:line="69" w:lineRule="exact"/>
        <w:rPr>
          <w:rFonts w:ascii="Times New Roman" w:cs="Times New Roman" w:eastAsia="Times New Roman" w:hAnsi="Times New Roman"/>
          <w:sz w:val="22"/>
          <w:szCs w:val="22"/>
          <w:color w:val="0A9E50"/>
          <w:vertAlign w:val="superscript"/>
        </w:rPr>
      </w:pPr>
    </w:p>
    <w:p>
      <w:pPr>
        <w:ind w:left="740" w:right="220" w:hanging="216"/>
        <w:spacing w:after="0" w:line="194" w:lineRule="auto"/>
        <w:tabs>
          <w:tab w:leader="none" w:pos="740" w:val="left"/>
        </w:tabs>
        <w:numPr>
          <w:ilvl w:val="0"/>
          <w:numId w:val="32"/>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Provide appropriate balance between the achievement of both short- and long-term performance objectives, with clear emphasis on affordability, managing the sustainability of the business, and mitigation of risk.</w:t>
      </w:r>
    </w:p>
    <w:p>
      <w:pPr>
        <w:spacing w:after="0" w:line="57" w:lineRule="exact"/>
        <w:rPr>
          <w:sz w:val="20"/>
          <w:szCs w:val="20"/>
          <w:color w:val="auto"/>
        </w:rPr>
      </w:pPr>
    </w:p>
    <w:p>
      <w:pPr>
        <w:ind w:left="320" w:right="40"/>
        <w:spacing w:after="0" w:line="293" w:lineRule="auto"/>
        <w:rPr>
          <w:sz w:val="20"/>
          <w:szCs w:val="20"/>
          <w:color w:val="auto"/>
        </w:rPr>
      </w:pPr>
      <w:r>
        <w:rPr>
          <w:rFonts w:ascii="Arial" w:cs="Arial" w:eastAsia="Arial" w:hAnsi="Arial"/>
          <w:sz w:val="14"/>
          <w:szCs w:val="14"/>
          <w:color w:val="auto"/>
        </w:rPr>
        <w:t>The Committee believes that a majority of a senior officer’s compensation should be “at risk” and based upon the achievement of corporate and business unit results, the Company’s share price performance, as well as the individual’s performance. As a result, senior officers participate in incentive programs that provide them with the opportunity to earn awards that are directly tied to the Company’s performance and that drive sustainable long-term shareholder value. The Company’s compensation programs provide an incentive for senior officers to meet and exceed performance goals.</w:t>
      </w:r>
    </w:p>
    <w:p>
      <w:pPr>
        <w:spacing w:after="0" w:line="7" w:lineRule="exact"/>
        <w:rPr>
          <w:sz w:val="20"/>
          <w:szCs w:val="20"/>
          <w:color w:val="auto"/>
        </w:rPr>
      </w:pPr>
    </w:p>
    <w:p>
      <w:pPr>
        <w:ind w:left="320" w:right="20"/>
        <w:spacing w:after="0" w:line="251" w:lineRule="auto"/>
        <w:rPr>
          <w:sz w:val="20"/>
          <w:szCs w:val="20"/>
          <w:color w:val="auto"/>
        </w:rPr>
      </w:pPr>
      <w:r>
        <w:rPr>
          <w:rFonts w:ascii="Arial" w:cs="Arial" w:eastAsia="Arial" w:hAnsi="Arial"/>
          <w:sz w:val="16"/>
          <w:szCs w:val="16"/>
          <w:color w:val="auto"/>
        </w:rPr>
        <w:t>Executives are held accountable for results and rewarded with above target payout amounts for performance that exceeds target goals. When target goals are not met, award payouts are designed to deliver below target payouts or no payouts. We believe the combination of our annual incentive awards and long-term equity incentive awards align the interests of our senior officers with the interests of our shareholders.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CEO and Other Named Executive Officers Pay Mix</w:t>
      </w:r>
    </w:p>
    <w:p>
      <w:pPr>
        <w:spacing w:after="0" w:line="63" w:lineRule="exact"/>
        <w:rPr>
          <w:sz w:val="20"/>
          <w:szCs w:val="20"/>
          <w:color w:val="auto"/>
        </w:rPr>
      </w:pPr>
    </w:p>
    <w:p>
      <w:pPr>
        <w:ind w:left="320" w:right="140"/>
        <w:spacing w:after="0"/>
        <w:rPr>
          <w:sz w:val="20"/>
          <w:szCs w:val="20"/>
          <w:color w:val="auto"/>
        </w:rPr>
      </w:pPr>
      <w:r>
        <w:rPr>
          <w:rFonts w:ascii="Arial" w:cs="Arial" w:eastAsia="Arial" w:hAnsi="Arial"/>
          <w:sz w:val="16"/>
          <w:szCs w:val="16"/>
          <w:color w:val="auto"/>
        </w:rPr>
        <w:t>While we believe that a majority of an executive officer’s target compensation opportunity should be performance- based, we do not have a specified formula that defines the overall weighting of each element. We believe that the higher a role is positioned within the organizational structure, the greater the emphasis on performance-based compensation should be. As such, the CEO has a greater percentage of his compensation opportunity that is performance-based through higher target opportunities for STIP and LTI, as compared to the compensation opportunities of the other named executive officers. At-risk compensation consists of annual cash incentive awards and performance shares that are contingent upon the achievement of pre-established performance goals. Restricted shares, which are not classified as at-risk compensation, have value at vesting reflecting the Company’s stock price performance since date of grant, which aligns to shareholders’ experience. The following charts illustrate the typical Target Total Direct Compensation mix for our President and CEO and the other named executive officers combined and includes the pay elements of base salary, STIP (at target), restricted shares, and performance shares (at target). Pay mixes shown below are based on target amounts under typical plan designs during fiscal year 2023.</w:t>
      </w:r>
    </w:p>
    <w:p>
      <w:pPr>
        <w:spacing w:after="0" w:line="62"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50 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00"/>
          </w:cols>
          <w:pgMar w:left="320" w:top="471" w:right="6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23" w:lineRule="exact"/>
        <w:rPr>
          <w:sz w:val="20"/>
          <w:szCs w:val="20"/>
          <w:color w:val="auto"/>
        </w:rPr>
      </w:pPr>
    </w:p>
    <w:p>
      <w:pPr>
        <w:jc w:val="center"/>
        <w:ind w:right="-299"/>
        <w:spacing w:after="0"/>
        <w:rPr>
          <w:sz w:val="20"/>
          <w:szCs w:val="20"/>
          <w:color w:val="auto"/>
        </w:rPr>
      </w:pPr>
      <w:r>
        <w:rPr>
          <w:rFonts w:ascii="Arial" w:cs="Arial" w:eastAsia="Arial" w:hAnsi="Arial"/>
          <w:sz w:val="21"/>
          <w:szCs w:val="21"/>
          <w:b w:val="1"/>
          <w:bCs w:val="1"/>
          <w:color w:val="auto"/>
        </w:rPr>
        <w:t>Typical Target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160655</wp:posOffset>
            </wp:positionV>
            <wp:extent cx="5064125" cy="19246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064125" cy="192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Elements of Compensation for Named Executive Officers</w:t>
      </w:r>
    </w:p>
    <w:p>
      <w:pPr>
        <w:spacing w:after="0" w:line="76" w:lineRule="exact"/>
        <w:rPr>
          <w:sz w:val="20"/>
          <w:szCs w:val="20"/>
          <w:color w:val="auto"/>
        </w:rPr>
      </w:pPr>
    </w:p>
    <w:p>
      <w:pPr>
        <w:ind w:left="320" w:right="280"/>
        <w:spacing w:after="0" w:line="337" w:lineRule="auto"/>
        <w:rPr>
          <w:sz w:val="20"/>
          <w:szCs w:val="20"/>
          <w:color w:val="auto"/>
        </w:rPr>
      </w:pPr>
      <w:r>
        <w:rPr>
          <w:rFonts w:ascii="Arial" w:cs="Arial" w:eastAsia="Arial" w:hAnsi="Arial"/>
          <w:sz w:val="14"/>
          <w:szCs w:val="14"/>
          <w:color w:val="auto"/>
        </w:rPr>
        <w:t>The Committee determines the elements of total direct compensation that we provide to our senior officers, a group that includes the named executive officers. The elements of our executive compensation program of our named executive officers and the objectives for each are as follows:</w:t>
      </w:r>
    </w:p>
    <w:p>
      <w:pPr>
        <w:spacing w:after="0" w:line="14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0A9E50"/>
              </w:rPr>
              <w:t>  Compensation</w:t>
            </w:r>
          </w:p>
        </w:tc>
        <w:tc>
          <w:tcPr>
            <w:tcW w:w="13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4"/>
                <w:szCs w:val="14"/>
                <w:b w:val="1"/>
                <w:bCs w:val="1"/>
                <w:color w:val="0A9E50"/>
              </w:rPr>
              <w:t>For More</w:t>
            </w:r>
          </w:p>
        </w:tc>
        <w:tc>
          <w:tcPr>
            <w:tcW w:w="0" w:type="dxa"/>
            <w:vAlign w:val="bottom"/>
          </w:tcPr>
          <w:p>
            <w:pPr>
              <w:spacing w:after="0"/>
              <w:rPr>
                <w:sz w:val="1"/>
                <w:szCs w:val="1"/>
                <w:color w:val="auto"/>
              </w:rPr>
            </w:pPr>
          </w:p>
        </w:tc>
      </w:tr>
      <w:tr>
        <w:trPr>
          <w:trHeight w:val="179"/>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0A9E50"/>
              </w:rPr>
              <w:t>  Element</w:t>
            </w: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0A9E50"/>
              </w:rPr>
              <w:t>Type</w:t>
            </w:r>
          </w:p>
        </w:tc>
        <w:tc>
          <w:tcPr>
            <w:tcW w:w="3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0A9E50"/>
              </w:rPr>
              <w:t>Considerations</w:t>
            </w:r>
          </w:p>
        </w:tc>
        <w:tc>
          <w:tcPr>
            <w:tcW w:w="33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0A9E50"/>
              </w:rPr>
              <w:t>Objectives</w:t>
            </w: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9E50"/>
              </w:rPr>
              <w:t>Information</w:t>
            </w:r>
          </w:p>
        </w:tc>
        <w:tc>
          <w:tcPr>
            <w:tcW w:w="0" w:type="dxa"/>
            <w:vAlign w:val="bottom"/>
          </w:tcPr>
          <w:p>
            <w:pPr>
              <w:spacing w:after="0"/>
              <w:rPr>
                <w:sz w:val="1"/>
                <w:szCs w:val="1"/>
                <w:color w:val="auto"/>
              </w:rPr>
            </w:pPr>
          </w:p>
        </w:tc>
      </w:tr>
      <w:tr>
        <w:trPr>
          <w:trHeight w:val="140"/>
        </w:trPr>
        <w:tc>
          <w:tcPr>
            <w:tcW w:w="1140" w:type="dxa"/>
            <w:vAlign w:val="bottom"/>
            <w:gridSpan w:val="2"/>
          </w:tcPr>
          <w:p>
            <w:pPr>
              <w:spacing w:after="0" w:line="140" w:lineRule="exact"/>
              <w:rPr>
                <w:sz w:val="20"/>
                <w:szCs w:val="20"/>
                <w:color w:val="auto"/>
              </w:rPr>
            </w:pPr>
            <w:r>
              <w:rPr>
                <w:rFonts w:ascii="Arial" w:cs="Arial" w:eastAsia="Arial" w:hAnsi="Arial"/>
                <w:sz w:val="14"/>
                <w:szCs w:val="14"/>
                <w:b w:val="1"/>
                <w:bCs w:val="1"/>
                <w:color w:val="auto"/>
              </w:rPr>
              <w:t>  Base Salary</w:t>
            </w:r>
          </w:p>
        </w:tc>
        <w:tc>
          <w:tcPr>
            <w:tcW w:w="1380" w:type="dxa"/>
            <w:vAlign w:val="bottom"/>
          </w:tcPr>
          <w:p>
            <w:pPr>
              <w:ind w:left="120"/>
              <w:spacing w:after="0" w:line="140" w:lineRule="exact"/>
              <w:rPr>
                <w:sz w:val="20"/>
                <w:szCs w:val="20"/>
                <w:color w:val="auto"/>
              </w:rPr>
            </w:pPr>
            <w:r>
              <w:rPr>
                <w:rFonts w:ascii="Arial" w:cs="Arial" w:eastAsia="Arial" w:hAnsi="Arial"/>
                <w:sz w:val="14"/>
                <w:szCs w:val="14"/>
                <w:color w:val="auto"/>
              </w:rPr>
              <w:t>Fixed</w:t>
            </w:r>
          </w:p>
        </w:tc>
        <w:tc>
          <w:tcPr>
            <w:tcW w:w="3740" w:type="dxa"/>
            <w:vAlign w:val="bottom"/>
          </w:tcPr>
          <w:p>
            <w:pPr>
              <w:ind w:left="120"/>
              <w:spacing w:after="0" w:line="140" w:lineRule="exact"/>
              <w:rPr>
                <w:sz w:val="20"/>
                <w:szCs w:val="20"/>
                <w:color w:val="auto"/>
              </w:rPr>
            </w:pPr>
            <w:r>
              <w:rPr>
                <w:rFonts w:ascii="Arial" w:cs="Arial" w:eastAsia="Arial" w:hAnsi="Arial"/>
                <w:sz w:val="14"/>
                <w:szCs w:val="14"/>
                <w:color w:val="auto"/>
              </w:rPr>
              <w:t>•   Reviewed annually</w:t>
            </w:r>
          </w:p>
        </w:tc>
        <w:tc>
          <w:tcPr>
            <w:tcW w:w="3320" w:type="dxa"/>
            <w:vAlign w:val="bottom"/>
          </w:tcPr>
          <w:p>
            <w:pPr>
              <w:ind w:left="100"/>
              <w:spacing w:after="0" w:line="140" w:lineRule="exact"/>
              <w:rPr>
                <w:sz w:val="20"/>
                <w:szCs w:val="20"/>
                <w:color w:val="auto"/>
              </w:rPr>
            </w:pPr>
            <w:r>
              <w:rPr>
                <w:rFonts w:ascii="Arial" w:cs="Arial" w:eastAsia="Arial" w:hAnsi="Arial"/>
                <w:sz w:val="14"/>
                <w:szCs w:val="14"/>
                <w:color w:val="auto"/>
                <w:w w:val="99"/>
              </w:rPr>
              <w:t>•   Provide competitive compensation for day-to-day</w:t>
            </w:r>
          </w:p>
        </w:tc>
        <w:tc>
          <w:tcPr>
            <w:tcW w:w="1040" w:type="dxa"/>
            <w:vAlign w:val="bottom"/>
          </w:tcPr>
          <w:p>
            <w:pPr>
              <w:ind w:left="80"/>
              <w:spacing w:after="0" w:line="140" w:lineRule="exact"/>
              <w:rPr>
                <w:sz w:val="20"/>
                <w:szCs w:val="20"/>
                <w:color w:val="auto"/>
              </w:rPr>
            </w:pPr>
            <w:r>
              <w:rPr>
                <w:rFonts w:ascii="Arial" w:cs="Arial" w:eastAsia="Arial" w:hAnsi="Arial"/>
                <w:sz w:val="14"/>
                <w:szCs w:val="14"/>
                <w:b w:val="1"/>
                <w:bCs w:val="1"/>
                <w:color w:val="0A9E50"/>
              </w:rPr>
              <w:t>Page 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ind w:left="120"/>
              <w:spacing w:after="0" w:line="156" w:lineRule="exact"/>
              <w:rPr>
                <w:sz w:val="20"/>
                <w:szCs w:val="20"/>
                <w:color w:val="auto"/>
              </w:rPr>
            </w:pPr>
            <w:r>
              <w:rPr>
                <w:rFonts w:ascii="Arial" w:cs="Arial" w:eastAsia="Arial" w:hAnsi="Arial"/>
                <w:sz w:val="14"/>
                <w:szCs w:val="14"/>
                <w:color w:val="auto"/>
              </w:rPr>
              <w:t>Compensation</w:t>
            </w:r>
          </w:p>
        </w:tc>
        <w:tc>
          <w:tcPr>
            <w:tcW w:w="3740" w:type="dxa"/>
            <w:vAlign w:val="bottom"/>
          </w:tcPr>
          <w:p>
            <w:pPr>
              <w:ind w:left="120"/>
              <w:spacing w:after="0" w:line="156" w:lineRule="exact"/>
              <w:rPr>
                <w:sz w:val="20"/>
                <w:szCs w:val="20"/>
                <w:color w:val="auto"/>
              </w:rPr>
            </w:pPr>
            <w:r>
              <w:rPr>
                <w:rFonts w:ascii="Arial" w:cs="Arial" w:eastAsia="Arial" w:hAnsi="Arial"/>
                <w:sz w:val="14"/>
                <w:szCs w:val="14"/>
                <w:color w:val="auto"/>
                <w:w w:val="99"/>
              </w:rPr>
              <w:t>•   Adjusted, when appropriate based on role and scope of</w:t>
            </w:r>
          </w:p>
        </w:tc>
        <w:tc>
          <w:tcPr>
            <w:tcW w:w="3320" w:type="dxa"/>
            <w:vAlign w:val="bottom"/>
          </w:tcPr>
          <w:p>
            <w:pPr>
              <w:ind w:left="240"/>
              <w:spacing w:after="0" w:line="156" w:lineRule="exact"/>
              <w:rPr>
                <w:sz w:val="20"/>
                <w:szCs w:val="20"/>
                <w:color w:val="auto"/>
              </w:rPr>
            </w:pPr>
            <w:r>
              <w:rPr>
                <w:rFonts w:ascii="Arial" w:cs="Arial" w:eastAsia="Arial" w:hAnsi="Arial"/>
                <w:sz w:val="14"/>
                <w:szCs w:val="14"/>
                <w:color w:val="auto"/>
              </w:rPr>
              <w:t>responsibilities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740" w:type="dxa"/>
            <w:vAlign w:val="bottom"/>
          </w:tcPr>
          <w:p>
            <w:pPr>
              <w:ind w:left="260"/>
              <w:spacing w:after="0" w:line="156" w:lineRule="exact"/>
              <w:rPr>
                <w:sz w:val="20"/>
                <w:szCs w:val="20"/>
                <w:color w:val="auto"/>
              </w:rPr>
            </w:pPr>
            <w:r>
              <w:rPr>
                <w:rFonts w:ascii="Arial" w:cs="Arial" w:eastAsia="Arial" w:hAnsi="Arial"/>
                <w:sz w:val="14"/>
                <w:szCs w:val="14"/>
                <w:color w:val="auto"/>
              </w:rPr>
              <w:t>responsibilities, skills, experience, sustained individual</w:t>
            </w:r>
          </w:p>
        </w:tc>
        <w:tc>
          <w:tcPr>
            <w:tcW w:w="3320" w:type="dxa"/>
            <w:vAlign w:val="bottom"/>
          </w:tcPr>
          <w:p>
            <w:pPr>
              <w:ind w:left="100"/>
              <w:spacing w:after="0" w:line="156" w:lineRule="exact"/>
              <w:rPr>
                <w:sz w:val="20"/>
                <w:szCs w:val="20"/>
                <w:color w:val="auto"/>
              </w:rPr>
            </w:pPr>
            <w:r>
              <w:rPr>
                <w:rFonts w:ascii="Arial" w:cs="Arial" w:eastAsia="Arial" w:hAnsi="Arial"/>
                <w:sz w:val="14"/>
                <w:szCs w:val="14"/>
                <w:color w:val="auto"/>
              </w:rPr>
              <w:t>•   Attract and retain qualified senior officers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740" w:type="dxa"/>
            <w:vAlign w:val="bottom"/>
          </w:tcPr>
          <w:p>
            <w:pPr>
              <w:ind w:left="260"/>
              <w:spacing w:after="0" w:line="156" w:lineRule="exact"/>
              <w:rPr>
                <w:sz w:val="20"/>
                <w:szCs w:val="20"/>
                <w:color w:val="auto"/>
              </w:rPr>
            </w:pPr>
            <w:r>
              <w:rPr>
                <w:rFonts w:ascii="Arial" w:cs="Arial" w:eastAsia="Arial" w:hAnsi="Arial"/>
                <w:sz w:val="14"/>
                <w:szCs w:val="14"/>
                <w:color w:val="auto"/>
              </w:rPr>
              <w:t>contribution, and comparison to market- comparable</w:t>
            </w:r>
          </w:p>
        </w:tc>
        <w:tc>
          <w:tcPr>
            <w:tcW w:w="3320" w:type="dxa"/>
            <w:vAlign w:val="bottom"/>
          </w:tcPr>
          <w:p>
            <w:pPr>
              <w:ind w:left="100"/>
              <w:spacing w:after="0" w:line="156" w:lineRule="exact"/>
              <w:rPr>
                <w:sz w:val="20"/>
                <w:szCs w:val="20"/>
                <w:color w:val="auto"/>
              </w:rPr>
            </w:pPr>
            <w:r>
              <w:rPr>
                <w:rFonts w:ascii="Arial" w:cs="Arial" w:eastAsia="Arial" w:hAnsi="Arial"/>
                <w:sz w:val="14"/>
                <w:szCs w:val="14"/>
                <w:color w:val="auto"/>
              </w:rPr>
              <w:t>•   Balance risk-taking</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740" w:type="dxa"/>
            <w:vAlign w:val="bottom"/>
          </w:tcPr>
          <w:p>
            <w:pPr>
              <w:ind w:left="260"/>
              <w:spacing w:after="0"/>
              <w:rPr>
                <w:sz w:val="20"/>
                <w:szCs w:val="20"/>
                <w:color w:val="auto"/>
              </w:rPr>
            </w:pPr>
            <w:r>
              <w:rPr>
                <w:rFonts w:ascii="Arial" w:cs="Arial" w:eastAsia="Arial" w:hAnsi="Arial"/>
                <w:sz w:val="14"/>
                <w:szCs w:val="14"/>
                <w:color w:val="auto"/>
              </w:rPr>
              <w:t>jobs</w:t>
            </w:r>
          </w:p>
        </w:tc>
        <w:tc>
          <w:tcPr>
            <w:tcW w:w="3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1140" w:type="dxa"/>
            <w:vAlign w:val="bottom"/>
            <w:gridSpan w:val="2"/>
          </w:tcPr>
          <w:p>
            <w:pPr>
              <w:spacing w:after="0"/>
              <w:rPr>
                <w:sz w:val="5"/>
                <w:szCs w:val="5"/>
                <w:color w:val="auto"/>
              </w:rPr>
            </w:pPr>
          </w:p>
        </w:tc>
        <w:tc>
          <w:tcPr>
            <w:tcW w:w="13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3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tcBorders>
              <w:top w:val="single" w:sz="8" w:color="7F7F7F"/>
            </w:tcBorders>
          </w:tcPr>
          <w:p>
            <w:pPr>
              <w:spacing w:after="0" w:line="140" w:lineRule="exact"/>
              <w:rPr>
                <w:sz w:val="20"/>
                <w:szCs w:val="20"/>
                <w:color w:val="auto"/>
              </w:rPr>
            </w:pPr>
            <w:r>
              <w:rPr>
                <w:rFonts w:ascii="Arial" w:cs="Arial" w:eastAsia="Arial" w:hAnsi="Arial"/>
                <w:sz w:val="14"/>
                <w:szCs w:val="14"/>
                <w:b w:val="1"/>
                <w:bCs w:val="1"/>
                <w:color w:val="auto"/>
              </w:rPr>
              <w:t>  Short-Term  </w:t>
            </w:r>
          </w:p>
        </w:tc>
        <w:tc>
          <w:tcPr>
            <w:tcW w:w="1380" w:type="dxa"/>
            <w:vAlign w:val="bottom"/>
            <w:tcBorders>
              <w:top w:val="single" w:sz="8" w:color="7F7F7F"/>
            </w:tcBorders>
          </w:tcPr>
          <w:p>
            <w:pPr>
              <w:ind w:left="120"/>
              <w:spacing w:after="0" w:line="140" w:lineRule="exact"/>
              <w:rPr>
                <w:sz w:val="20"/>
                <w:szCs w:val="20"/>
                <w:color w:val="auto"/>
              </w:rPr>
            </w:pPr>
            <w:r>
              <w:rPr>
                <w:rFonts w:ascii="Arial" w:cs="Arial" w:eastAsia="Arial" w:hAnsi="Arial"/>
                <w:sz w:val="14"/>
                <w:szCs w:val="14"/>
                <w:color w:val="auto"/>
              </w:rPr>
              <w:t>Variable At-Risk</w:t>
            </w:r>
          </w:p>
        </w:tc>
        <w:tc>
          <w:tcPr>
            <w:tcW w:w="3740" w:type="dxa"/>
            <w:vAlign w:val="bottom"/>
            <w:tcBorders>
              <w:top w:val="single" w:sz="8" w:color="7F7F7F"/>
            </w:tcBorders>
          </w:tcPr>
          <w:p>
            <w:pPr>
              <w:ind w:left="120"/>
              <w:spacing w:after="0" w:line="140" w:lineRule="exact"/>
              <w:rPr>
                <w:sz w:val="20"/>
                <w:szCs w:val="20"/>
                <w:color w:val="auto"/>
              </w:rPr>
            </w:pPr>
            <w:r>
              <w:rPr>
                <w:rFonts w:ascii="Arial" w:cs="Arial" w:eastAsia="Arial" w:hAnsi="Arial"/>
                <w:sz w:val="14"/>
                <w:szCs w:val="14"/>
                <w:color w:val="auto"/>
              </w:rPr>
              <w:t>•   Annual performance period</w:t>
            </w:r>
          </w:p>
        </w:tc>
        <w:tc>
          <w:tcPr>
            <w:tcW w:w="3320" w:type="dxa"/>
            <w:vAlign w:val="bottom"/>
            <w:tcBorders>
              <w:top w:val="single" w:sz="8" w:color="7F7F7F"/>
            </w:tcBorders>
          </w:tcPr>
          <w:p>
            <w:pPr>
              <w:ind w:left="100"/>
              <w:spacing w:after="0" w:line="140" w:lineRule="exact"/>
              <w:rPr>
                <w:sz w:val="20"/>
                <w:szCs w:val="20"/>
                <w:color w:val="auto"/>
              </w:rPr>
            </w:pPr>
            <w:r>
              <w:rPr>
                <w:rFonts w:ascii="Arial" w:cs="Arial" w:eastAsia="Arial" w:hAnsi="Arial"/>
                <w:sz w:val="14"/>
                <w:szCs w:val="14"/>
                <w:color w:val="auto"/>
              </w:rPr>
              <w:t>•   Motivate and reward senior officers for</w:t>
            </w:r>
          </w:p>
        </w:tc>
        <w:tc>
          <w:tcPr>
            <w:tcW w:w="1040" w:type="dxa"/>
            <w:vAlign w:val="bottom"/>
            <w:tcBorders>
              <w:top w:val="single" w:sz="8" w:color="7F7F7F"/>
            </w:tcBorders>
          </w:tcPr>
          <w:p>
            <w:pPr>
              <w:ind w:left="80"/>
              <w:spacing w:after="0" w:line="140" w:lineRule="exact"/>
              <w:rPr>
                <w:sz w:val="20"/>
                <w:szCs w:val="20"/>
                <w:color w:val="auto"/>
              </w:rPr>
            </w:pPr>
            <w:r>
              <w:rPr>
                <w:rFonts w:ascii="Arial" w:cs="Arial" w:eastAsia="Arial" w:hAnsi="Arial"/>
                <w:sz w:val="14"/>
                <w:szCs w:val="14"/>
                <w:b w:val="1"/>
                <w:bCs w:val="1"/>
                <w:color w:val="0A9E50"/>
              </w:rPr>
              <w:t>Page 61</w:t>
            </w:r>
          </w:p>
        </w:tc>
        <w:tc>
          <w:tcPr>
            <w:tcW w:w="0" w:type="dxa"/>
            <w:vAlign w:val="bottom"/>
          </w:tcPr>
          <w:p>
            <w:pPr>
              <w:spacing w:after="0"/>
              <w:rPr>
                <w:sz w:val="1"/>
                <w:szCs w:val="1"/>
                <w:color w:val="auto"/>
              </w:rPr>
            </w:pPr>
          </w:p>
        </w:tc>
      </w:tr>
      <w:tr>
        <w:trPr>
          <w:trHeight w:val="156"/>
        </w:trPr>
        <w:tc>
          <w:tcPr>
            <w:tcW w:w="114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Incentive  </w:t>
            </w:r>
          </w:p>
        </w:tc>
        <w:tc>
          <w:tcPr>
            <w:tcW w:w="1380" w:type="dxa"/>
            <w:vAlign w:val="bottom"/>
          </w:tcPr>
          <w:p>
            <w:pPr>
              <w:ind w:left="120"/>
              <w:spacing w:after="0" w:line="156" w:lineRule="exact"/>
              <w:rPr>
                <w:sz w:val="20"/>
                <w:szCs w:val="20"/>
                <w:color w:val="auto"/>
              </w:rPr>
            </w:pPr>
            <w:r>
              <w:rPr>
                <w:rFonts w:ascii="Arial" w:cs="Arial" w:eastAsia="Arial" w:hAnsi="Arial"/>
                <w:sz w:val="14"/>
                <w:szCs w:val="14"/>
                <w:color w:val="auto"/>
              </w:rPr>
              <w:t>Performance-</w:t>
            </w:r>
          </w:p>
        </w:tc>
        <w:tc>
          <w:tcPr>
            <w:tcW w:w="3740" w:type="dxa"/>
            <w:vAlign w:val="bottom"/>
          </w:tcPr>
          <w:p>
            <w:pPr>
              <w:ind w:left="120"/>
              <w:spacing w:after="0" w:line="156" w:lineRule="exact"/>
              <w:rPr>
                <w:sz w:val="20"/>
                <w:szCs w:val="20"/>
                <w:color w:val="auto"/>
              </w:rPr>
            </w:pPr>
            <w:r>
              <w:rPr>
                <w:rFonts w:ascii="Arial" w:cs="Arial" w:eastAsia="Arial" w:hAnsi="Arial"/>
                <w:sz w:val="14"/>
                <w:szCs w:val="14"/>
                <w:color w:val="auto"/>
                <w:w w:val="99"/>
              </w:rPr>
              <w:t>•   Target payout opportunity established as percentage of</w:t>
            </w:r>
          </w:p>
        </w:tc>
        <w:tc>
          <w:tcPr>
            <w:tcW w:w="3320" w:type="dxa"/>
            <w:vAlign w:val="bottom"/>
          </w:tcPr>
          <w:p>
            <w:pPr>
              <w:ind w:left="240"/>
              <w:spacing w:after="0" w:line="156" w:lineRule="exact"/>
              <w:rPr>
                <w:sz w:val="20"/>
                <w:szCs w:val="20"/>
                <w:color w:val="auto"/>
              </w:rPr>
            </w:pPr>
            <w:r>
              <w:rPr>
                <w:rFonts w:ascii="Arial" w:cs="Arial" w:eastAsia="Arial" w:hAnsi="Arial"/>
                <w:sz w:val="14"/>
                <w:szCs w:val="14"/>
                <w:color w:val="auto"/>
              </w:rPr>
              <w:t>achievement of critical near-term performance</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Plan (STIP)</w:t>
            </w:r>
          </w:p>
        </w:tc>
        <w:tc>
          <w:tcPr>
            <w:tcW w:w="1380" w:type="dxa"/>
            <w:vAlign w:val="bottom"/>
          </w:tcPr>
          <w:p>
            <w:pPr>
              <w:ind w:left="120"/>
              <w:spacing w:after="0" w:line="156" w:lineRule="exact"/>
              <w:rPr>
                <w:sz w:val="20"/>
                <w:szCs w:val="20"/>
                <w:color w:val="auto"/>
              </w:rPr>
            </w:pPr>
            <w:r>
              <w:rPr>
                <w:rFonts w:ascii="Arial" w:cs="Arial" w:eastAsia="Arial" w:hAnsi="Arial"/>
                <w:sz w:val="14"/>
                <w:szCs w:val="14"/>
                <w:color w:val="auto"/>
              </w:rPr>
              <w:t>Based</w:t>
            </w:r>
          </w:p>
        </w:tc>
        <w:tc>
          <w:tcPr>
            <w:tcW w:w="3740" w:type="dxa"/>
            <w:vAlign w:val="bottom"/>
          </w:tcPr>
          <w:p>
            <w:pPr>
              <w:ind w:left="260"/>
              <w:spacing w:after="0" w:line="156" w:lineRule="exact"/>
              <w:rPr>
                <w:sz w:val="20"/>
                <w:szCs w:val="20"/>
                <w:color w:val="auto"/>
              </w:rPr>
            </w:pPr>
            <w:r>
              <w:rPr>
                <w:rFonts w:ascii="Arial" w:cs="Arial" w:eastAsia="Arial" w:hAnsi="Arial"/>
                <w:sz w:val="14"/>
                <w:szCs w:val="14"/>
                <w:color w:val="auto"/>
              </w:rPr>
              <w:t>earnings for each senior officer based on role</w:t>
            </w:r>
          </w:p>
        </w:tc>
        <w:tc>
          <w:tcPr>
            <w:tcW w:w="3320" w:type="dxa"/>
            <w:vAlign w:val="bottom"/>
          </w:tcPr>
          <w:p>
            <w:pPr>
              <w:ind w:left="240"/>
              <w:spacing w:after="0" w:line="156" w:lineRule="exact"/>
              <w:rPr>
                <w:sz w:val="20"/>
                <w:szCs w:val="20"/>
                <w:color w:val="auto"/>
              </w:rPr>
            </w:pPr>
            <w:r>
              <w:rPr>
                <w:rFonts w:ascii="Arial" w:cs="Arial" w:eastAsia="Arial" w:hAnsi="Arial"/>
                <w:sz w:val="14"/>
                <w:szCs w:val="14"/>
                <w:color w:val="auto"/>
              </w:rPr>
              <w:t>goals that support the Company’s strategic</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ind w:left="120"/>
              <w:spacing w:after="0" w:line="156" w:lineRule="exact"/>
              <w:rPr>
                <w:sz w:val="20"/>
                <w:szCs w:val="20"/>
                <w:color w:val="auto"/>
              </w:rPr>
            </w:pPr>
            <w:r>
              <w:rPr>
                <w:rFonts w:ascii="Arial" w:cs="Arial" w:eastAsia="Arial" w:hAnsi="Arial"/>
                <w:sz w:val="14"/>
                <w:szCs w:val="14"/>
                <w:color w:val="auto"/>
              </w:rPr>
              <w:t>Compensation</w:t>
            </w:r>
          </w:p>
        </w:tc>
        <w:tc>
          <w:tcPr>
            <w:tcW w:w="3740" w:type="dxa"/>
            <w:vAlign w:val="bottom"/>
          </w:tcPr>
          <w:p>
            <w:pPr>
              <w:ind w:left="120"/>
              <w:spacing w:after="0" w:line="156" w:lineRule="exact"/>
              <w:rPr>
                <w:sz w:val="20"/>
                <w:szCs w:val="20"/>
                <w:color w:val="auto"/>
              </w:rPr>
            </w:pPr>
            <w:r>
              <w:rPr>
                <w:rFonts w:ascii="Arial" w:cs="Arial" w:eastAsia="Arial" w:hAnsi="Arial"/>
                <w:sz w:val="14"/>
                <w:szCs w:val="14"/>
                <w:color w:val="auto"/>
              </w:rPr>
              <w:t>•   Performance measures selected to align with our</w:t>
            </w:r>
          </w:p>
        </w:tc>
        <w:tc>
          <w:tcPr>
            <w:tcW w:w="3320" w:type="dxa"/>
            <w:vAlign w:val="bottom"/>
          </w:tcPr>
          <w:p>
            <w:pPr>
              <w:ind w:left="240"/>
              <w:spacing w:after="0" w:line="156" w:lineRule="exact"/>
              <w:rPr>
                <w:sz w:val="20"/>
                <w:szCs w:val="20"/>
                <w:color w:val="auto"/>
              </w:rPr>
            </w:pPr>
            <w:r>
              <w:rPr>
                <w:rFonts w:ascii="Arial" w:cs="Arial" w:eastAsia="Arial" w:hAnsi="Arial"/>
                <w:sz w:val="14"/>
                <w:szCs w:val="14"/>
                <w:color w:val="auto"/>
              </w:rPr>
              <w:t>business objectives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740" w:type="dxa"/>
            <w:vAlign w:val="bottom"/>
          </w:tcPr>
          <w:p>
            <w:pPr>
              <w:ind w:left="260"/>
              <w:spacing w:after="0" w:line="156" w:lineRule="exact"/>
              <w:rPr>
                <w:sz w:val="20"/>
                <w:szCs w:val="20"/>
                <w:color w:val="auto"/>
              </w:rPr>
            </w:pPr>
            <w:r>
              <w:rPr>
                <w:rFonts w:ascii="Arial" w:cs="Arial" w:eastAsia="Arial" w:hAnsi="Arial"/>
                <w:sz w:val="14"/>
                <w:szCs w:val="14"/>
                <w:color w:val="auto"/>
              </w:rPr>
              <w:t>business strategy</w:t>
            </w:r>
          </w:p>
        </w:tc>
        <w:tc>
          <w:tcPr>
            <w:tcW w:w="3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740" w:type="dxa"/>
            <w:vAlign w:val="bottom"/>
          </w:tcPr>
          <w:p>
            <w:pPr>
              <w:ind w:left="120"/>
              <w:spacing w:after="0" w:line="156" w:lineRule="exact"/>
              <w:rPr>
                <w:sz w:val="20"/>
                <w:szCs w:val="20"/>
                <w:color w:val="auto"/>
              </w:rPr>
            </w:pPr>
            <w:r>
              <w:rPr>
                <w:rFonts w:ascii="Arial" w:cs="Arial" w:eastAsia="Arial" w:hAnsi="Arial"/>
                <w:sz w:val="14"/>
                <w:szCs w:val="14"/>
                <w:color w:val="auto"/>
              </w:rPr>
              <w:t>•   Multiple performance measures that reflect key</w:t>
            </w:r>
          </w:p>
        </w:tc>
        <w:tc>
          <w:tcPr>
            <w:tcW w:w="3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740" w:type="dxa"/>
            <w:vAlign w:val="bottom"/>
          </w:tcPr>
          <w:p>
            <w:pPr>
              <w:ind w:left="260"/>
              <w:spacing w:after="0" w:line="156" w:lineRule="exact"/>
              <w:rPr>
                <w:sz w:val="20"/>
                <w:szCs w:val="20"/>
                <w:color w:val="auto"/>
              </w:rPr>
            </w:pPr>
            <w:r>
              <w:rPr>
                <w:rFonts w:ascii="Arial" w:cs="Arial" w:eastAsia="Arial" w:hAnsi="Arial"/>
                <w:sz w:val="14"/>
                <w:szCs w:val="14"/>
                <w:color w:val="auto"/>
              </w:rPr>
              <w:t>operational and financial measures of success</w:t>
            </w:r>
          </w:p>
        </w:tc>
        <w:tc>
          <w:tcPr>
            <w:tcW w:w="3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740" w:type="dxa"/>
            <w:vAlign w:val="bottom"/>
          </w:tcPr>
          <w:p>
            <w:pPr>
              <w:ind w:left="120"/>
              <w:spacing w:after="0"/>
              <w:rPr>
                <w:sz w:val="20"/>
                <w:szCs w:val="20"/>
                <w:color w:val="auto"/>
              </w:rPr>
            </w:pPr>
            <w:r>
              <w:rPr>
                <w:rFonts w:ascii="Arial" w:cs="Arial" w:eastAsia="Arial" w:hAnsi="Arial"/>
                <w:sz w:val="14"/>
                <w:szCs w:val="14"/>
                <w:color w:val="auto"/>
              </w:rPr>
              <w:t>•   Payout based on achievement of predetermined goals</w:t>
            </w:r>
          </w:p>
        </w:tc>
        <w:tc>
          <w:tcPr>
            <w:tcW w:w="3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120" w:type="dxa"/>
            <w:vAlign w:val="bottom"/>
            <w:tcBorders>
              <w:bottom w:val="single" w:sz="8" w:color="7F7F7F"/>
            </w:tcBorders>
          </w:tcPr>
          <w:p>
            <w:pPr>
              <w:spacing w:after="0"/>
              <w:rPr>
                <w:sz w:val="5"/>
                <w:szCs w:val="5"/>
                <w:color w:val="auto"/>
              </w:rPr>
            </w:pPr>
          </w:p>
        </w:tc>
        <w:tc>
          <w:tcPr>
            <w:tcW w:w="1380" w:type="dxa"/>
            <w:vAlign w:val="bottom"/>
            <w:tcBorders>
              <w:bottom w:val="single" w:sz="8" w:color="7F7F7F"/>
            </w:tcBorders>
          </w:tcPr>
          <w:p>
            <w:pPr>
              <w:spacing w:after="0"/>
              <w:rPr>
                <w:sz w:val="5"/>
                <w:szCs w:val="5"/>
                <w:color w:val="auto"/>
              </w:rPr>
            </w:pPr>
          </w:p>
        </w:tc>
        <w:tc>
          <w:tcPr>
            <w:tcW w:w="3740" w:type="dxa"/>
            <w:vAlign w:val="bottom"/>
            <w:tcBorders>
              <w:bottom w:val="single" w:sz="8" w:color="7F7F7F"/>
            </w:tcBorders>
          </w:tcPr>
          <w:p>
            <w:pPr>
              <w:spacing w:after="0"/>
              <w:rPr>
                <w:sz w:val="5"/>
                <w:szCs w:val="5"/>
                <w:color w:val="auto"/>
              </w:rPr>
            </w:pPr>
          </w:p>
        </w:tc>
        <w:tc>
          <w:tcPr>
            <w:tcW w:w="3320" w:type="dxa"/>
            <w:vAlign w:val="bottom"/>
            <w:tcBorders>
              <w:bottom w:val="single" w:sz="8" w:color="7F7F7F"/>
            </w:tcBorders>
          </w:tcPr>
          <w:p>
            <w:pPr>
              <w:spacing w:after="0"/>
              <w:rPr>
                <w:sz w:val="5"/>
                <w:szCs w:val="5"/>
                <w:color w:val="auto"/>
              </w:rPr>
            </w:pPr>
          </w:p>
        </w:tc>
        <w:tc>
          <w:tcPr>
            <w:tcW w:w="104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  Long Term  </w:t>
            </w:r>
          </w:p>
        </w:tc>
        <w:tc>
          <w:tcPr>
            <w:tcW w:w="1380" w:type="dxa"/>
            <w:vAlign w:val="bottom"/>
          </w:tcPr>
          <w:p>
            <w:pPr>
              <w:ind w:left="120"/>
              <w:spacing w:after="0" w:line="153" w:lineRule="exact"/>
              <w:rPr>
                <w:sz w:val="20"/>
                <w:szCs w:val="20"/>
                <w:color w:val="auto"/>
              </w:rPr>
            </w:pPr>
            <w:r>
              <w:rPr>
                <w:rFonts w:ascii="Arial" w:cs="Arial" w:eastAsia="Arial" w:hAnsi="Arial"/>
                <w:sz w:val="14"/>
                <w:szCs w:val="14"/>
                <w:color w:val="auto"/>
              </w:rPr>
              <w:t>Time-Based Fixed</w:t>
            </w:r>
          </w:p>
        </w:tc>
        <w:tc>
          <w:tcPr>
            <w:tcW w:w="3740" w:type="dxa"/>
            <w:vAlign w:val="bottom"/>
            <w:shd w:val="clear" w:color="auto" w:fill="EDEDED"/>
          </w:tcPr>
          <w:p>
            <w:pPr>
              <w:spacing w:after="0"/>
              <w:rPr>
                <w:sz w:val="13"/>
                <w:szCs w:val="13"/>
                <w:color w:val="auto"/>
              </w:rPr>
            </w:pPr>
          </w:p>
        </w:tc>
        <w:tc>
          <w:tcPr>
            <w:tcW w:w="3320" w:type="dxa"/>
            <w:vAlign w:val="bottom"/>
            <w:shd w:val="clear" w:color="auto" w:fill="EDEDED"/>
          </w:tcPr>
          <w:p>
            <w:pPr>
              <w:spacing w:after="0"/>
              <w:rPr>
                <w:sz w:val="13"/>
                <w:szCs w:val="13"/>
                <w:color w:val="auto"/>
              </w:rPr>
            </w:pPr>
          </w:p>
        </w:tc>
        <w:tc>
          <w:tcPr>
            <w:tcW w:w="1040" w:type="dxa"/>
            <w:vAlign w:val="bottom"/>
            <w:vMerge w:val="restart"/>
            <w:shd w:val="clear" w:color="auto" w:fill="EDEDED"/>
          </w:tcPr>
          <w:p>
            <w:pPr>
              <w:ind w:left="80"/>
              <w:spacing w:after="0"/>
              <w:rPr>
                <w:sz w:val="20"/>
                <w:szCs w:val="20"/>
                <w:color w:val="auto"/>
              </w:rPr>
            </w:pPr>
            <w:r>
              <w:rPr>
                <w:rFonts w:ascii="Arial" w:cs="Arial" w:eastAsia="Arial" w:hAnsi="Arial"/>
                <w:sz w:val="14"/>
                <w:szCs w:val="14"/>
                <w:b w:val="1"/>
                <w:bCs w:val="1"/>
                <w:color w:val="0A9E50"/>
              </w:rPr>
              <w:t>Page 60</w:t>
            </w:r>
          </w:p>
        </w:tc>
        <w:tc>
          <w:tcPr>
            <w:tcW w:w="0" w:type="dxa"/>
            <w:vAlign w:val="bottom"/>
          </w:tcPr>
          <w:p>
            <w:pPr>
              <w:spacing w:after="0"/>
              <w:rPr>
                <w:sz w:val="1"/>
                <w:szCs w:val="1"/>
                <w:color w:val="auto"/>
              </w:rPr>
            </w:pPr>
          </w:p>
        </w:tc>
      </w:tr>
      <w:tr>
        <w:trPr>
          <w:trHeight w:val="156"/>
        </w:trPr>
        <w:tc>
          <w:tcPr>
            <w:tcW w:w="114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Incentives</w:t>
            </w:r>
          </w:p>
        </w:tc>
        <w:tc>
          <w:tcPr>
            <w:tcW w:w="1380" w:type="dxa"/>
            <w:vAlign w:val="bottom"/>
          </w:tcPr>
          <w:p>
            <w:pPr>
              <w:ind w:left="120"/>
              <w:spacing w:after="0" w:line="156" w:lineRule="exact"/>
              <w:rPr>
                <w:sz w:val="20"/>
                <w:szCs w:val="20"/>
                <w:color w:val="auto"/>
              </w:rPr>
            </w:pPr>
            <w:r>
              <w:rPr>
                <w:rFonts w:ascii="Arial" w:cs="Arial" w:eastAsia="Arial" w:hAnsi="Arial"/>
                <w:sz w:val="14"/>
                <w:szCs w:val="14"/>
                <w:color w:val="auto"/>
              </w:rPr>
              <w:t>Compensation</w:t>
            </w:r>
          </w:p>
        </w:tc>
        <w:tc>
          <w:tcPr>
            <w:tcW w:w="3740" w:type="dxa"/>
            <w:vAlign w:val="bottom"/>
            <w:shd w:val="clear" w:color="auto" w:fill="EDEDED"/>
          </w:tcPr>
          <w:p>
            <w:pPr>
              <w:ind w:left="120"/>
              <w:spacing w:after="0" w:line="156" w:lineRule="exact"/>
              <w:rPr>
                <w:sz w:val="20"/>
                <w:szCs w:val="20"/>
                <w:color w:val="auto"/>
              </w:rPr>
            </w:pPr>
            <w:r>
              <w:rPr>
                <w:rFonts w:ascii="Arial" w:cs="Arial" w:eastAsia="Arial" w:hAnsi="Arial"/>
                <w:sz w:val="14"/>
                <w:szCs w:val="14"/>
                <w:b w:val="1"/>
                <w:bCs w:val="1"/>
                <w:color w:val="auto"/>
              </w:rPr>
              <w:t>Restricted Stock</w:t>
            </w:r>
          </w:p>
        </w:tc>
        <w:tc>
          <w:tcPr>
            <w:tcW w:w="3320" w:type="dxa"/>
            <w:vAlign w:val="bottom"/>
            <w:shd w:val="clear" w:color="auto" w:fill="EDEDED"/>
          </w:tcPr>
          <w:p>
            <w:pPr>
              <w:spacing w:after="0"/>
              <w:rPr>
                <w:sz w:val="13"/>
                <w:szCs w:val="13"/>
                <w:color w:val="auto"/>
              </w:rPr>
            </w:pPr>
          </w:p>
        </w:tc>
        <w:tc>
          <w:tcPr>
            <w:tcW w:w="1040" w:type="dxa"/>
            <w:vAlign w:val="bottom"/>
            <w:vMerge w:val="continue"/>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(LTI)</w:t>
            </w:r>
          </w:p>
        </w:tc>
        <w:tc>
          <w:tcPr>
            <w:tcW w:w="1380" w:type="dxa"/>
            <w:vAlign w:val="bottom"/>
          </w:tcPr>
          <w:p>
            <w:pPr>
              <w:spacing w:after="0"/>
              <w:rPr>
                <w:sz w:val="7"/>
                <w:szCs w:val="7"/>
                <w:color w:val="auto"/>
              </w:rPr>
            </w:pPr>
          </w:p>
        </w:tc>
        <w:tc>
          <w:tcPr>
            <w:tcW w:w="3740" w:type="dxa"/>
            <w:vAlign w:val="bottom"/>
            <w:shd w:val="clear" w:color="auto" w:fill="EDEDED"/>
          </w:tcPr>
          <w:p>
            <w:pPr>
              <w:spacing w:after="0"/>
              <w:rPr>
                <w:sz w:val="7"/>
                <w:szCs w:val="7"/>
                <w:color w:val="auto"/>
              </w:rPr>
            </w:pPr>
          </w:p>
        </w:tc>
        <w:tc>
          <w:tcPr>
            <w:tcW w:w="3320" w:type="dxa"/>
            <w:vAlign w:val="bottom"/>
            <w:shd w:val="clear" w:color="auto" w:fill="EDEDED"/>
          </w:tcPr>
          <w:p>
            <w:pPr>
              <w:spacing w:after="0"/>
              <w:rPr>
                <w:sz w:val="7"/>
                <w:szCs w:val="7"/>
                <w:color w:val="auto"/>
              </w:rPr>
            </w:pPr>
          </w:p>
        </w:tc>
        <w:tc>
          <w:tcPr>
            <w:tcW w:w="104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140" w:type="dxa"/>
            <w:vAlign w:val="bottom"/>
            <w:gridSpan w:val="2"/>
            <w:vMerge w:val="continue"/>
          </w:tcPr>
          <w:p>
            <w:pPr>
              <w:spacing w:after="0"/>
              <w:rPr>
                <w:sz w:val="9"/>
                <w:szCs w:val="9"/>
                <w:color w:val="auto"/>
              </w:rPr>
            </w:pPr>
          </w:p>
        </w:tc>
        <w:tc>
          <w:tcPr>
            <w:tcW w:w="1380" w:type="dxa"/>
            <w:vAlign w:val="bottom"/>
          </w:tcPr>
          <w:p>
            <w:pPr>
              <w:spacing w:after="0"/>
              <w:rPr>
                <w:sz w:val="9"/>
                <w:szCs w:val="9"/>
                <w:color w:val="auto"/>
              </w:rPr>
            </w:pPr>
          </w:p>
        </w:tc>
        <w:tc>
          <w:tcPr>
            <w:tcW w:w="3740" w:type="dxa"/>
            <w:vAlign w:val="bottom"/>
            <w:vMerge w:val="restart"/>
          </w:tcPr>
          <w:p>
            <w:pPr>
              <w:ind w:left="120"/>
              <w:spacing w:after="0" w:line="147" w:lineRule="exact"/>
              <w:rPr>
                <w:sz w:val="20"/>
                <w:szCs w:val="20"/>
                <w:color w:val="auto"/>
              </w:rPr>
            </w:pPr>
            <w:r>
              <w:rPr>
                <w:rFonts w:ascii="Arial" w:cs="Arial" w:eastAsia="Arial" w:hAnsi="Arial"/>
                <w:sz w:val="14"/>
                <w:szCs w:val="14"/>
                <w:color w:val="auto"/>
              </w:rPr>
              <w:t>•   Accounts for 25% for CEO and 40% for other named</w:t>
            </w:r>
          </w:p>
        </w:tc>
        <w:tc>
          <w:tcPr>
            <w:tcW w:w="3320" w:type="dxa"/>
            <w:vAlign w:val="bottom"/>
            <w:vMerge w:val="restart"/>
          </w:tcPr>
          <w:p>
            <w:pPr>
              <w:ind w:left="100"/>
              <w:spacing w:after="0" w:line="147" w:lineRule="exact"/>
              <w:rPr>
                <w:sz w:val="20"/>
                <w:szCs w:val="20"/>
                <w:color w:val="auto"/>
              </w:rPr>
            </w:pPr>
            <w:r>
              <w:rPr>
                <w:rFonts w:ascii="Arial" w:cs="Arial" w:eastAsia="Arial" w:hAnsi="Arial"/>
                <w:sz w:val="14"/>
                <w:szCs w:val="14"/>
                <w:color w:val="auto"/>
              </w:rPr>
              <w:t>•   Align interests of senior officers and</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740" w:type="dxa"/>
            <w:vAlign w:val="bottom"/>
            <w:vMerge w:val="continue"/>
          </w:tcPr>
          <w:p>
            <w:pPr>
              <w:spacing w:after="0"/>
              <w:rPr>
                <w:sz w:val="3"/>
                <w:szCs w:val="3"/>
                <w:color w:val="auto"/>
              </w:rPr>
            </w:pPr>
          </w:p>
        </w:tc>
        <w:tc>
          <w:tcPr>
            <w:tcW w:w="332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740" w:type="dxa"/>
            <w:vAlign w:val="bottom"/>
          </w:tcPr>
          <w:p>
            <w:pPr>
              <w:ind w:left="260"/>
              <w:spacing w:after="0" w:line="156" w:lineRule="exact"/>
              <w:rPr>
                <w:sz w:val="20"/>
                <w:szCs w:val="20"/>
                <w:color w:val="auto"/>
              </w:rPr>
            </w:pPr>
            <w:r>
              <w:rPr>
                <w:rFonts w:ascii="Arial" w:cs="Arial" w:eastAsia="Arial" w:hAnsi="Arial"/>
                <w:sz w:val="14"/>
                <w:szCs w:val="14"/>
                <w:color w:val="auto"/>
              </w:rPr>
              <w:t>executive officers of total LTI award opportunity</w:t>
            </w:r>
          </w:p>
        </w:tc>
        <w:tc>
          <w:tcPr>
            <w:tcW w:w="3320" w:type="dxa"/>
            <w:vAlign w:val="bottom"/>
          </w:tcPr>
          <w:p>
            <w:pPr>
              <w:ind w:left="240"/>
              <w:spacing w:after="0" w:line="156" w:lineRule="exact"/>
              <w:rPr>
                <w:sz w:val="20"/>
                <w:szCs w:val="20"/>
                <w:color w:val="auto"/>
              </w:rPr>
            </w:pPr>
            <w:r>
              <w:rPr>
                <w:rFonts w:ascii="Arial" w:cs="Arial" w:eastAsia="Arial" w:hAnsi="Arial"/>
                <w:sz w:val="14"/>
                <w:szCs w:val="14"/>
                <w:color w:val="auto"/>
              </w:rPr>
              <w:t>shareholders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740" w:type="dxa"/>
            <w:vAlign w:val="bottom"/>
          </w:tcPr>
          <w:p>
            <w:pPr>
              <w:ind w:left="120"/>
              <w:spacing w:after="0" w:line="156" w:lineRule="exact"/>
              <w:rPr>
                <w:sz w:val="20"/>
                <w:szCs w:val="20"/>
                <w:color w:val="auto"/>
              </w:rPr>
            </w:pPr>
            <w:r>
              <w:rPr>
                <w:rFonts w:ascii="Arial" w:cs="Arial" w:eastAsia="Arial" w:hAnsi="Arial"/>
                <w:sz w:val="14"/>
                <w:szCs w:val="14"/>
                <w:color w:val="auto"/>
              </w:rPr>
              <w:t>•   Shares vest ratably over three years</w:t>
            </w:r>
          </w:p>
        </w:tc>
        <w:tc>
          <w:tcPr>
            <w:tcW w:w="3320" w:type="dxa"/>
            <w:vAlign w:val="bottom"/>
          </w:tcPr>
          <w:p>
            <w:pPr>
              <w:ind w:left="100"/>
              <w:spacing w:after="0" w:line="156" w:lineRule="exact"/>
              <w:rPr>
                <w:sz w:val="20"/>
                <w:szCs w:val="20"/>
                <w:color w:val="auto"/>
              </w:rPr>
            </w:pPr>
            <w:r>
              <w:rPr>
                <w:rFonts w:ascii="Arial" w:cs="Arial" w:eastAsia="Arial" w:hAnsi="Arial"/>
                <w:sz w:val="14"/>
                <w:szCs w:val="14"/>
                <w:color w:val="auto"/>
              </w:rPr>
              <w:t>•   Support retention</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320" w:type="dxa"/>
            <w:vAlign w:val="bottom"/>
          </w:tcPr>
          <w:p>
            <w:pPr>
              <w:ind w:left="100"/>
              <w:spacing w:after="0"/>
              <w:rPr>
                <w:sz w:val="20"/>
                <w:szCs w:val="20"/>
                <w:color w:val="auto"/>
              </w:rPr>
            </w:pPr>
            <w:r>
              <w:rPr>
                <w:rFonts w:ascii="Arial" w:cs="Arial" w:eastAsia="Arial" w:hAnsi="Arial"/>
                <w:sz w:val="14"/>
                <w:szCs w:val="14"/>
                <w:color w:val="auto"/>
              </w:rPr>
              <w:t>•   Support meaningful stock ownership</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-2075815</wp:posOffset>
            </wp:positionV>
            <wp:extent cx="6740525" cy="34118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40525" cy="341185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64"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Variable At-Risk</w:t>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Performance-</w:t>
      </w:r>
    </w:p>
    <w:p>
      <w:pPr>
        <w:ind w:left="1580"/>
        <w:spacing w:after="0" w:line="232" w:lineRule="auto"/>
        <w:rPr>
          <w:sz w:val="20"/>
          <w:szCs w:val="20"/>
          <w:color w:val="auto"/>
        </w:rPr>
      </w:pPr>
      <w:r>
        <w:rPr>
          <w:rFonts w:ascii="Arial" w:cs="Arial" w:eastAsia="Arial" w:hAnsi="Arial"/>
          <w:sz w:val="14"/>
          <w:szCs w:val="14"/>
          <w:color w:val="auto"/>
        </w:rPr>
        <w:t>Based</w:t>
      </w:r>
    </w:p>
    <w:p>
      <w:pPr>
        <w:ind w:left="1580"/>
        <w:spacing w:after="0"/>
        <w:rPr>
          <w:sz w:val="20"/>
          <w:szCs w:val="20"/>
          <w:color w:val="auto"/>
        </w:rPr>
      </w:pPr>
      <w:r>
        <w:rPr>
          <w:rFonts w:ascii="Arial" w:cs="Arial" w:eastAsia="Arial" w:hAnsi="Arial"/>
          <w:sz w:val="14"/>
          <w:szCs w:val="14"/>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Shares</w:t>
      </w:r>
    </w:p>
    <w:p>
      <w:pPr>
        <w:spacing w:after="0" w:line="73" w:lineRule="exact"/>
        <w:rPr>
          <w:sz w:val="20"/>
          <w:szCs w:val="20"/>
          <w:color w:val="auto"/>
        </w:rPr>
      </w:pPr>
    </w:p>
    <w:p>
      <w:pPr>
        <w:ind w:left="140" w:right="80" w:hanging="138"/>
        <w:spacing w:after="0" w:line="261" w:lineRule="auto"/>
        <w:rPr>
          <w:sz w:val="20"/>
          <w:szCs w:val="20"/>
          <w:color w:val="auto"/>
        </w:rPr>
      </w:pPr>
      <w:r>
        <w:rPr>
          <w:rFonts w:ascii="Arial" w:cs="Arial" w:eastAsia="Arial" w:hAnsi="Arial"/>
          <w:sz w:val="13"/>
          <w:szCs w:val="13"/>
          <w:color w:val="auto"/>
        </w:rPr>
        <w:t>•   Accounts for 75% for CEO and 60% for other named executive officers of total LTI award opportunity</w:t>
      </w:r>
    </w:p>
    <w:p>
      <w:pPr>
        <w:spacing w:after="0" w:line="1" w:lineRule="exact"/>
        <w:rPr>
          <w:sz w:val="20"/>
          <w:szCs w:val="20"/>
          <w:color w:val="auto"/>
        </w:rPr>
      </w:pPr>
    </w:p>
    <w:p>
      <w:pPr>
        <w:ind w:left="140" w:right="160" w:hanging="138"/>
        <w:spacing w:after="0" w:line="250" w:lineRule="auto"/>
        <w:rPr>
          <w:sz w:val="20"/>
          <w:szCs w:val="20"/>
          <w:color w:val="auto"/>
        </w:rPr>
      </w:pPr>
      <w:r>
        <w:rPr>
          <w:rFonts w:ascii="Arial" w:cs="Arial" w:eastAsia="Arial" w:hAnsi="Arial"/>
          <w:sz w:val="13"/>
          <w:szCs w:val="13"/>
          <w:color w:val="auto"/>
        </w:rPr>
        <w:t>•   Provides opportunity to earn shares based on achievement of multiple specific performance goals</w:t>
      </w:r>
    </w:p>
    <w:p>
      <w:pPr>
        <w:spacing w:after="0" w:line="1" w:lineRule="exact"/>
        <w:rPr>
          <w:sz w:val="20"/>
          <w:szCs w:val="20"/>
          <w:color w:val="auto"/>
        </w:rPr>
      </w:pPr>
    </w:p>
    <w:p>
      <w:pPr>
        <w:jc w:val="both"/>
        <w:ind w:left="140" w:hanging="138"/>
        <w:spacing w:after="0" w:line="236" w:lineRule="auto"/>
        <w:rPr>
          <w:sz w:val="20"/>
          <w:szCs w:val="20"/>
          <w:color w:val="auto"/>
        </w:rPr>
      </w:pPr>
      <w:r>
        <w:rPr>
          <w:rFonts w:ascii="Arial" w:cs="Arial" w:eastAsia="Arial" w:hAnsi="Arial"/>
          <w:sz w:val="14"/>
          <w:szCs w:val="14"/>
          <w:color w:val="auto"/>
        </w:rPr>
        <w:t>•   Given the continued complexity of goal setting in the current business environment, financial measures for 2023-2025 LTI awards are established and assessed independently for each of three one-year performance periods (2023, 2024, and 2025) with goals set early in each performance period</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right"/>
        <w:ind w:right="440"/>
        <w:spacing w:after="0"/>
        <w:rPr>
          <w:sz w:val="20"/>
          <w:szCs w:val="20"/>
          <w:color w:val="auto"/>
        </w:rPr>
      </w:pPr>
      <w:r>
        <w:rPr>
          <w:rFonts w:ascii="Arial" w:cs="Arial" w:eastAsia="Arial" w:hAnsi="Arial"/>
          <w:sz w:val="14"/>
          <w:szCs w:val="14"/>
          <w:b w:val="1"/>
          <w:bCs w:val="1"/>
          <w:color w:val="0A9E50"/>
        </w:rPr>
        <w:t>Page 57</w:t>
      </w:r>
    </w:p>
    <w:p>
      <w:pPr>
        <w:spacing w:after="0" w:line="125" w:lineRule="exact"/>
        <w:rPr>
          <w:sz w:val="20"/>
          <w:szCs w:val="20"/>
          <w:color w:val="auto"/>
        </w:rPr>
      </w:pPr>
    </w:p>
    <w:p>
      <w:pPr>
        <w:ind w:right="1220"/>
        <w:spacing w:after="0" w:line="261" w:lineRule="auto"/>
        <w:rPr>
          <w:sz w:val="20"/>
          <w:szCs w:val="20"/>
          <w:color w:val="auto"/>
        </w:rPr>
      </w:pPr>
      <w:r>
        <w:rPr>
          <w:rFonts w:ascii="Arial" w:cs="Arial" w:eastAsia="Arial" w:hAnsi="Arial"/>
          <w:sz w:val="13"/>
          <w:szCs w:val="13"/>
          <w:color w:val="auto"/>
        </w:rPr>
        <w:t>•   Drive long-term value creation for shareholders •   Motivate and reward senior officers for</w:t>
      </w:r>
    </w:p>
    <w:p>
      <w:pPr>
        <w:spacing w:after="0" w:line="1" w:lineRule="exact"/>
        <w:rPr>
          <w:sz w:val="20"/>
          <w:szCs w:val="20"/>
          <w:color w:val="auto"/>
        </w:rPr>
      </w:pPr>
    </w:p>
    <w:p>
      <w:pPr>
        <w:ind w:left="140" w:right="1380"/>
        <w:spacing w:after="0" w:line="232" w:lineRule="auto"/>
        <w:rPr>
          <w:sz w:val="20"/>
          <w:szCs w:val="20"/>
          <w:color w:val="auto"/>
        </w:rPr>
      </w:pPr>
      <w:r>
        <w:rPr>
          <w:rFonts w:ascii="Arial" w:cs="Arial" w:eastAsia="Arial" w:hAnsi="Arial"/>
          <w:sz w:val="14"/>
          <w:szCs w:val="14"/>
          <w:color w:val="auto"/>
        </w:rPr>
        <w:t>achievement of strategic business objectives over a three-year period</w:t>
      </w:r>
    </w:p>
    <w:p>
      <w:pPr>
        <w:spacing w:after="0" w:line="1" w:lineRule="exact"/>
        <w:rPr>
          <w:sz w:val="20"/>
          <w:szCs w:val="20"/>
          <w:color w:val="auto"/>
        </w:rPr>
      </w:pPr>
    </w:p>
    <w:p>
      <w:pPr>
        <w:ind w:left="140" w:right="1100" w:hanging="138"/>
        <w:spacing w:after="0" w:line="282" w:lineRule="auto"/>
        <w:rPr>
          <w:sz w:val="20"/>
          <w:szCs w:val="20"/>
          <w:color w:val="auto"/>
        </w:rPr>
      </w:pPr>
      <w:r>
        <w:rPr>
          <w:rFonts w:ascii="Arial" w:cs="Arial" w:eastAsia="Arial" w:hAnsi="Arial"/>
          <w:sz w:val="13"/>
          <w:szCs w:val="13"/>
          <w:color w:val="auto"/>
        </w:rPr>
        <w:t>•   Align the interests of senior officers with the long-term interests of the Company and shareholders</w:t>
      </w:r>
    </w:p>
    <w:p>
      <w:pPr>
        <w:spacing w:after="0" w:line="623" w:lineRule="exact"/>
        <w:rPr>
          <w:sz w:val="20"/>
          <w:szCs w:val="20"/>
          <w:color w:val="auto"/>
        </w:rPr>
      </w:pPr>
    </w:p>
    <w:p>
      <w:pPr>
        <w:sectPr>
          <w:pgSz w:w="11900" w:h="16838" w:orient="portrait"/>
          <w:cols w:equalWidth="0" w:num="3">
            <w:col w:w="2560" w:space="400"/>
            <w:col w:w="3440" w:space="280"/>
            <w:col w:w="4260"/>
          </w:cols>
          <w:pgMar w:left="320" w:top="471" w:right="639" w:bottom="1440" w:gutter="0" w:footer="0" w:header="0"/>
          <w:type w:val="continuous"/>
        </w:sectPr>
      </w:pP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-283210</wp:posOffset>
            </wp:positionV>
            <wp:extent cx="67405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-184150</wp:posOffset>
            </wp:positionV>
            <wp:extent cx="8255" cy="2228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2024 Executive Incentive Plans</w:t>
      </w:r>
    </w:p>
    <w:p>
      <w:pPr>
        <w:spacing w:after="0" w:line="76" w:lineRule="exact"/>
        <w:rPr>
          <w:sz w:val="20"/>
          <w:szCs w:val="20"/>
          <w:color w:val="auto"/>
        </w:rPr>
      </w:pPr>
    </w:p>
    <w:p>
      <w:pPr>
        <w:jc w:val="both"/>
        <w:ind w:left="320" w:right="20"/>
        <w:spacing w:after="0" w:line="251" w:lineRule="auto"/>
        <w:rPr>
          <w:sz w:val="20"/>
          <w:szCs w:val="20"/>
          <w:color w:val="auto"/>
        </w:rPr>
      </w:pPr>
      <w:r>
        <w:rPr>
          <w:rFonts w:ascii="Arial" w:cs="Arial" w:eastAsia="Arial" w:hAnsi="Arial"/>
          <w:sz w:val="16"/>
          <w:szCs w:val="16"/>
          <w:color w:val="auto"/>
        </w:rPr>
        <w:t>For the 2024 incentive plan designs, the Company continues to focus on pay-for-performance alignment by using multiple financial measures to strongly drive our key business objectives and shareholder value. Additional details regarding the 2024 incentive plan designs will be presented in our 2025 Proxy Statement.</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Process for Determining Executive Compensation</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Role of the Compensation and Talent Management Committee</w:t>
      </w:r>
    </w:p>
    <w:p>
      <w:pPr>
        <w:spacing w:after="0" w:line="63" w:lineRule="exact"/>
        <w:rPr>
          <w:sz w:val="20"/>
          <w:szCs w:val="20"/>
          <w:color w:val="auto"/>
        </w:rPr>
      </w:pPr>
    </w:p>
    <w:p>
      <w:pPr>
        <w:ind w:left="320" w:right="20"/>
        <w:spacing w:after="0" w:line="241" w:lineRule="auto"/>
        <w:rPr>
          <w:sz w:val="20"/>
          <w:szCs w:val="20"/>
          <w:color w:val="auto"/>
        </w:rPr>
      </w:pPr>
      <w:r>
        <w:rPr>
          <w:rFonts w:ascii="Arial" w:cs="Arial" w:eastAsia="Arial" w:hAnsi="Arial"/>
          <w:sz w:val="16"/>
          <w:szCs w:val="16"/>
          <w:color w:val="auto"/>
        </w:rPr>
        <w:t>The Committee designs and administers the Company’s executive compensation programs and policies, including regularly reviewing the program and policy objectives, applicable new legal and regulatory practices, evolving best practices, and corporate governance trends. The Committee and members of the Board of Directors determine the compensation of the CEO. The CEO’s total compensation is the same design as the other named executive officers consisting of base salary, STIP, and LTI award opportunities. The CEO does not participate in recommendations or discussions related to his own compensation. As part of its responsibility for executive compensation, the Committee annually reviews and determines the compensation of each of our senior officers, including the named executive officers listed in the Summary Compensation Table of this Proxy Statement, based on individual performance, including consideration of ethical behavior, achievement of planned goals, relevant market comparisons, the recommendations of the CEO, and other factors. The Committee reviews the costs and short-and long-term benefits of the compensation arrangements it considers and approves for senior officers.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The responsibilities of the Committee are defined in its charter, which can be found on the Company’s website at </w:t>
      </w:r>
      <w:r>
        <w:rPr>
          <w:rFonts w:ascii="Arial" w:cs="Arial" w:eastAsia="Arial" w:hAnsi="Arial"/>
          <w:sz w:val="16"/>
          <w:szCs w:val="16"/>
          <w:i w:val="1"/>
          <w:iCs w:val="1"/>
          <w:color w:val="auto"/>
        </w:rPr>
        <w:t>kellyservices.com</w:t>
      </w:r>
      <w:r>
        <w:rPr>
          <w:rFonts w:ascii="Arial" w:cs="Arial" w:eastAsia="Arial" w:hAnsi="Arial"/>
          <w:sz w:val="16"/>
          <w:szCs w:val="16"/>
          <w:color w:val="auto"/>
        </w:rPr>
        <w:t>.</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Role of the Independent Compensation Consultant</w:t>
      </w:r>
    </w:p>
    <w:p>
      <w:pPr>
        <w:spacing w:after="0" w:line="63" w:lineRule="exact"/>
        <w:rPr>
          <w:sz w:val="20"/>
          <w:szCs w:val="20"/>
          <w:color w:val="auto"/>
        </w:rPr>
      </w:pPr>
    </w:p>
    <w:p>
      <w:pPr>
        <w:ind w:left="320" w:right="20"/>
        <w:spacing w:after="0" w:line="243" w:lineRule="auto"/>
        <w:rPr>
          <w:sz w:val="20"/>
          <w:szCs w:val="20"/>
          <w:color w:val="auto"/>
        </w:rPr>
      </w:pPr>
      <w:r>
        <w:rPr>
          <w:rFonts w:ascii="Arial" w:cs="Arial" w:eastAsia="Arial" w:hAnsi="Arial"/>
          <w:sz w:val="16"/>
          <w:szCs w:val="16"/>
          <w:color w:val="auto"/>
        </w:rPr>
        <w:t>Pay Governance LLC is the Committee’s independent compensation consultant (the “Consultant”). The Committee considers analysis and guidance from the Consultant when making compensation decisions on plan design; the merits of various incentive plan performance measures; senior officer pay levels, including that of the CEO and our other executive officers, relative to peer group and other market data; composition of peer group companies; stock ownership requirements; and other pay practices. In addition, the Consultant updates the Committee on market trends and best practices in executive compensation and as requested, provides data and guidance on other items such as director compensation. The Committee uses its own independent judgment to make all decisions related to the compensation of the Company’s senior officers.</w:t>
      </w:r>
    </w:p>
    <w:p>
      <w:pPr>
        <w:spacing w:after="0" w:line="40" w:lineRule="exact"/>
        <w:rPr>
          <w:sz w:val="20"/>
          <w:szCs w:val="20"/>
          <w:color w:val="auto"/>
        </w:rPr>
      </w:pPr>
    </w:p>
    <w:p>
      <w:pPr>
        <w:ind w:left="320"/>
        <w:spacing w:after="0" w:line="243" w:lineRule="auto"/>
        <w:rPr>
          <w:sz w:val="20"/>
          <w:szCs w:val="20"/>
          <w:color w:val="auto"/>
        </w:rPr>
      </w:pPr>
      <w:r>
        <w:rPr>
          <w:rFonts w:ascii="Arial" w:cs="Arial" w:eastAsia="Arial" w:hAnsi="Arial"/>
          <w:sz w:val="16"/>
          <w:szCs w:val="16"/>
          <w:color w:val="auto"/>
        </w:rPr>
        <w:t>During 2023, the Consultant regularly attended Committee meetings and communicated with the Chairman of the Board and the Committee Chairman outside of Committee meetings. The Committee regularly meets with the Consultant in private session (without members of management). As directed by the Compensation and Talent Management Committee, the Consultant also met with the Senior Vice President and Chief People Officer (“Chief People Officer”), Senior Vice President, General Counsel and Corporate Secretary (“Corporate Secretary”), and members of the Executive Compensation, Finance, and Corporate Governance teams of the Company. The Consultant maintains a direct reporting relationship to the Committee on all compensation matters.</w:t>
      </w:r>
    </w:p>
    <w:p>
      <w:pPr>
        <w:spacing w:after="0" w:line="53" w:lineRule="exact"/>
        <w:rPr>
          <w:sz w:val="20"/>
          <w:szCs w:val="20"/>
          <w:color w:val="auto"/>
        </w:rPr>
      </w:pPr>
    </w:p>
    <w:p>
      <w:pPr>
        <w:ind w:left="320"/>
        <w:spacing w:after="0" w:line="251" w:lineRule="auto"/>
        <w:rPr>
          <w:sz w:val="20"/>
          <w:szCs w:val="20"/>
          <w:color w:val="auto"/>
        </w:rPr>
      </w:pPr>
      <w:r>
        <w:rPr>
          <w:rFonts w:ascii="Arial" w:cs="Arial" w:eastAsia="Arial" w:hAnsi="Arial"/>
          <w:sz w:val="16"/>
          <w:szCs w:val="16"/>
          <w:color w:val="auto"/>
        </w:rPr>
        <w:t>The Committee conducts an annual assessment of the Consultant’s independence, using factors established by Nasdaq. The Consultant provided no services to the Company in 2023 other than services to the Committee. The Committee reviewed and affirmed the independence of the Consultant as the Compensation Consultant to the Committee and concluded the work performed by the Consultant did not raise a conflict of interest.</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Role of Management</w:t>
      </w:r>
    </w:p>
    <w:p>
      <w:pPr>
        <w:spacing w:after="0" w:line="63" w:lineRule="exact"/>
        <w:rPr>
          <w:sz w:val="20"/>
          <w:szCs w:val="20"/>
          <w:color w:val="auto"/>
        </w:rPr>
      </w:pPr>
    </w:p>
    <w:p>
      <w:pPr>
        <w:ind w:left="320" w:right="900"/>
        <w:spacing w:after="0" w:line="265" w:lineRule="auto"/>
        <w:rPr>
          <w:sz w:val="20"/>
          <w:szCs w:val="20"/>
          <w:color w:val="auto"/>
        </w:rPr>
      </w:pPr>
      <w:r>
        <w:rPr>
          <w:rFonts w:ascii="Arial" w:cs="Arial" w:eastAsia="Arial" w:hAnsi="Arial"/>
          <w:sz w:val="16"/>
          <w:szCs w:val="16"/>
          <w:color w:val="auto"/>
        </w:rPr>
        <w:t>The Committee consults with the CEO and the Chief People Officer to obtain feedback with respect to the strategic direction of our executive compensation programs.</w:t>
      </w:r>
    </w:p>
    <w:p>
      <w:pPr>
        <w:spacing w:after="0" w:line="23" w:lineRule="exact"/>
        <w:rPr>
          <w:sz w:val="20"/>
          <w:szCs w:val="20"/>
          <w:color w:val="auto"/>
        </w:rPr>
      </w:pPr>
    </w:p>
    <w:p>
      <w:pPr>
        <w:ind w:left="320" w:right="60"/>
        <w:spacing w:after="0" w:line="251" w:lineRule="auto"/>
        <w:rPr>
          <w:sz w:val="20"/>
          <w:szCs w:val="20"/>
          <w:color w:val="auto"/>
        </w:rPr>
      </w:pPr>
      <w:r>
        <w:rPr>
          <w:rFonts w:ascii="Arial" w:cs="Arial" w:eastAsia="Arial" w:hAnsi="Arial"/>
          <w:sz w:val="16"/>
          <w:szCs w:val="16"/>
          <w:color w:val="auto"/>
        </w:rPr>
        <w:t>The CEO makes recommendations for each of the executive officers about elements of their total compensation. His recommendations are based on the assessment of each executive officer’s performance, as well as the performance of their respective business or function and other factors. The Committee takes into consideration the recommendations of the CEO when determining the compensation of the other executive officers.</w:t>
      </w:r>
    </w:p>
    <w:p>
      <w:pPr>
        <w:spacing w:after="0" w:line="47" w:lineRule="exact"/>
        <w:rPr>
          <w:sz w:val="20"/>
          <w:szCs w:val="20"/>
          <w:color w:val="auto"/>
        </w:rPr>
      </w:pPr>
    </w:p>
    <w:p>
      <w:pPr>
        <w:ind w:left="320" w:right="360"/>
        <w:spacing w:after="0" w:line="265" w:lineRule="auto"/>
        <w:rPr>
          <w:sz w:val="20"/>
          <w:szCs w:val="20"/>
          <w:color w:val="auto"/>
        </w:rPr>
      </w:pPr>
      <w:r>
        <w:rPr>
          <w:rFonts w:ascii="Arial" w:cs="Arial" w:eastAsia="Arial" w:hAnsi="Arial"/>
          <w:sz w:val="16"/>
          <w:szCs w:val="16"/>
          <w:color w:val="auto"/>
        </w:rPr>
        <w:t>In addition, the CFO provides periodic financial updates and information to the Committee to aid in establishing incentive plan goals and determining payout amounts.</w:t>
      </w:r>
    </w:p>
    <w:p>
      <w:pPr>
        <w:spacing w:after="0" w:line="23" w:lineRule="exact"/>
        <w:rPr>
          <w:sz w:val="20"/>
          <w:szCs w:val="20"/>
          <w:color w:val="auto"/>
        </w:rPr>
      </w:pPr>
    </w:p>
    <w:p>
      <w:pPr>
        <w:ind w:left="320" w:right="60"/>
        <w:spacing w:after="0" w:line="265" w:lineRule="auto"/>
        <w:rPr>
          <w:sz w:val="20"/>
          <w:szCs w:val="20"/>
          <w:color w:val="auto"/>
        </w:rPr>
      </w:pPr>
      <w:r>
        <w:rPr>
          <w:rFonts w:ascii="Arial" w:cs="Arial" w:eastAsia="Arial" w:hAnsi="Arial"/>
          <w:sz w:val="16"/>
          <w:szCs w:val="16"/>
          <w:color w:val="auto"/>
        </w:rPr>
        <w:t>The Committee consults with the Corporate Secretary and the Consultant on matters related to executive and director stock ownership requirements and director compensation.</w:t>
      </w:r>
    </w:p>
    <w:p>
      <w:pPr>
        <w:spacing w:after="0" w:line="38"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52 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00"/>
          </w:cols>
          <w:pgMar w:left="320" w:top="471" w:right="6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Comparator Data</w:t>
      </w:r>
    </w:p>
    <w:p>
      <w:pPr>
        <w:spacing w:after="0" w:line="76" w:lineRule="exact"/>
        <w:rPr>
          <w:sz w:val="20"/>
          <w:szCs w:val="20"/>
          <w:color w:val="auto"/>
        </w:rPr>
      </w:pPr>
    </w:p>
    <w:p>
      <w:pPr>
        <w:ind w:left="320" w:right="140"/>
        <w:spacing w:after="0" w:line="251" w:lineRule="auto"/>
        <w:rPr>
          <w:sz w:val="20"/>
          <w:szCs w:val="20"/>
          <w:color w:val="auto"/>
        </w:rPr>
      </w:pPr>
      <w:r>
        <w:rPr>
          <w:rFonts w:ascii="Arial" w:cs="Arial" w:eastAsia="Arial" w:hAnsi="Arial"/>
          <w:sz w:val="16"/>
          <w:szCs w:val="16"/>
          <w:color w:val="auto"/>
        </w:rPr>
        <w:t>The Committee uses third-party survey data for comparably sized general industry companies and available data from a select group of peer companies in determining the competitive positioning of our compensation programs. Comparator data is also used as one of several inputs to establish the individual compensation opportunities of each of our senior officers, including the named executive officers.</w:t>
      </w:r>
    </w:p>
    <w:p>
      <w:pPr>
        <w:spacing w:after="0" w:line="34" w:lineRule="exact"/>
        <w:rPr>
          <w:sz w:val="20"/>
          <w:szCs w:val="20"/>
          <w:color w:val="auto"/>
        </w:rPr>
      </w:pPr>
    </w:p>
    <w:p>
      <w:pPr>
        <w:ind w:left="320" w:right="40"/>
        <w:spacing w:after="0"/>
        <w:rPr>
          <w:sz w:val="20"/>
          <w:szCs w:val="20"/>
          <w:color w:val="auto"/>
        </w:rPr>
      </w:pPr>
      <w:r>
        <w:rPr>
          <w:rFonts w:ascii="Arial" w:cs="Arial" w:eastAsia="Arial" w:hAnsi="Arial"/>
          <w:sz w:val="16"/>
          <w:szCs w:val="16"/>
          <w:color w:val="auto"/>
        </w:rPr>
        <w:t>Each senior officer’s performance is reviewed (see Senior Officer Performance Reviews and Succession Planning below) and compensation decisions are made on an annual basis (or as a senior officer’s duties and responsibilities change). Base salaries, target STIP, and target long-term incentive opportunities are benchmarked against a group of comparable executive positions in general industry companies of similar revenue size as reflected in multiple third-party surveys. We seek to establish target total direct compensation opportunities (defined as base salary, target STIP, and target long-term incentive) for our named executive officers that are near a competitive range of the median of the market data. Compensation ultimately earned from these opportunities can vary from the targeted levels based on Company, business unit, and individual performance. Various other factors are taken into consideration and in certain circumstances, we may target pay above or below the competitive median. Individual target total direct compensation may be above or below the median depending on Company performance, cost considerations, the role’s scope of responsibilities, individual experience and performance, and any succession, retention, or internal equity considerations. The Company has taken a conservative approach to target long-term incentive opportunities generally below market median for senior officers. This approach is in support of the Company’s efforts to reduce costs in connection with its investment strategy and its goal to become more profitable.</w:t>
      </w:r>
    </w:p>
    <w:p>
      <w:pPr>
        <w:spacing w:after="0" w:line="45" w:lineRule="exact"/>
        <w:rPr>
          <w:sz w:val="20"/>
          <w:szCs w:val="20"/>
          <w:color w:val="auto"/>
        </w:rPr>
      </w:pPr>
    </w:p>
    <w:p>
      <w:pPr>
        <w:ind w:left="320" w:right="20"/>
        <w:spacing w:after="0" w:line="244" w:lineRule="auto"/>
        <w:rPr>
          <w:sz w:val="20"/>
          <w:szCs w:val="20"/>
          <w:color w:val="auto"/>
        </w:rPr>
      </w:pPr>
      <w:r>
        <w:rPr>
          <w:rFonts w:ascii="Arial" w:cs="Arial" w:eastAsia="Arial" w:hAnsi="Arial"/>
          <w:sz w:val="16"/>
          <w:szCs w:val="16"/>
          <w:color w:val="auto"/>
        </w:rPr>
        <w:t>In setting 2023 target compensation, the Committee performed a competitive executive compensation analysis, which included an analysis of third-party survey data prepared internally by the Company’s executive compensation group, and a peer group review of CEO pay prepared by the Consultant. Third-party general industry survey data from Aon, Pearl Meyer, and WTW were used to prepare the survey analysis. Specific companies that participated in the third-party surveys were unknown and not a factor in the Committee’s deliberations. The Consultant reviewed the survey analysis for the Committee.</w:t>
      </w:r>
    </w:p>
    <w:p>
      <w:pPr>
        <w:spacing w:after="0" w:line="53" w:lineRule="exact"/>
        <w:rPr>
          <w:sz w:val="20"/>
          <w:szCs w:val="20"/>
          <w:color w:val="auto"/>
        </w:rPr>
      </w:pPr>
    </w:p>
    <w:p>
      <w:pPr>
        <w:ind w:left="320" w:right="40"/>
        <w:spacing w:after="0" w:line="241" w:lineRule="auto"/>
        <w:rPr>
          <w:sz w:val="20"/>
          <w:szCs w:val="20"/>
          <w:color w:val="auto"/>
        </w:rPr>
      </w:pPr>
      <w:r>
        <w:rPr>
          <w:rFonts w:ascii="Arial" w:cs="Arial" w:eastAsia="Arial" w:hAnsi="Arial"/>
          <w:sz w:val="16"/>
          <w:szCs w:val="16"/>
          <w:color w:val="auto"/>
        </w:rPr>
        <w:t>The Consultant worked with the Committee and management to develop a group of peer companies to be used for market comparison purposes in terms of CEO pay levels and executive pay practices. We do not believe many companies compete directly with us in all areas of our business or are of similar size. However, in order to have a reference group of publicly traded comparators, the Consultant identified a group of relevant companies that compare to Kelly in at least some areas of our business. The resulting group of twelve comparator companies consists solely of staffing and HR-focused companies with generally similar annual revenues and recent market cap. The majority are multi-national/ global companies headquartered in U.S. The following group of companies includes direct peers and a balanced mix of some significantly smaller and larger companies in similar industries and was unchanged from last year. The peer group, unchanged from 2022, was used by the Committee and management as another reference point when assessing 2023 executive pay practices and CEO pay levels:</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0A9E50"/>
        </w:rPr>
        <w:t>2023 Peer Group</w:t>
      </w:r>
    </w:p>
    <w:p>
      <w:pPr>
        <w:spacing w:after="0" w:line="57" w:lineRule="exact"/>
        <w:rPr>
          <w:sz w:val="20"/>
          <w:szCs w:val="20"/>
          <w:color w:val="auto"/>
        </w:rPr>
      </w:pPr>
    </w:p>
    <w:tbl>
      <w:tblPr>
        <w:tblLayout w:type="fixed"/>
        <w:tblInd w:w="320" w:type="dxa"/>
        <w:tblCellMar>
          <w:top w:w="0" w:type="dxa"/>
          <w:left w:w="0" w:type="dxa"/>
          <w:bottom w:w="0" w:type="dxa"/>
          <w:right w:w="0" w:type="dxa"/>
        </w:tblCellMar>
      </w:tblPr>
      <w:tr>
        <w:trPr>
          <w:trHeight w:val="218"/>
        </w:trPr>
        <w:tc>
          <w:tcPr>
            <w:tcW w:w="30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ABM Industries Incorporated</w:t>
            </w:r>
          </w:p>
        </w:tc>
        <w:tc>
          <w:tcPr>
            <w:tcW w:w="38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Barrett Business Services, Inc.</w:t>
            </w:r>
          </w:p>
        </w:tc>
        <w:tc>
          <w:tcPr>
            <w:tcW w:w="38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ManpowerGroup Inc.</w:t>
            </w:r>
          </w:p>
        </w:tc>
      </w:tr>
      <w:tr>
        <w:trPr>
          <w:trHeight w:val="235"/>
        </w:trPr>
        <w:tc>
          <w:tcPr>
            <w:tcW w:w="3000" w:type="dxa"/>
            <w:vAlign w:val="bottom"/>
          </w:tcPr>
          <w:p>
            <w:pPr>
              <w:ind w:left="1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Adecco Group AG</w:t>
            </w:r>
          </w:p>
        </w:tc>
        <w:tc>
          <w:tcPr>
            <w:tcW w:w="3820" w:type="dxa"/>
            <w:vAlign w:val="bottom"/>
          </w:tcPr>
          <w:p>
            <w:pPr>
              <w:ind w:left="5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Heidrick &amp; Struggles International, Inc.</w:t>
            </w:r>
          </w:p>
        </w:tc>
        <w:tc>
          <w:tcPr>
            <w:tcW w:w="3800" w:type="dxa"/>
            <w:vAlign w:val="bottom"/>
          </w:tcPr>
          <w:p>
            <w:pPr>
              <w:ind w:left="4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Randstad NV</w:t>
            </w:r>
          </w:p>
        </w:tc>
      </w:tr>
      <w:tr>
        <w:trPr>
          <w:trHeight w:val="247"/>
        </w:trPr>
        <w:tc>
          <w:tcPr>
            <w:tcW w:w="3000" w:type="dxa"/>
            <w:vAlign w:val="bottom"/>
          </w:tcPr>
          <w:p>
            <w:pPr>
              <w:ind w:left="1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AMN Healthcare Services, Inc.</w:t>
            </w:r>
          </w:p>
        </w:tc>
        <w:tc>
          <w:tcPr>
            <w:tcW w:w="3820" w:type="dxa"/>
            <w:vAlign w:val="bottom"/>
          </w:tcPr>
          <w:p>
            <w:pPr>
              <w:ind w:left="5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Insperity, Inc.</w:t>
            </w:r>
          </w:p>
        </w:tc>
        <w:tc>
          <w:tcPr>
            <w:tcW w:w="3800" w:type="dxa"/>
            <w:vAlign w:val="bottom"/>
          </w:tcPr>
          <w:p>
            <w:pPr>
              <w:ind w:left="4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Robert Half International Inc.</w:t>
            </w:r>
          </w:p>
        </w:tc>
      </w:tr>
      <w:tr>
        <w:trPr>
          <w:trHeight w:val="236"/>
        </w:trPr>
        <w:tc>
          <w:tcPr>
            <w:tcW w:w="3000" w:type="dxa"/>
            <w:vAlign w:val="bottom"/>
            <w:tcBorders>
              <w:bottom w:val="single" w:sz="8" w:color="7F7F7F"/>
            </w:tcBorders>
          </w:tcPr>
          <w:p>
            <w:pPr>
              <w:ind w:left="1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ASGN Inc.</w:t>
            </w:r>
          </w:p>
        </w:tc>
        <w:tc>
          <w:tcPr>
            <w:tcW w:w="3820" w:type="dxa"/>
            <w:vAlign w:val="bottom"/>
            <w:tcBorders>
              <w:bottom w:val="single" w:sz="8" w:color="7F7F7F"/>
            </w:tcBorders>
          </w:tcPr>
          <w:p>
            <w:pPr>
              <w:ind w:left="5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Kforce Inc.</w:t>
            </w:r>
          </w:p>
        </w:tc>
        <w:tc>
          <w:tcPr>
            <w:tcW w:w="3800" w:type="dxa"/>
            <w:vAlign w:val="bottom"/>
            <w:tcBorders>
              <w:bottom w:val="single" w:sz="8" w:color="7F7F7F"/>
            </w:tcBorders>
          </w:tcPr>
          <w:p>
            <w:pPr>
              <w:ind w:left="4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TrueBlue, Inc.</w:t>
            </w:r>
          </w:p>
        </w:tc>
      </w:tr>
    </w:tbl>
    <w:p>
      <w:pPr>
        <w:spacing w:after="0" w:line="53" w:lineRule="exact"/>
        <w:rPr>
          <w:sz w:val="20"/>
          <w:szCs w:val="20"/>
          <w:color w:val="auto"/>
        </w:rPr>
      </w:pPr>
    </w:p>
    <w:p>
      <w:pPr>
        <w:ind w:left="320" w:right="160"/>
        <w:spacing w:after="0" w:line="246" w:lineRule="auto"/>
        <w:rPr>
          <w:sz w:val="20"/>
          <w:szCs w:val="20"/>
          <w:color w:val="auto"/>
        </w:rPr>
      </w:pPr>
      <w:r>
        <w:rPr>
          <w:rFonts w:ascii="Arial" w:cs="Arial" w:eastAsia="Arial" w:hAnsi="Arial"/>
          <w:sz w:val="16"/>
          <w:szCs w:val="16"/>
          <w:color w:val="auto"/>
        </w:rPr>
        <w:t>The Committee considers peer group and general industry survey data as a point of reference, not the sole factor in determining senior officers’ compensation. The third-party survey data and peer group analysis represent “Market Data” when referenced throughout this Compensation Discussion and Analysis. The Committee considers all resources provided as part of a holistic process that also includes officer performance and the recommendations of the Company’s CEO regarding total compensation for senior officers.</w:t>
      </w:r>
    </w:p>
    <w:p>
      <w:pPr>
        <w:spacing w:after="0" w:line="39" w:lineRule="exact"/>
        <w:rPr>
          <w:sz w:val="20"/>
          <w:szCs w:val="20"/>
          <w:color w:val="auto"/>
        </w:rPr>
      </w:pPr>
    </w:p>
    <w:p>
      <w:pPr>
        <w:ind w:left="320" w:right="80"/>
        <w:spacing w:after="0" w:line="251" w:lineRule="auto"/>
        <w:rPr>
          <w:sz w:val="20"/>
          <w:szCs w:val="20"/>
          <w:color w:val="auto"/>
        </w:rPr>
      </w:pPr>
      <w:r>
        <w:rPr>
          <w:rFonts w:ascii="Arial" w:cs="Arial" w:eastAsia="Arial" w:hAnsi="Arial"/>
          <w:sz w:val="16"/>
          <w:szCs w:val="16"/>
          <w:color w:val="auto"/>
        </w:rPr>
        <w:t>In addition to Market Data and for use as background information, the Executive Compensation group provides the Committee with comprehensive detail illustrating historical target and actual total compensation data and long-term incentive grant detail that includes grant date fair value as well as the intrinsic value of outstanding award opportunities.</w:t>
      </w:r>
    </w:p>
    <w:p>
      <w:pPr>
        <w:spacing w:after="0" w:line="47" w:lineRule="exact"/>
        <w:rPr>
          <w:sz w:val="20"/>
          <w:szCs w:val="20"/>
          <w:color w:val="auto"/>
        </w:rPr>
      </w:pPr>
    </w:p>
    <w:p>
      <w:pPr>
        <w:ind w:left="320" w:right="80"/>
        <w:spacing w:after="0" w:line="252" w:lineRule="auto"/>
        <w:rPr>
          <w:sz w:val="20"/>
          <w:szCs w:val="20"/>
          <w:color w:val="auto"/>
        </w:rPr>
      </w:pPr>
      <w:r>
        <w:rPr>
          <w:rFonts w:ascii="Arial" w:cs="Arial" w:eastAsia="Arial" w:hAnsi="Arial"/>
          <w:sz w:val="16"/>
          <w:szCs w:val="16"/>
          <w:color w:val="auto"/>
        </w:rPr>
        <w:t>The Committee reviews this detail for the executive officers and believes it is useful multi-year reference information, along with other perspectives, when considering whether compensation decisions reflect the Company’s executive compensation philosophy and performance.</w:t>
      </w:r>
    </w:p>
    <w:p>
      <w:pPr>
        <w:spacing w:after="0" w:line="1" w:lineRule="exact"/>
        <w:rPr>
          <w:sz w:val="20"/>
          <w:szCs w:val="20"/>
          <w:color w:val="auto"/>
        </w:rPr>
      </w:pP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-222250</wp:posOffset>
            </wp:positionV>
            <wp:extent cx="8255" cy="2228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Senior Officer Performance Reviews and Succession Planning</w:t>
      </w:r>
    </w:p>
    <w:p>
      <w:pPr>
        <w:spacing w:after="0" w:line="76" w:lineRule="exact"/>
        <w:rPr>
          <w:sz w:val="20"/>
          <w:szCs w:val="20"/>
          <w:color w:val="auto"/>
        </w:rPr>
      </w:pPr>
    </w:p>
    <w:p>
      <w:pPr>
        <w:ind w:left="320" w:right="520"/>
        <w:spacing w:after="0" w:line="265" w:lineRule="auto"/>
        <w:rPr>
          <w:sz w:val="20"/>
          <w:szCs w:val="20"/>
          <w:color w:val="auto"/>
        </w:rPr>
      </w:pPr>
      <w:r>
        <w:rPr>
          <w:rFonts w:ascii="Arial" w:cs="Arial" w:eastAsia="Arial" w:hAnsi="Arial"/>
          <w:sz w:val="16"/>
          <w:szCs w:val="16"/>
          <w:color w:val="auto"/>
        </w:rPr>
        <w:t>Annually, the Committee conducts a comprehensive review of performance, leadership development initiatives, and succession planning for senior officers. Combined, these processes are used to identify, develop, and evaluate the Company’s senior officers.</w:t>
      </w:r>
    </w:p>
    <w:p>
      <w:pPr>
        <w:spacing w:after="0" w:line="23" w:lineRule="exact"/>
        <w:rPr>
          <w:sz w:val="20"/>
          <w:szCs w:val="20"/>
          <w:color w:val="auto"/>
        </w:rPr>
      </w:pPr>
    </w:p>
    <w:p>
      <w:pPr>
        <w:ind w:left="320" w:right="200"/>
        <w:spacing w:after="0" w:line="246" w:lineRule="auto"/>
        <w:rPr>
          <w:sz w:val="20"/>
          <w:szCs w:val="20"/>
          <w:color w:val="auto"/>
        </w:rPr>
      </w:pPr>
      <w:r>
        <w:rPr>
          <w:rFonts w:ascii="Arial" w:cs="Arial" w:eastAsia="Arial" w:hAnsi="Arial"/>
          <w:sz w:val="16"/>
          <w:szCs w:val="16"/>
          <w:color w:val="auto"/>
        </w:rPr>
        <w:t>The Chief People Officer, with input from the CEO, prepares detailed executive performance review information for each of the senior officers, including named executive officers (other than the CEO). The performance review information for each of the senior officers includes key annual initiatives, performance results, and development opportunities. The CEO reviews the performance of the other senior officers and presents their individual performance assessments, development plans, and succession strategies to the Committee.</w:t>
      </w:r>
    </w:p>
    <w:p>
      <w:pPr>
        <w:spacing w:after="0" w:line="39" w:lineRule="exact"/>
        <w:rPr>
          <w:sz w:val="20"/>
          <w:szCs w:val="20"/>
          <w:color w:val="auto"/>
        </w:rPr>
      </w:pPr>
    </w:p>
    <w:p>
      <w:pPr>
        <w:ind w:left="320" w:right="40"/>
        <w:spacing w:after="0" w:line="246" w:lineRule="auto"/>
        <w:rPr>
          <w:sz w:val="20"/>
          <w:szCs w:val="20"/>
          <w:color w:val="auto"/>
        </w:rPr>
      </w:pPr>
      <w:r>
        <w:rPr>
          <w:rFonts w:ascii="Arial" w:cs="Arial" w:eastAsia="Arial" w:hAnsi="Arial"/>
          <w:sz w:val="16"/>
          <w:szCs w:val="16"/>
          <w:color w:val="auto"/>
        </w:rPr>
        <w:t>During the individual performance assessments, the Committee asks questions, renders advice, and makes recommendations on matters that include individual development needs, succession planning, and retention. Senior officers are not present during the discussion of their performance by the Committee. The Committee uses each executive’s individual performance assessment, the compensation analysis discussed in the previous section, and the recommendations of the CEO, to determine compensation for the senior officers.</w:t>
      </w:r>
    </w:p>
    <w:p>
      <w:pPr>
        <w:spacing w:after="0" w:line="52" w:lineRule="exact"/>
        <w:rPr>
          <w:sz w:val="20"/>
          <w:szCs w:val="20"/>
          <w:color w:val="auto"/>
        </w:rPr>
      </w:pPr>
    </w:p>
    <w:p>
      <w:pPr>
        <w:ind w:left="320" w:right="220"/>
        <w:spacing w:after="0" w:line="265" w:lineRule="auto"/>
        <w:rPr>
          <w:sz w:val="20"/>
          <w:szCs w:val="20"/>
          <w:color w:val="auto"/>
        </w:rPr>
      </w:pPr>
      <w:r>
        <w:rPr>
          <w:rFonts w:ascii="Arial" w:cs="Arial" w:eastAsia="Arial" w:hAnsi="Arial"/>
          <w:sz w:val="16"/>
          <w:szCs w:val="16"/>
          <w:color w:val="auto"/>
        </w:rPr>
        <w:t>In the fourth quarter of the year the CEO presented his performance self-evaluation which included a review of performance of the organization against strategy and business plans.</w:t>
      </w:r>
    </w:p>
    <w:p>
      <w:pPr>
        <w:spacing w:after="0" w:line="23" w:lineRule="exact"/>
        <w:rPr>
          <w:sz w:val="20"/>
          <w:szCs w:val="20"/>
          <w:color w:val="auto"/>
        </w:rPr>
      </w:pPr>
    </w:p>
    <w:p>
      <w:pPr>
        <w:ind w:left="320" w:right="140"/>
        <w:spacing w:after="0" w:line="251" w:lineRule="auto"/>
        <w:rPr>
          <w:sz w:val="20"/>
          <w:szCs w:val="20"/>
          <w:color w:val="auto"/>
        </w:rPr>
      </w:pPr>
      <w:r>
        <w:rPr>
          <w:rFonts w:ascii="Arial" w:cs="Arial" w:eastAsia="Arial" w:hAnsi="Arial"/>
          <w:sz w:val="16"/>
          <w:szCs w:val="16"/>
          <w:color w:val="auto"/>
        </w:rPr>
        <w:t>Periodic sessions are held to discuss talent and development for multiple levels of the organization, increasing transparency and understanding of talent across leadership teams and business units. Development plans are crafted to prepare emerging talent for future opportunities, including stretch assignments, formal training, experiential learning opportunities and formal coaching.</w:t>
      </w:r>
    </w:p>
    <w:p>
      <w:pPr>
        <w:spacing w:after="0" w:line="34" w:lineRule="exact"/>
        <w:rPr>
          <w:sz w:val="20"/>
          <w:szCs w:val="20"/>
          <w:color w:val="auto"/>
        </w:rPr>
      </w:pPr>
    </w:p>
    <w:p>
      <w:pPr>
        <w:ind w:left="320" w:right="20"/>
        <w:spacing w:after="0" w:line="246" w:lineRule="auto"/>
        <w:rPr>
          <w:sz w:val="20"/>
          <w:szCs w:val="20"/>
          <w:color w:val="auto"/>
        </w:rPr>
      </w:pPr>
      <w:r>
        <w:rPr>
          <w:rFonts w:ascii="Arial" w:cs="Arial" w:eastAsia="Arial" w:hAnsi="Arial"/>
          <w:sz w:val="16"/>
          <w:szCs w:val="16"/>
          <w:color w:val="auto"/>
        </w:rPr>
        <w:t>The Board approves the Company’s executive succession plan annually, including updates, and in connection with the performance assessments. The plan includes all executives at the senior officer level, as well as their potential successors from within the Company in the event of an emergency or departure of a senior officer. Documentation includes detailed executive performance review information as discussed above, readiness assessments and a review of the health and diversity of succession pipelines.</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Compensation Programs: Decisions and Actions in 2023</w:t>
      </w:r>
    </w:p>
    <w:p>
      <w:pPr>
        <w:spacing w:after="0" w:line="85" w:lineRule="exact"/>
        <w:rPr>
          <w:sz w:val="20"/>
          <w:szCs w:val="20"/>
          <w:color w:val="auto"/>
        </w:rPr>
      </w:pPr>
    </w:p>
    <w:p>
      <w:pPr>
        <w:ind w:left="320" w:right="480"/>
        <w:spacing w:after="0" w:line="265" w:lineRule="auto"/>
        <w:rPr>
          <w:sz w:val="20"/>
          <w:szCs w:val="20"/>
          <w:color w:val="auto"/>
        </w:rPr>
      </w:pPr>
      <w:r>
        <w:rPr>
          <w:rFonts w:ascii="Arial" w:cs="Arial" w:eastAsia="Arial" w:hAnsi="Arial"/>
          <w:sz w:val="16"/>
          <w:szCs w:val="16"/>
          <w:color w:val="auto"/>
        </w:rPr>
        <w:t>The Committee believes the actions detailed below supported the strategic direction of the Company and helped position it for long-term success in achieving its goals.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Base Salary</w:t>
      </w:r>
    </w:p>
    <w:p>
      <w:pPr>
        <w:spacing w:after="0" w:line="63" w:lineRule="exact"/>
        <w:rPr>
          <w:sz w:val="20"/>
          <w:szCs w:val="20"/>
          <w:color w:val="auto"/>
        </w:rPr>
      </w:pPr>
    </w:p>
    <w:p>
      <w:pPr>
        <w:ind w:left="320"/>
        <w:spacing w:after="0" w:line="243" w:lineRule="auto"/>
        <w:rPr>
          <w:sz w:val="20"/>
          <w:szCs w:val="20"/>
          <w:color w:val="auto"/>
        </w:rPr>
      </w:pPr>
      <w:r>
        <w:rPr>
          <w:rFonts w:ascii="Arial" w:cs="Arial" w:eastAsia="Arial" w:hAnsi="Arial"/>
          <w:sz w:val="16"/>
          <w:szCs w:val="16"/>
          <w:color w:val="auto"/>
        </w:rPr>
        <w:t>Base salaries for senior officers, including the named executive officers are within a competitive range of the Market Data to ensure that the Company can attract and retain the executives necessary to successfully lead and manage the organization. Base salaries generally fall within a range (+/- 15%) around the median of salaries in the Market Data, as individual base salaries will vary based upon the factors described below. Based on Market Data available at the time of the review in November 2023, we determined that the base salaries of our named executive officers were, on average, within this competitive range of the market medians for comparable roles. Base salary is only one component of target total direct compensation and may be affected by other components to ensure that target total direct compensation meets compensation objectives.</w:t>
      </w:r>
    </w:p>
    <w:p>
      <w:pPr>
        <w:spacing w:after="0" w:line="40" w:lineRule="exact"/>
        <w:rPr>
          <w:sz w:val="20"/>
          <w:szCs w:val="20"/>
          <w:color w:val="auto"/>
        </w:rPr>
      </w:pPr>
    </w:p>
    <w:p>
      <w:pPr>
        <w:jc w:val="both"/>
        <w:ind w:left="320" w:right="60"/>
        <w:spacing w:after="0" w:line="246" w:lineRule="auto"/>
        <w:rPr>
          <w:sz w:val="20"/>
          <w:szCs w:val="20"/>
          <w:color w:val="auto"/>
        </w:rPr>
      </w:pPr>
      <w:r>
        <w:rPr>
          <w:rFonts w:ascii="Arial" w:cs="Arial" w:eastAsia="Arial" w:hAnsi="Arial"/>
          <w:sz w:val="16"/>
          <w:szCs w:val="16"/>
          <w:color w:val="auto"/>
        </w:rPr>
        <w:t>The Committee reviews the base salaries of senior officers, including the named executive officers, on an annual basis (or as a senior officer’s duties and responsibilities change). Base salaries are determined by the Committee for each of the senior officers based on various factors, including the scope and responsibilities of the role, an individual’s experience and performance in the role, their current level of pay compared to Market Data, internal pay equity, the recommendations of the CEO, and consideration of the Company’s salary adjustment budget.</w:t>
      </w:r>
    </w:p>
    <w:p>
      <w:pPr>
        <w:spacing w:after="0" w:line="52" w:lineRule="exact"/>
        <w:rPr>
          <w:sz w:val="20"/>
          <w:szCs w:val="20"/>
          <w:color w:val="auto"/>
        </w:rPr>
      </w:pPr>
    </w:p>
    <w:p>
      <w:pPr>
        <w:ind w:left="320" w:right="80"/>
        <w:spacing w:after="0" w:line="246" w:lineRule="auto"/>
        <w:rPr>
          <w:sz w:val="20"/>
          <w:szCs w:val="20"/>
          <w:color w:val="auto"/>
        </w:rPr>
      </w:pPr>
      <w:r>
        <w:rPr>
          <w:rFonts w:ascii="Arial" w:cs="Arial" w:eastAsia="Arial" w:hAnsi="Arial"/>
          <w:sz w:val="16"/>
          <w:szCs w:val="16"/>
          <w:color w:val="auto"/>
        </w:rPr>
        <w:t>The Company’s annual total compensation review and target pay adjustment process for all employees, including the senior officers, typically occurs during the first quarter to coincide with the timing of any potential incentive award payouts. The timing alignment of compensation elements is intended to reinforce the Company’s pay-for-performance philosophy and provide each employee with their “total compensation” overview. In November 2022, the Committee conducted its annual market review of base salaries of the senior officers, including named executive officers.</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performed a targeted compensation review which resulted with one named executive officer receiving a base salary increase for 2023.</w:t>
      </w:r>
    </w:p>
    <w:p>
      <w:pPr>
        <w:spacing w:after="0" w:line="78"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54 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846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consideration of the factors noted above, the following base salaries for the named executive officers were approved by the Committee in 2023:</w:t>
      </w: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720" w:type="dxa"/>
            <w:vAlign w:val="bottom"/>
          </w:tcPr>
          <w:p>
            <w:pPr>
              <w:jc w:val="center"/>
              <w:ind w:left="2604"/>
              <w:spacing w:after="0"/>
              <w:rPr>
                <w:sz w:val="20"/>
                <w:szCs w:val="20"/>
                <w:color w:val="auto"/>
              </w:rPr>
            </w:pPr>
            <w:r>
              <w:rPr>
                <w:rFonts w:ascii="Arial" w:cs="Arial" w:eastAsia="Arial" w:hAnsi="Arial"/>
                <w:sz w:val="14"/>
                <w:szCs w:val="14"/>
                <w:b w:val="1"/>
                <w:bCs w:val="1"/>
                <w:color w:val="0A9E50"/>
                <w:w w:val="99"/>
              </w:rPr>
              <w:t>2022 Base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A9E50"/>
                <w:w w:val="99"/>
              </w:rPr>
              <w:t>2023 Base</w:t>
            </w:r>
          </w:p>
        </w:tc>
        <w:tc>
          <w:tcPr>
            <w:tcW w:w="1320" w:type="dxa"/>
            <w:vAlign w:val="bottom"/>
          </w:tcPr>
          <w:p>
            <w:pPr>
              <w:spacing w:after="0"/>
              <w:rPr>
                <w:sz w:val="14"/>
                <w:szCs w:val="14"/>
                <w:color w:val="auto"/>
              </w:rPr>
            </w:pPr>
          </w:p>
        </w:tc>
      </w:tr>
      <w:tr>
        <w:trPr>
          <w:trHeight w:val="192"/>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Named Executive Officer</w:t>
            </w:r>
          </w:p>
        </w:tc>
        <w:tc>
          <w:tcPr>
            <w:tcW w:w="3720" w:type="dxa"/>
            <w:vAlign w:val="bottom"/>
            <w:tcBorders>
              <w:bottom w:val="single" w:sz="8" w:color="auto"/>
            </w:tcBorders>
          </w:tcPr>
          <w:p>
            <w:pPr>
              <w:jc w:val="center"/>
              <w:ind w:left="2624"/>
              <w:spacing w:after="0"/>
              <w:rPr>
                <w:sz w:val="20"/>
                <w:szCs w:val="20"/>
                <w:color w:val="auto"/>
              </w:rPr>
            </w:pPr>
            <w:r>
              <w:rPr>
                <w:rFonts w:ascii="Arial" w:cs="Arial" w:eastAsia="Arial" w:hAnsi="Arial"/>
                <w:sz w:val="14"/>
                <w:szCs w:val="14"/>
                <w:b w:val="1"/>
                <w:bCs w:val="1"/>
                <w:color w:val="0A9E50"/>
                <w:w w:val="99"/>
              </w:rPr>
              <w:t>Salary</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w w:val="99"/>
              </w:rPr>
              <w:t>Salary</w:t>
            </w:r>
          </w:p>
        </w:tc>
        <w:tc>
          <w:tcPr>
            <w:tcW w:w="13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0A9E50"/>
              </w:rPr>
              <w:t>Adjustment %</w:t>
            </w:r>
          </w:p>
        </w:tc>
      </w:tr>
      <w:tr>
        <w:trPr>
          <w:trHeight w:val="220"/>
        </w:trPr>
        <w:tc>
          <w:tcPr>
            <w:tcW w:w="4540" w:type="dxa"/>
            <w:vAlign w:val="bottom"/>
          </w:tcPr>
          <w:p>
            <w:pPr>
              <w:spacing w:after="0"/>
              <w:rPr>
                <w:sz w:val="20"/>
                <w:szCs w:val="20"/>
                <w:color w:val="auto"/>
              </w:rPr>
            </w:pPr>
            <w:r>
              <w:rPr>
                <w:rFonts w:ascii="Arial" w:cs="Arial" w:eastAsia="Arial" w:hAnsi="Arial"/>
                <w:sz w:val="16"/>
                <w:szCs w:val="16"/>
                <w:b w:val="1"/>
                <w:bCs w:val="1"/>
                <w:color w:val="auto"/>
              </w:rPr>
              <w:t>  Peter W. Quigley</w:t>
            </w:r>
          </w:p>
        </w:tc>
        <w:tc>
          <w:tcPr>
            <w:tcW w:w="3720" w:type="dxa"/>
            <w:vAlign w:val="bottom"/>
          </w:tcPr>
          <w:p>
            <w:pPr>
              <w:jc w:val="center"/>
              <w:ind w:left="2604"/>
              <w:spacing w:after="0"/>
              <w:rPr>
                <w:sz w:val="20"/>
                <w:szCs w:val="20"/>
                <w:color w:val="auto"/>
              </w:rPr>
            </w:pPr>
            <w:r>
              <w:rPr>
                <w:rFonts w:ascii="Arial" w:cs="Arial" w:eastAsia="Arial" w:hAnsi="Arial"/>
                <w:sz w:val="16"/>
                <w:szCs w:val="16"/>
                <w:color w:val="auto"/>
                <w:w w:val="95"/>
              </w:rPr>
              <w:t>$ 900,000</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$ 900,000</w:t>
            </w:r>
          </w:p>
        </w:tc>
        <w:tc>
          <w:tcPr>
            <w:tcW w:w="132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0"/>
        </w:trPr>
        <w:tc>
          <w:tcPr>
            <w:tcW w:w="4540" w:type="dxa"/>
            <w:vAlign w:val="bottom"/>
            <w:tcBorders>
              <w:bottom w:val="single" w:sz="8" w:color="7F7F7F"/>
            </w:tcBorders>
          </w:tcPr>
          <w:p>
            <w:pPr>
              <w:spacing w:after="0" w:line="20" w:lineRule="exact"/>
              <w:rPr>
                <w:sz w:val="1"/>
                <w:szCs w:val="1"/>
                <w:color w:val="auto"/>
              </w:rPr>
            </w:pPr>
          </w:p>
        </w:tc>
        <w:tc>
          <w:tcPr>
            <w:tcW w:w="3720" w:type="dxa"/>
            <w:vAlign w:val="bottom"/>
            <w:tcBorders>
              <w:bottom w:val="single" w:sz="8" w:color="7F7F7F"/>
            </w:tcBorders>
          </w:tcPr>
          <w:p>
            <w:pPr>
              <w:spacing w:after="0" w:line="20" w:lineRule="exact"/>
              <w:rPr>
                <w:sz w:val="1"/>
                <w:szCs w:val="1"/>
                <w:color w:val="auto"/>
              </w:rPr>
            </w:pPr>
          </w:p>
        </w:tc>
        <w:tc>
          <w:tcPr>
            <w:tcW w:w="1040" w:type="dxa"/>
            <w:vAlign w:val="bottom"/>
            <w:tcBorders>
              <w:bottom w:val="single" w:sz="8" w:color="7F7F7F"/>
            </w:tcBorders>
          </w:tcPr>
          <w:p>
            <w:pPr>
              <w:spacing w:after="0" w:line="20" w:lineRule="exact"/>
              <w:rPr>
                <w:sz w:val="1"/>
                <w:szCs w:val="1"/>
                <w:color w:val="auto"/>
              </w:rPr>
            </w:pPr>
          </w:p>
        </w:tc>
        <w:tc>
          <w:tcPr>
            <w:tcW w:w="1320" w:type="dxa"/>
            <w:vAlign w:val="bottom"/>
            <w:tcBorders>
              <w:bottom w:val="single" w:sz="8" w:color="7F7F7F"/>
            </w:tcBorders>
          </w:tcPr>
          <w:p>
            <w:pPr>
              <w:spacing w:after="0" w:line="20" w:lineRule="exact"/>
              <w:rPr>
                <w:sz w:val="1"/>
                <w:szCs w:val="1"/>
                <w:color w:val="auto"/>
              </w:rPr>
            </w:pPr>
          </w:p>
        </w:tc>
      </w:tr>
      <w:tr>
        <w:trPr>
          <w:trHeight w:val="220"/>
        </w:trPr>
        <w:tc>
          <w:tcPr>
            <w:tcW w:w="4540" w:type="dxa"/>
            <w:vAlign w:val="bottom"/>
          </w:tcPr>
          <w:p>
            <w:pPr>
              <w:spacing w:after="0"/>
              <w:rPr>
                <w:sz w:val="20"/>
                <w:szCs w:val="20"/>
                <w:color w:val="auto"/>
              </w:rPr>
            </w:pPr>
            <w:r>
              <w:rPr>
                <w:rFonts w:ascii="Arial" w:cs="Arial" w:eastAsia="Arial" w:hAnsi="Arial"/>
                <w:sz w:val="16"/>
                <w:szCs w:val="16"/>
                <w:b w:val="1"/>
                <w:bCs w:val="1"/>
                <w:color w:val="auto"/>
              </w:rPr>
              <w:t>  Olivier G. Thirot</w:t>
            </w:r>
          </w:p>
        </w:tc>
        <w:tc>
          <w:tcPr>
            <w:tcW w:w="3720" w:type="dxa"/>
            <w:vAlign w:val="bottom"/>
          </w:tcPr>
          <w:p>
            <w:pPr>
              <w:jc w:val="center"/>
              <w:ind w:left="2604"/>
              <w:spacing w:after="0"/>
              <w:rPr>
                <w:sz w:val="20"/>
                <w:szCs w:val="20"/>
                <w:color w:val="auto"/>
              </w:rPr>
            </w:pPr>
            <w:r>
              <w:rPr>
                <w:rFonts w:ascii="Arial" w:cs="Arial" w:eastAsia="Arial" w:hAnsi="Arial"/>
                <w:sz w:val="16"/>
                <w:szCs w:val="16"/>
                <w:color w:val="auto"/>
                <w:w w:val="95"/>
              </w:rPr>
              <w:t>$ 667,200</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$ 667,200</w:t>
            </w:r>
          </w:p>
        </w:tc>
        <w:tc>
          <w:tcPr>
            <w:tcW w:w="132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0"/>
        </w:trPr>
        <w:tc>
          <w:tcPr>
            <w:tcW w:w="4540" w:type="dxa"/>
            <w:vAlign w:val="bottom"/>
            <w:tcBorders>
              <w:bottom w:val="single" w:sz="8" w:color="7F7F7F"/>
            </w:tcBorders>
          </w:tcPr>
          <w:p>
            <w:pPr>
              <w:spacing w:after="0" w:line="20" w:lineRule="exact"/>
              <w:rPr>
                <w:sz w:val="1"/>
                <w:szCs w:val="1"/>
                <w:color w:val="auto"/>
              </w:rPr>
            </w:pPr>
          </w:p>
        </w:tc>
        <w:tc>
          <w:tcPr>
            <w:tcW w:w="3720" w:type="dxa"/>
            <w:vAlign w:val="bottom"/>
            <w:tcBorders>
              <w:bottom w:val="single" w:sz="8" w:color="7F7F7F"/>
            </w:tcBorders>
          </w:tcPr>
          <w:p>
            <w:pPr>
              <w:spacing w:after="0" w:line="20" w:lineRule="exact"/>
              <w:rPr>
                <w:sz w:val="1"/>
                <w:szCs w:val="1"/>
                <w:color w:val="auto"/>
              </w:rPr>
            </w:pPr>
          </w:p>
        </w:tc>
        <w:tc>
          <w:tcPr>
            <w:tcW w:w="1040" w:type="dxa"/>
            <w:vAlign w:val="bottom"/>
            <w:tcBorders>
              <w:bottom w:val="single" w:sz="8" w:color="7F7F7F"/>
            </w:tcBorders>
          </w:tcPr>
          <w:p>
            <w:pPr>
              <w:spacing w:after="0" w:line="20" w:lineRule="exact"/>
              <w:rPr>
                <w:sz w:val="1"/>
                <w:szCs w:val="1"/>
                <w:color w:val="auto"/>
              </w:rPr>
            </w:pPr>
          </w:p>
        </w:tc>
        <w:tc>
          <w:tcPr>
            <w:tcW w:w="1320" w:type="dxa"/>
            <w:vAlign w:val="bottom"/>
            <w:tcBorders>
              <w:bottom w:val="single" w:sz="8" w:color="7F7F7F"/>
            </w:tcBorders>
          </w:tcPr>
          <w:p>
            <w:pPr>
              <w:spacing w:after="0" w:line="20" w:lineRule="exact"/>
              <w:rPr>
                <w:sz w:val="1"/>
                <w:szCs w:val="1"/>
                <w:color w:val="auto"/>
              </w:rPr>
            </w:pPr>
          </w:p>
        </w:tc>
      </w:tr>
      <w:tr>
        <w:trPr>
          <w:trHeight w:val="220"/>
        </w:trPr>
        <w:tc>
          <w:tcPr>
            <w:tcW w:w="4540" w:type="dxa"/>
            <w:vAlign w:val="bottom"/>
          </w:tcPr>
          <w:p>
            <w:pPr>
              <w:spacing w:after="0"/>
              <w:rPr>
                <w:sz w:val="20"/>
                <w:szCs w:val="20"/>
                <w:color w:val="auto"/>
              </w:rPr>
            </w:pPr>
            <w:r>
              <w:rPr>
                <w:rFonts w:ascii="Arial" w:cs="Arial" w:eastAsia="Arial" w:hAnsi="Arial"/>
                <w:sz w:val="16"/>
                <w:szCs w:val="16"/>
                <w:b w:val="1"/>
                <w:bCs w:val="1"/>
                <w:color w:val="auto"/>
              </w:rPr>
              <w:t>  Daniel H. Malan</w:t>
            </w:r>
          </w:p>
        </w:tc>
        <w:tc>
          <w:tcPr>
            <w:tcW w:w="3720" w:type="dxa"/>
            <w:vAlign w:val="bottom"/>
          </w:tcPr>
          <w:p>
            <w:pPr>
              <w:jc w:val="center"/>
              <w:ind w:left="2604"/>
              <w:spacing w:after="0"/>
              <w:rPr>
                <w:sz w:val="20"/>
                <w:szCs w:val="20"/>
                <w:color w:val="auto"/>
              </w:rPr>
            </w:pPr>
            <w:r>
              <w:rPr>
                <w:rFonts w:ascii="Arial" w:cs="Arial" w:eastAsia="Arial" w:hAnsi="Arial"/>
                <w:sz w:val="16"/>
                <w:szCs w:val="16"/>
                <w:color w:val="auto"/>
                <w:w w:val="95"/>
              </w:rPr>
              <w:t>$ 443,000</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$ 443,000</w:t>
            </w:r>
          </w:p>
        </w:tc>
        <w:tc>
          <w:tcPr>
            <w:tcW w:w="132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0"/>
        </w:trPr>
        <w:tc>
          <w:tcPr>
            <w:tcW w:w="4540" w:type="dxa"/>
            <w:vAlign w:val="bottom"/>
            <w:tcBorders>
              <w:bottom w:val="single" w:sz="8" w:color="7F7F7F"/>
            </w:tcBorders>
          </w:tcPr>
          <w:p>
            <w:pPr>
              <w:spacing w:after="0" w:line="20" w:lineRule="exact"/>
              <w:rPr>
                <w:sz w:val="1"/>
                <w:szCs w:val="1"/>
                <w:color w:val="auto"/>
              </w:rPr>
            </w:pPr>
          </w:p>
        </w:tc>
        <w:tc>
          <w:tcPr>
            <w:tcW w:w="3720" w:type="dxa"/>
            <w:vAlign w:val="bottom"/>
            <w:tcBorders>
              <w:bottom w:val="single" w:sz="8" w:color="7F7F7F"/>
            </w:tcBorders>
          </w:tcPr>
          <w:p>
            <w:pPr>
              <w:spacing w:after="0" w:line="20" w:lineRule="exact"/>
              <w:rPr>
                <w:sz w:val="1"/>
                <w:szCs w:val="1"/>
                <w:color w:val="auto"/>
              </w:rPr>
            </w:pPr>
          </w:p>
        </w:tc>
        <w:tc>
          <w:tcPr>
            <w:tcW w:w="1040" w:type="dxa"/>
            <w:vAlign w:val="bottom"/>
            <w:tcBorders>
              <w:bottom w:val="single" w:sz="8" w:color="7F7F7F"/>
            </w:tcBorders>
          </w:tcPr>
          <w:p>
            <w:pPr>
              <w:spacing w:after="0" w:line="20" w:lineRule="exact"/>
              <w:rPr>
                <w:sz w:val="1"/>
                <w:szCs w:val="1"/>
                <w:color w:val="auto"/>
              </w:rPr>
            </w:pPr>
          </w:p>
        </w:tc>
        <w:tc>
          <w:tcPr>
            <w:tcW w:w="1320" w:type="dxa"/>
            <w:vAlign w:val="bottom"/>
            <w:tcBorders>
              <w:bottom w:val="single" w:sz="8" w:color="7F7F7F"/>
            </w:tcBorders>
          </w:tcPr>
          <w:p>
            <w:pPr>
              <w:spacing w:after="0" w:line="20" w:lineRule="exact"/>
              <w:rPr>
                <w:sz w:val="1"/>
                <w:szCs w:val="1"/>
                <w:color w:val="auto"/>
              </w:rPr>
            </w:pPr>
          </w:p>
        </w:tc>
      </w:tr>
      <w:tr>
        <w:trPr>
          <w:trHeight w:val="220"/>
        </w:trPr>
        <w:tc>
          <w:tcPr>
            <w:tcW w:w="4540" w:type="dxa"/>
            <w:vAlign w:val="bottom"/>
          </w:tcPr>
          <w:p>
            <w:pPr>
              <w:spacing w:after="0"/>
              <w:rPr>
                <w:sz w:val="20"/>
                <w:szCs w:val="20"/>
                <w:color w:val="auto"/>
              </w:rPr>
            </w:pPr>
            <w:r>
              <w:rPr>
                <w:rFonts w:ascii="Arial" w:cs="Arial" w:eastAsia="Arial" w:hAnsi="Arial"/>
                <w:sz w:val="16"/>
                <w:szCs w:val="16"/>
                <w:b w:val="1"/>
                <w:bCs w:val="1"/>
                <w:color w:val="auto"/>
              </w:rPr>
              <w:t>  Vanessa P. Williams</w:t>
            </w:r>
          </w:p>
        </w:tc>
        <w:tc>
          <w:tcPr>
            <w:tcW w:w="3720" w:type="dxa"/>
            <w:vAlign w:val="bottom"/>
          </w:tcPr>
          <w:p>
            <w:pPr>
              <w:jc w:val="center"/>
              <w:ind w:left="2604"/>
              <w:spacing w:after="0"/>
              <w:rPr>
                <w:sz w:val="20"/>
                <w:szCs w:val="20"/>
                <w:color w:val="auto"/>
              </w:rPr>
            </w:pPr>
            <w:r>
              <w:rPr>
                <w:rFonts w:ascii="Arial" w:cs="Arial" w:eastAsia="Arial" w:hAnsi="Arial"/>
                <w:sz w:val="16"/>
                <w:szCs w:val="16"/>
                <w:color w:val="auto"/>
                <w:w w:val="95"/>
              </w:rPr>
              <w:t>$ 414,000</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$ 475,000</w:t>
            </w:r>
          </w:p>
        </w:tc>
        <w:tc>
          <w:tcPr>
            <w:tcW w:w="132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0"/>
        </w:trPr>
        <w:tc>
          <w:tcPr>
            <w:tcW w:w="4540" w:type="dxa"/>
            <w:vAlign w:val="bottom"/>
            <w:tcBorders>
              <w:bottom w:val="single" w:sz="8" w:color="7F7F7F"/>
            </w:tcBorders>
          </w:tcPr>
          <w:p>
            <w:pPr>
              <w:spacing w:after="0" w:line="20" w:lineRule="exact"/>
              <w:rPr>
                <w:sz w:val="1"/>
                <w:szCs w:val="1"/>
                <w:color w:val="auto"/>
              </w:rPr>
            </w:pPr>
          </w:p>
        </w:tc>
        <w:tc>
          <w:tcPr>
            <w:tcW w:w="3720" w:type="dxa"/>
            <w:vAlign w:val="bottom"/>
            <w:tcBorders>
              <w:bottom w:val="single" w:sz="8" w:color="7F7F7F"/>
            </w:tcBorders>
          </w:tcPr>
          <w:p>
            <w:pPr>
              <w:spacing w:after="0" w:line="20" w:lineRule="exact"/>
              <w:rPr>
                <w:sz w:val="1"/>
                <w:szCs w:val="1"/>
                <w:color w:val="auto"/>
              </w:rPr>
            </w:pPr>
          </w:p>
        </w:tc>
        <w:tc>
          <w:tcPr>
            <w:tcW w:w="1040" w:type="dxa"/>
            <w:vAlign w:val="bottom"/>
            <w:tcBorders>
              <w:bottom w:val="single" w:sz="8" w:color="7F7F7F"/>
            </w:tcBorders>
          </w:tcPr>
          <w:p>
            <w:pPr>
              <w:spacing w:after="0" w:line="20" w:lineRule="exact"/>
              <w:rPr>
                <w:sz w:val="1"/>
                <w:szCs w:val="1"/>
                <w:color w:val="auto"/>
              </w:rPr>
            </w:pPr>
          </w:p>
        </w:tc>
        <w:tc>
          <w:tcPr>
            <w:tcW w:w="1320" w:type="dxa"/>
            <w:vAlign w:val="bottom"/>
            <w:tcBorders>
              <w:bottom w:val="single" w:sz="8" w:color="7F7F7F"/>
            </w:tcBorders>
          </w:tcPr>
          <w:p>
            <w:pPr>
              <w:spacing w:after="0" w:line="20" w:lineRule="exact"/>
              <w:rPr>
                <w:sz w:val="1"/>
                <w:szCs w:val="1"/>
                <w:color w:val="auto"/>
              </w:rPr>
            </w:pPr>
          </w:p>
        </w:tc>
      </w:tr>
      <w:tr>
        <w:trPr>
          <w:trHeight w:val="220"/>
        </w:trPr>
        <w:tc>
          <w:tcPr>
            <w:tcW w:w="4540" w:type="dxa"/>
            <w:vAlign w:val="bottom"/>
          </w:tcPr>
          <w:p>
            <w:pPr>
              <w:spacing w:after="0"/>
              <w:rPr>
                <w:sz w:val="20"/>
                <w:szCs w:val="20"/>
                <w:color w:val="auto"/>
              </w:rPr>
            </w:pPr>
            <w:r>
              <w:rPr>
                <w:rFonts w:ascii="Arial" w:cs="Arial" w:eastAsia="Arial" w:hAnsi="Arial"/>
                <w:sz w:val="16"/>
                <w:szCs w:val="16"/>
                <w:b w:val="1"/>
                <w:bCs w:val="1"/>
                <w:color w:val="auto"/>
              </w:rPr>
              <w:t>  Dinette Koolhaas</w:t>
            </w:r>
          </w:p>
        </w:tc>
        <w:tc>
          <w:tcPr>
            <w:tcW w:w="3720" w:type="dxa"/>
            <w:vAlign w:val="bottom"/>
          </w:tcPr>
          <w:p>
            <w:pPr>
              <w:jc w:val="center"/>
              <w:ind w:left="2604"/>
              <w:spacing w:after="0"/>
              <w:rPr>
                <w:sz w:val="20"/>
                <w:szCs w:val="20"/>
                <w:color w:val="auto"/>
              </w:rPr>
            </w:pPr>
            <w:r>
              <w:rPr>
                <w:rFonts w:ascii="Arial" w:cs="Arial" w:eastAsia="Arial" w:hAnsi="Arial"/>
                <w:sz w:val="16"/>
                <w:szCs w:val="16"/>
                <w:color w:val="auto"/>
                <w:w w:val="95"/>
              </w:rPr>
              <w:t>$ 557,668</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$ 557,668</w:t>
            </w:r>
          </w:p>
        </w:tc>
        <w:tc>
          <w:tcPr>
            <w:tcW w:w="132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0"/>
        </w:trPr>
        <w:tc>
          <w:tcPr>
            <w:tcW w:w="4540" w:type="dxa"/>
            <w:vAlign w:val="bottom"/>
            <w:tcBorders>
              <w:bottom w:val="single" w:sz="8" w:color="7F7F7F"/>
            </w:tcBorders>
          </w:tcPr>
          <w:p>
            <w:pPr>
              <w:spacing w:after="0" w:line="20" w:lineRule="exact"/>
              <w:rPr>
                <w:sz w:val="1"/>
                <w:szCs w:val="1"/>
                <w:color w:val="auto"/>
              </w:rPr>
            </w:pPr>
          </w:p>
        </w:tc>
        <w:tc>
          <w:tcPr>
            <w:tcW w:w="3720" w:type="dxa"/>
            <w:vAlign w:val="bottom"/>
            <w:tcBorders>
              <w:bottom w:val="single" w:sz="8" w:color="7F7F7F"/>
            </w:tcBorders>
          </w:tcPr>
          <w:p>
            <w:pPr>
              <w:spacing w:after="0" w:line="20" w:lineRule="exact"/>
              <w:rPr>
                <w:sz w:val="1"/>
                <w:szCs w:val="1"/>
                <w:color w:val="auto"/>
              </w:rPr>
            </w:pPr>
          </w:p>
        </w:tc>
        <w:tc>
          <w:tcPr>
            <w:tcW w:w="1040" w:type="dxa"/>
            <w:vAlign w:val="bottom"/>
            <w:tcBorders>
              <w:bottom w:val="single" w:sz="8" w:color="7F7F7F"/>
            </w:tcBorders>
          </w:tcPr>
          <w:p>
            <w:pPr>
              <w:spacing w:after="0" w:line="20" w:lineRule="exact"/>
              <w:rPr>
                <w:sz w:val="1"/>
                <w:szCs w:val="1"/>
                <w:color w:val="auto"/>
              </w:rPr>
            </w:pPr>
          </w:p>
        </w:tc>
        <w:tc>
          <w:tcPr>
            <w:tcW w:w="1320" w:type="dxa"/>
            <w:vAlign w:val="bottom"/>
            <w:tcBorders>
              <w:bottom w:val="single" w:sz="8" w:color="7F7F7F"/>
            </w:tcBorders>
          </w:tcPr>
          <w:p>
            <w:pPr>
              <w:spacing w:after="0" w:line="20" w:lineRule="exact"/>
              <w:rPr>
                <w:sz w:val="1"/>
                <w:szCs w:val="1"/>
                <w:color w:val="auto"/>
              </w:rPr>
            </w:pPr>
          </w:p>
        </w:tc>
      </w:tr>
      <w:tr>
        <w:trPr>
          <w:trHeight w:val="298"/>
        </w:trPr>
        <w:tc>
          <w:tcPr>
            <w:tcW w:w="4540" w:type="dxa"/>
            <w:vAlign w:val="bottom"/>
          </w:tcPr>
          <w:p>
            <w:pPr>
              <w:spacing w:after="0"/>
              <w:rPr>
                <w:sz w:val="20"/>
                <w:szCs w:val="20"/>
                <w:color w:val="auto"/>
              </w:rPr>
            </w:pPr>
            <w:r>
              <w:rPr>
                <w:rFonts w:ascii="Arial" w:cs="Arial" w:eastAsia="Arial" w:hAnsi="Arial"/>
                <w:sz w:val="16"/>
                <w:szCs w:val="16"/>
                <w:b w:val="1"/>
                <w:bCs w:val="1"/>
                <w:color w:val="auto"/>
              </w:rPr>
              <w:t>Notes:</w:t>
            </w:r>
          </w:p>
        </w:tc>
        <w:tc>
          <w:tcPr>
            <w:tcW w:w="3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86" w:lineRule="exact"/>
        <w:rPr>
          <w:sz w:val="20"/>
          <w:szCs w:val="20"/>
          <w:color w:val="auto"/>
        </w:rPr>
      </w:pPr>
    </w:p>
    <w:p>
      <w:pPr>
        <w:ind w:left="840" w:hanging="316"/>
        <w:spacing w:after="0"/>
        <w:tabs>
          <w:tab w:leader="none" w:pos="8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represent base salaries in effect on December 31 of each applicable year;</w:t>
      </w:r>
    </w:p>
    <w:p>
      <w:pPr>
        <w:spacing w:after="0" w:line="76" w:lineRule="exact"/>
        <w:rPr>
          <w:rFonts w:ascii="Arial" w:cs="Arial" w:eastAsia="Arial" w:hAnsi="Arial"/>
          <w:sz w:val="16"/>
          <w:szCs w:val="16"/>
          <w:color w:val="auto"/>
        </w:rPr>
      </w:pPr>
    </w:p>
    <w:p>
      <w:pPr>
        <w:ind w:left="840" w:hanging="316"/>
        <w:spacing w:after="0"/>
        <w:tabs>
          <w:tab w:leader="none" w:pos="8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increase for Ms. Williams was effective January 1, 2023; and</w:t>
      </w:r>
    </w:p>
    <w:p>
      <w:pPr>
        <w:spacing w:after="0" w:line="76" w:lineRule="exact"/>
        <w:rPr>
          <w:rFonts w:ascii="Arial" w:cs="Arial" w:eastAsia="Arial" w:hAnsi="Arial"/>
          <w:sz w:val="16"/>
          <w:szCs w:val="16"/>
          <w:color w:val="auto"/>
        </w:rPr>
      </w:pPr>
    </w:p>
    <w:p>
      <w:pPr>
        <w:ind w:left="840" w:right="220" w:hanging="316"/>
        <w:spacing w:after="0" w:line="337" w:lineRule="auto"/>
        <w:tabs>
          <w:tab w:leader="none" w:pos="8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reported for Mr. Thirot and Ms. Koolhaas are converted from Swiss Francs to U.S. Dollars at an exchange rate of 1 CHF = 1.112 USD. This is calculated using the IRS Yearly Average Currency Exchange Rate for Switzerland for 2023 of 0.899 (1 CHF ÷ 0.899 = $1.112).</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Annual Cash Incentive</w:t>
      </w:r>
    </w:p>
    <w:p>
      <w:pPr>
        <w:spacing w:after="0" w:line="76" w:lineRule="exact"/>
        <w:rPr>
          <w:sz w:val="20"/>
          <w:szCs w:val="20"/>
          <w:color w:val="auto"/>
        </w:rPr>
      </w:pPr>
    </w:p>
    <w:p>
      <w:pPr>
        <w:ind w:left="320" w:right="180"/>
        <w:spacing w:after="0" w:line="246" w:lineRule="auto"/>
        <w:rPr>
          <w:sz w:val="20"/>
          <w:szCs w:val="20"/>
          <w:color w:val="auto"/>
        </w:rPr>
      </w:pPr>
      <w:r>
        <w:rPr>
          <w:rFonts w:ascii="Arial" w:cs="Arial" w:eastAsia="Arial" w:hAnsi="Arial"/>
          <w:sz w:val="16"/>
          <w:szCs w:val="16"/>
          <w:color w:val="auto"/>
        </w:rPr>
        <w:t>The Committee believes that the named executive officers should have a meaningful percentage of their total compensation earned through annual “at risk” performance-based incentives. The percentage of target total compensation at risk under the terms of the STIP increases significantly as the individual executive’s responsibilities and influence on overall corporate performance results increase. The STIP design encourages executives to meet and exceed the Company’s short-term goals that align with overall corporate strategy and improve shareholder value.</w:t>
      </w:r>
    </w:p>
    <w:p>
      <w:pPr>
        <w:spacing w:after="0" w:line="39" w:lineRule="exact"/>
        <w:rPr>
          <w:sz w:val="20"/>
          <w:szCs w:val="20"/>
          <w:color w:val="auto"/>
        </w:rPr>
      </w:pPr>
    </w:p>
    <w:p>
      <w:pPr>
        <w:ind w:left="320" w:right="60"/>
        <w:spacing w:after="0" w:line="246" w:lineRule="auto"/>
        <w:rPr>
          <w:sz w:val="20"/>
          <w:szCs w:val="20"/>
          <w:color w:val="auto"/>
        </w:rPr>
      </w:pPr>
      <w:r>
        <w:rPr>
          <w:rFonts w:ascii="Arial" w:cs="Arial" w:eastAsia="Arial" w:hAnsi="Arial"/>
          <w:sz w:val="16"/>
          <w:szCs w:val="16"/>
          <w:color w:val="auto"/>
        </w:rPr>
        <w:t>The STIP target opportunity is established as a percentage of each individual’s actual base salary earnings and is targeted near the median Market Data, but may vary based upon individual factors, internal equity, and other considerations. STIP payments can range from 0% to the maximum of 200% of target based on results relative to the goals set at the start of the year. In November 2022, the Committee reviewed the target incentive opportunity for each of the named executive officers and made one change to better align to the Market Data.</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shows the 2022 and 2023 STIP target opportunities, as a percent of base salary, for our named executive officers:</w:t>
      </w: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460" w:type="dxa"/>
            <w:vAlign w:val="bottom"/>
          </w:tcPr>
          <w:p>
            <w:pPr>
              <w:jc w:val="right"/>
              <w:ind w:right="284"/>
              <w:spacing w:after="0"/>
              <w:rPr>
                <w:sz w:val="20"/>
                <w:szCs w:val="20"/>
                <w:color w:val="auto"/>
              </w:rPr>
            </w:pPr>
            <w:r>
              <w:rPr>
                <w:rFonts w:ascii="Arial" w:cs="Arial" w:eastAsia="Arial" w:hAnsi="Arial"/>
                <w:sz w:val="14"/>
                <w:szCs w:val="14"/>
                <w:b w:val="1"/>
                <w:bCs w:val="1"/>
                <w:color w:val="0A9E50"/>
              </w:rPr>
              <w:t>2022 STIP</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0A9E50"/>
              </w:rPr>
              <w:t>2023 STIP</w:t>
            </w:r>
          </w:p>
        </w:tc>
      </w:tr>
      <w:tr>
        <w:trPr>
          <w:trHeight w:val="192"/>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Named Executive Officer</w:t>
            </w:r>
          </w:p>
        </w:tc>
        <w:tc>
          <w:tcPr>
            <w:tcW w:w="44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0A9E50"/>
              </w:rPr>
              <w:t>Target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A9E50"/>
              </w:rPr>
              <w:t>Target %</w:t>
            </w:r>
          </w:p>
        </w:tc>
      </w:tr>
      <w:tr>
        <w:trPr>
          <w:trHeight w:val="208"/>
        </w:trPr>
        <w:tc>
          <w:tcPr>
            <w:tcW w:w="5160" w:type="dxa"/>
            <w:vAlign w:val="bottom"/>
          </w:tcPr>
          <w:p>
            <w:pPr>
              <w:spacing w:after="0"/>
              <w:rPr>
                <w:sz w:val="20"/>
                <w:szCs w:val="20"/>
                <w:color w:val="auto"/>
              </w:rPr>
            </w:pPr>
            <w:r>
              <w:rPr>
                <w:rFonts w:ascii="Arial" w:cs="Arial" w:eastAsia="Arial" w:hAnsi="Arial"/>
                <w:sz w:val="16"/>
                <w:szCs w:val="16"/>
                <w:b w:val="1"/>
                <w:bCs w:val="1"/>
                <w:color w:val="auto"/>
              </w:rPr>
              <w:t>  Peter W. Quigley</w:t>
            </w:r>
          </w:p>
        </w:tc>
        <w:tc>
          <w:tcPr>
            <w:tcW w:w="4460" w:type="dxa"/>
            <w:vAlign w:val="bottom"/>
          </w:tcPr>
          <w:p>
            <w:pPr>
              <w:jc w:val="right"/>
              <w:ind w:right="284"/>
              <w:spacing w:after="0"/>
              <w:rPr>
                <w:sz w:val="20"/>
                <w:szCs w:val="20"/>
                <w:color w:val="auto"/>
              </w:rPr>
            </w:pPr>
            <w:r>
              <w:rPr>
                <w:rFonts w:ascii="Arial" w:cs="Arial" w:eastAsia="Arial" w:hAnsi="Arial"/>
                <w:sz w:val="16"/>
                <w:szCs w:val="16"/>
                <w:color w:val="auto"/>
              </w:rPr>
              <w:t>110%</w:t>
            </w:r>
          </w:p>
        </w:tc>
        <w:tc>
          <w:tcPr>
            <w:tcW w:w="100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45"/>
        </w:trPr>
        <w:tc>
          <w:tcPr>
            <w:tcW w:w="5160" w:type="dxa"/>
            <w:vAlign w:val="bottom"/>
            <w:tcBorders>
              <w:bottom w:val="single" w:sz="8" w:color="7F7F7F"/>
            </w:tcBorders>
          </w:tcPr>
          <w:p>
            <w:pPr>
              <w:spacing w:after="0"/>
              <w:rPr>
                <w:sz w:val="3"/>
                <w:szCs w:val="3"/>
                <w:color w:val="auto"/>
              </w:rPr>
            </w:pPr>
          </w:p>
        </w:tc>
        <w:tc>
          <w:tcPr>
            <w:tcW w:w="446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6"/>
                <w:szCs w:val="16"/>
                <w:b w:val="1"/>
                <w:bCs w:val="1"/>
                <w:color w:val="auto"/>
              </w:rPr>
              <w:t>  Olivier G. Thirot</w:t>
            </w:r>
          </w:p>
        </w:tc>
        <w:tc>
          <w:tcPr>
            <w:tcW w:w="4460" w:type="dxa"/>
            <w:vAlign w:val="bottom"/>
          </w:tcPr>
          <w:p>
            <w:pPr>
              <w:jc w:val="right"/>
              <w:ind w:right="284"/>
              <w:spacing w:after="0"/>
              <w:rPr>
                <w:sz w:val="20"/>
                <w:szCs w:val="20"/>
                <w:color w:val="auto"/>
              </w:rPr>
            </w:pPr>
            <w:r>
              <w:rPr>
                <w:rFonts w:ascii="Arial" w:cs="Arial" w:eastAsia="Arial" w:hAnsi="Arial"/>
                <w:sz w:val="16"/>
                <w:szCs w:val="16"/>
                <w:color w:val="auto"/>
              </w:rPr>
              <w:t>85%</w:t>
            </w:r>
          </w:p>
        </w:tc>
        <w:tc>
          <w:tcPr>
            <w:tcW w:w="100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45"/>
        </w:trPr>
        <w:tc>
          <w:tcPr>
            <w:tcW w:w="5160" w:type="dxa"/>
            <w:vAlign w:val="bottom"/>
            <w:tcBorders>
              <w:bottom w:val="single" w:sz="8" w:color="7F7F7F"/>
            </w:tcBorders>
          </w:tcPr>
          <w:p>
            <w:pPr>
              <w:spacing w:after="0"/>
              <w:rPr>
                <w:sz w:val="3"/>
                <w:szCs w:val="3"/>
                <w:color w:val="auto"/>
              </w:rPr>
            </w:pPr>
          </w:p>
        </w:tc>
        <w:tc>
          <w:tcPr>
            <w:tcW w:w="446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6"/>
                <w:szCs w:val="16"/>
                <w:b w:val="1"/>
                <w:bCs w:val="1"/>
                <w:color w:val="auto"/>
              </w:rPr>
              <w:t>  Daniel H. Malan</w:t>
            </w:r>
          </w:p>
        </w:tc>
        <w:tc>
          <w:tcPr>
            <w:tcW w:w="4460" w:type="dxa"/>
            <w:vAlign w:val="bottom"/>
          </w:tcPr>
          <w:p>
            <w:pPr>
              <w:jc w:val="right"/>
              <w:ind w:right="284"/>
              <w:spacing w:after="0"/>
              <w:rPr>
                <w:sz w:val="20"/>
                <w:szCs w:val="20"/>
                <w:color w:val="auto"/>
              </w:rPr>
            </w:pPr>
            <w:r>
              <w:rPr>
                <w:rFonts w:ascii="Arial" w:cs="Arial" w:eastAsia="Arial" w:hAnsi="Arial"/>
                <w:sz w:val="16"/>
                <w:szCs w:val="16"/>
                <w:color w:val="auto"/>
              </w:rPr>
              <w:t>55%</w:t>
            </w: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45"/>
        </w:trPr>
        <w:tc>
          <w:tcPr>
            <w:tcW w:w="5160" w:type="dxa"/>
            <w:vAlign w:val="bottom"/>
            <w:tcBorders>
              <w:bottom w:val="single" w:sz="8" w:color="7F7F7F"/>
            </w:tcBorders>
          </w:tcPr>
          <w:p>
            <w:pPr>
              <w:spacing w:after="0"/>
              <w:rPr>
                <w:sz w:val="3"/>
                <w:szCs w:val="3"/>
                <w:color w:val="auto"/>
              </w:rPr>
            </w:pPr>
          </w:p>
        </w:tc>
        <w:tc>
          <w:tcPr>
            <w:tcW w:w="446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6"/>
                <w:szCs w:val="16"/>
                <w:b w:val="1"/>
                <w:bCs w:val="1"/>
                <w:color w:val="auto"/>
              </w:rPr>
              <w:t>  Vanessa P. Williams</w:t>
            </w:r>
          </w:p>
        </w:tc>
        <w:tc>
          <w:tcPr>
            <w:tcW w:w="4460" w:type="dxa"/>
            <w:vAlign w:val="bottom"/>
          </w:tcPr>
          <w:p>
            <w:pPr>
              <w:jc w:val="right"/>
              <w:ind w:right="284"/>
              <w:spacing w:after="0"/>
              <w:rPr>
                <w:sz w:val="20"/>
                <w:szCs w:val="20"/>
                <w:color w:val="auto"/>
              </w:rPr>
            </w:pPr>
            <w:r>
              <w:rPr>
                <w:rFonts w:ascii="Arial" w:cs="Arial" w:eastAsia="Arial" w:hAnsi="Arial"/>
                <w:sz w:val="16"/>
                <w:szCs w:val="16"/>
                <w:color w:val="auto"/>
              </w:rPr>
              <w:t>65%</w:t>
            </w:r>
          </w:p>
        </w:tc>
        <w:tc>
          <w:tcPr>
            <w:tcW w:w="10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45"/>
        </w:trPr>
        <w:tc>
          <w:tcPr>
            <w:tcW w:w="5160" w:type="dxa"/>
            <w:vAlign w:val="bottom"/>
            <w:tcBorders>
              <w:bottom w:val="single" w:sz="8" w:color="7F7F7F"/>
            </w:tcBorders>
          </w:tcPr>
          <w:p>
            <w:pPr>
              <w:spacing w:after="0"/>
              <w:rPr>
                <w:sz w:val="3"/>
                <w:szCs w:val="3"/>
                <w:color w:val="auto"/>
              </w:rPr>
            </w:pPr>
          </w:p>
        </w:tc>
        <w:tc>
          <w:tcPr>
            <w:tcW w:w="446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6"/>
                <w:szCs w:val="16"/>
                <w:b w:val="1"/>
                <w:bCs w:val="1"/>
                <w:color w:val="auto"/>
              </w:rPr>
              <w:t>  Dinette Koolhaas</w:t>
            </w:r>
          </w:p>
        </w:tc>
        <w:tc>
          <w:tcPr>
            <w:tcW w:w="4460" w:type="dxa"/>
            <w:vAlign w:val="bottom"/>
          </w:tcPr>
          <w:p>
            <w:pPr>
              <w:jc w:val="right"/>
              <w:ind w:right="284"/>
              <w:spacing w:after="0"/>
              <w:rPr>
                <w:sz w:val="20"/>
                <w:szCs w:val="20"/>
                <w:color w:val="auto"/>
              </w:rPr>
            </w:pPr>
            <w:r>
              <w:rPr>
                <w:rFonts w:ascii="Arial" w:cs="Arial" w:eastAsia="Arial" w:hAnsi="Arial"/>
                <w:sz w:val="16"/>
                <w:szCs w:val="16"/>
                <w:color w:val="auto"/>
              </w:rPr>
              <w:t>55%</w:t>
            </w: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28575</wp:posOffset>
            </wp:positionV>
            <wp:extent cx="67405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04" w:lineRule="exact"/>
        <w:rPr>
          <w:sz w:val="20"/>
          <w:szCs w:val="20"/>
          <w:color w:val="auto"/>
        </w:rPr>
      </w:pPr>
    </w:p>
    <w:p>
      <w:pPr>
        <w:ind w:left="320" w:right="200"/>
        <w:spacing w:after="0" w:line="293" w:lineRule="auto"/>
        <w:rPr>
          <w:sz w:val="20"/>
          <w:szCs w:val="20"/>
          <w:color w:val="auto"/>
        </w:rPr>
      </w:pPr>
      <w:r>
        <w:rPr>
          <w:rFonts w:ascii="Arial" w:cs="Arial" w:eastAsia="Arial" w:hAnsi="Arial"/>
          <w:sz w:val="14"/>
          <w:szCs w:val="14"/>
          <w:color w:val="auto"/>
        </w:rPr>
        <w:t>In the months leading up to year-end, the Committee reviews and determines the objectives, performance measures, and other terms and conditions of the STIP for the following plan year. For 2023, the Committee approved the use of Earnings from Operations (“EFO”) as the measure for the corporate component of the STIP. The Committee selected this financial measure for the STIP because it aligned with business objectives and value creation, provided balance, ensured a strong pay-performance linkage, and line of sight for senior officers, including the named executive officers.</w:t>
      </w:r>
    </w:p>
    <w:p>
      <w:pPr>
        <w:spacing w:after="0" w:line="7" w:lineRule="exact"/>
        <w:rPr>
          <w:sz w:val="20"/>
          <w:szCs w:val="20"/>
          <w:color w:val="auto"/>
        </w:rPr>
      </w:pPr>
    </w:p>
    <w:p>
      <w:pPr>
        <w:ind w:left="320" w:right="360"/>
        <w:spacing w:after="0" w:line="251" w:lineRule="auto"/>
        <w:rPr>
          <w:sz w:val="20"/>
          <w:szCs w:val="20"/>
          <w:color w:val="auto"/>
        </w:rPr>
      </w:pPr>
      <w:r>
        <w:rPr>
          <w:rFonts w:ascii="Arial" w:cs="Arial" w:eastAsia="Arial" w:hAnsi="Arial"/>
          <w:sz w:val="16"/>
          <w:szCs w:val="16"/>
          <w:color w:val="auto"/>
        </w:rPr>
        <w:t>Payout for threshold performance under the corporate component of STIP is set at 50% of a named executive officer’s target payout opportunity, with zero payout earned for performance below threshold. Achievement of target performance results in target payouts for the named executive officers. Performance above target earns incentive payouts above target and up to the maximum of 200% of target.</w:t>
      </w:r>
    </w:p>
    <w:p>
      <w:pPr>
        <w:spacing w:after="0" w:line="34" w:lineRule="exact"/>
        <w:rPr>
          <w:sz w:val="20"/>
          <w:szCs w:val="20"/>
          <w:color w:val="auto"/>
        </w:rPr>
      </w:pPr>
    </w:p>
    <w:p>
      <w:pPr>
        <w:ind w:left="320" w:right="440"/>
        <w:spacing w:after="0" w:line="247" w:lineRule="auto"/>
        <w:rPr>
          <w:sz w:val="20"/>
          <w:szCs w:val="20"/>
          <w:color w:val="auto"/>
        </w:rPr>
      </w:pPr>
      <w:r>
        <w:rPr>
          <w:rFonts w:ascii="Arial" w:cs="Arial" w:eastAsia="Arial" w:hAnsi="Arial"/>
          <w:sz w:val="16"/>
          <w:szCs w:val="16"/>
          <w:color w:val="auto"/>
        </w:rPr>
        <w:t>Performance measures used for purposes of funding STIP are the same as defined in the Company’s GAAP financial statements, excluding at the discretion of the Committee consideration of special items such as: changes in accounting principles, gains or losses on acquisitions or divestitures, changes in budget due to acquisitions or divestitures, restructuring</w:t>
      </w:r>
    </w:p>
    <w:p>
      <w:pPr>
        <w:spacing w:after="0" w:line="1" w:lineRule="exact"/>
        <w:rPr>
          <w:sz w:val="20"/>
          <w:szCs w:val="20"/>
          <w:color w:val="auto"/>
        </w:rPr>
      </w:pP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-222250</wp:posOffset>
            </wp:positionV>
            <wp:extent cx="8255" cy="2228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37" w:lineRule="exact"/>
        <w:rPr>
          <w:sz w:val="20"/>
          <w:szCs w:val="20"/>
          <w:color w:val="auto"/>
        </w:rPr>
      </w:pPr>
    </w:p>
    <w:p>
      <w:pPr>
        <w:ind w:left="320" w:right="480"/>
        <w:spacing w:after="0" w:line="265" w:lineRule="auto"/>
        <w:rPr>
          <w:sz w:val="20"/>
          <w:szCs w:val="20"/>
          <w:color w:val="auto"/>
        </w:rPr>
      </w:pPr>
      <w:r>
        <w:rPr>
          <w:rFonts w:ascii="Arial" w:cs="Arial" w:eastAsia="Arial" w:hAnsi="Arial"/>
          <w:sz w:val="16"/>
          <w:szCs w:val="16"/>
          <w:color w:val="auto"/>
        </w:rPr>
        <w:t>expenses, and other unusual items, which are defined as such and quantified in the financial statements and/or footnotes to the Company’s Annual Report on Form 10-K. Adjustments would apply only to unbudgeted items.</w:t>
      </w:r>
    </w:p>
    <w:p>
      <w:pPr>
        <w:spacing w:after="0" w:line="36" w:lineRule="exact"/>
        <w:rPr>
          <w:sz w:val="20"/>
          <w:szCs w:val="20"/>
          <w:color w:val="auto"/>
        </w:rPr>
      </w:pPr>
    </w:p>
    <w:p>
      <w:pPr>
        <w:ind w:left="320" w:right="400"/>
        <w:spacing w:after="0" w:line="265" w:lineRule="auto"/>
        <w:rPr>
          <w:sz w:val="20"/>
          <w:szCs w:val="20"/>
          <w:color w:val="auto"/>
        </w:rPr>
      </w:pPr>
      <w:r>
        <w:rPr>
          <w:rFonts w:ascii="Arial" w:cs="Arial" w:eastAsia="Arial" w:hAnsi="Arial"/>
          <w:sz w:val="16"/>
          <w:szCs w:val="16"/>
          <w:color w:val="auto"/>
        </w:rPr>
        <w:t>For 2023, additional consideration was made to certain special items related to the Company’s transformation initiatives and also with the sale of the EMEA staffing operations that resulted in an unfavorable impact to the Company’s financial performance.</w:t>
      </w:r>
    </w:p>
    <w:p>
      <w:pPr>
        <w:spacing w:after="0" w:line="23" w:lineRule="exact"/>
        <w:rPr>
          <w:sz w:val="20"/>
          <w:szCs w:val="20"/>
          <w:color w:val="auto"/>
        </w:rPr>
      </w:pPr>
    </w:p>
    <w:p>
      <w:pPr>
        <w:jc w:val="both"/>
        <w:ind w:left="320" w:right="280"/>
        <w:spacing w:after="0" w:line="251" w:lineRule="auto"/>
        <w:rPr>
          <w:sz w:val="20"/>
          <w:szCs w:val="20"/>
          <w:color w:val="auto"/>
        </w:rPr>
      </w:pPr>
      <w:r>
        <w:rPr>
          <w:rFonts w:ascii="Arial" w:cs="Arial" w:eastAsia="Arial" w:hAnsi="Arial"/>
          <w:sz w:val="16"/>
          <w:szCs w:val="16"/>
          <w:color w:val="auto"/>
        </w:rPr>
        <w:t>In February 2023, the Committee determined and approved threshold, target, and maximum performance goal levels for the 2023 STIP. The threshold goal was set at a level for which the Committee believed it was appropriate to start earning incentives. At expected performance levels the target goal was set at the budgeted EFO. Target award opportunities remained unchanged.</w:t>
      </w:r>
    </w:p>
    <w:p>
      <w:pPr>
        <w:spacing w:after="0" w:line="34" w:lineRule="exact"/>
        <w:rPr>
          <w:sz w:val="20"/>
          <w:szCs w:val="20"/>
          <w:color w:val="auto"/>
        </w:rPr>
      </w:pPr>
    </w:p>
    <w:p>
      <w:pPr>
        <w:ind w:left="320" w:right="20"/>
        <w:spacing w:after="0" w:line="243" w:lineRule="auto"/>
        <w:rPr>
          <w:sz w:val="20"/>
          <w:szCs w:val="20"/>
          <w:color w:val="auto"/>
        </w:rPr>
      </w:pPr>
      <w:r>
        <w:rPr>
          <w:rFonts w:ascii="Arial" w:cs="Arial" w:eastAsia="Arial" w:hAnsi="Arial"/>
          <w:sz w:val="16"/>
          <w:szCs w:val="16"/>
          <w:color w:val="auto"/>
        </w:rPr>
        <w:t>Maximum goals were set at significant stretch levels, which the Committee believed warranted the earning of 200% of target payouts. For the 2023 STIP, funding for all named executive officers were based 100% on Corporate measures. Straight line interpolation occurs for achievement of performance between the specified EFO goals shown below. Participants also had an individual performance component which is funded (30%) from the Corporate EFO result. The individual performance payout can be adjusted upward or downward based on each leader’s performance against established Objectives, Goals, Strategies, Measures (“OGSMs”) and other financial and non-financial considerations. The goals at threshold, intermediate, target, and maximum for the 2023 STIP, as well as resulting performance for the measure of the corporate component were as follows:</w:t>
      </w: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80" w:type="dxa"/>
            <w:vAlign w:val="bottom"/>
            <w:tcBorders>
              <w:bottom w:val="single" w:sz="8" w:color="auto"/>
            </w:tcBorders>
            <w:gridSpan w:val="3"/>
          </w:tcPr>
          <w:p>
            <w:pPr>
              <w:jc w:val="center"/>
              <w:ind w:left="28"/>
              <w:spacing w:after="0"/>
              <w:rPr>
                <w:sz w:val="20"/>
                <w:szCs w:val="20"/>
                <w:color w:val="auto"/>
              </w:rPr>
            </w:pPr>
            <w:r>
              <w:rPr>
                <w:rFonts w:ascii="Arial" w:cs="Arial" w:eastAsia="Arial" w:hAnsi="Arial"/>
                <w:sz w:val="14"/>
                <w:szCs w:val="14"/>
                <w:b w:val="1"/>
                <w:bCs w:val="1"/>
                <w:color w:val="0A9E50"/>
                <w:w w:val="99"/>
              </w:rPr>
              <w:t>2023 Performance Goals</w:t>
            </w:r>
          </w:p>
        </w:tc>
        <w:tc>
          <w:tcPr>
            <w:tcW w:w="1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0"/>
        </w:trPr>
        <w:tc>
          <w:tcPr>
            <w:tcW w:w="3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80" w:type="dxa"/>
            <w:vAlign w:val="bottom"/>
          </w:tcPr>
          <w:p>
            <w:pPr>
              <w:ind w:left="200"/>
              <w:spacing w:after="0" w:line="140" w:lineRule="exact"/>
              <w:rPr>
                <w:sz w:val="20"/>
                <w:szCs w:val="20"/>
                <w:color w:val="auto"/>
              </w:rPr>
            </w:pPr>
            <w:r>
              <w:rPr>
                <w:rFonts w:ascii="Arial" w:cs="Arial" w:eastAsia="Arial" w:hAnsi="Arial"/>
                <w:sz w:val="14"/>
                <w:szCs w:val="14"/>
                <w:b w:val="1"/>
                <w:bCs w:val="1"/>
                <w:color w:val="0A9E50"/>
              </w:rPr>
              <w:t>Threshold</w:t>
            </w:r>
          </w:p>
        </w:tc>
        <w:tc>
          <w:tcPr>
            <w:tcW w:w="860" w:type="dxa"/>
            <w:vAlign w:val="bottom"/>
          </w:tcPr>
          <w:p>
            <w:pPr>
              <w:jc w:val="center"/>
              <w:spacing w:after="0" w:line="140" w:lineRule="exact"/>
              <w:rPr>
                <w:sz w:val="20"/>
                <w:szCs w:val="20"/>
                <w:color w:val="auto"/>
              </w:rPr>
            </w:pPr>
            <w:r>
              <w:rPr>
                <w:rFonts w:ascii="Arial" w:cs="Arial" w:eastAsia="Arial" w:hAnsi="Arial"/>
                <w:sz w:val="14"/>
                <w:szCs w:val="14"/>
                <w:b w:val="1"/>
                <w:bCs w:val="1"/>
                <w:color w:val="0A9E50"/>
                <w:w w:val="98"/>
              </w:rPr>
              <w:t>Target</w:t>
            </w:r>
          </w:p>
        </w:tc>
        <w:tc>
          <w:tcPr>
            <w:tcW w:w="940" w:type="dxa"/>
            <w:vAlign w:val="bottom"/>
          </w:tcPr>
          <w:p>
            <w:pPr>
              <w:ind w:left="200"/>
              <w:spacing w:after="0" w:line="140" w:lineRule="exact"/>
              <w:rPr>
                <w:sz w:val="20"/>
                <w:szCs w:val="20"/>
                <w:color w:val="auto"/>
              </w:rPr>
            </w:pPr>
            <w:r>
              <w:rPr>
                <w:rFonts w:ascii="Arial" w:cs="Arial" w:eastAsia="Arial" w:hAnsi="Arial"/>
                <w:sz w:val="14"/>
                <w:szCs w:val="14"/>
                <w:b w:val="1"/>
                <w:bCs w:val="1"/>
                <w:color w:val="0A9E50"/>
              </w:rPr>
              <w:t>Maximum</w:t>
            </w:r>
          </w:p>
        </w:tc>
        <w:tc>
          <w:tcPr>
            <w:tcW w:w="1420" w:type="dxa"/>
            <w:vAlign w:val="bottom"/>
          </w:tcPr>
          <w:p>
            <w:pPr>
              <w:jc w:val="right"/>
              <w:ind w:right="408"/>
              <w:spacing w:after="0" w:line="140" w:lineRule="exact"/>
              <w:rPr>
                <w:sz w:val="20"/>
                <w:szCs w:val="20"/>
                <w:color w:val="auto"/>
              </w:rPr>
            </w:pPr>
            <w:r>
              <w:rPr>
                <w:rFonts w:ascii="Arial" w:cs="Arial" w:eastAsia="Arial" w:hAnsi="Arial"/>
                <w:sz w:val="14"/>
                <w:szCs w:val="14"/>
                <w:b w:val="1"/>
                <w:bCs w:val="1"/>
                <w:color w:val="0A9E50"/>
              </w:rPr>
              <w:t>2023</w:t>
            </w:r>
          </w:p>
        </w:tc>
        <w:tc>
          <w:tcPr>
            <w:tcW w:w="780" w:type="dxa"/>
            <w:vAlign w:val="bottom"/>
          </w:tcPr>
          <w:p>
            <w:pPr>
              <w:jc w:val="center"/>
              <w:ind w:left="66"/>
              <w:spacing w:after="0" w:line="140" w:lineRule="exact"/>
              <w:rPr>
                <w:sz w:val="20"/>
                <w:szCs w:val="20"/>
                <w:color w:val="auto"/>
              </w:rPr>
            </w:pPr>
            <w:r>
              <w:rPr>
                <w:rFonts w:ascii="Arial" w:cs="Arial" w:eastAsia="Arial" w:hAnsi="Arial"/>
                <w:sz w:val="14"/>
                <w:szCs w:val="14"/>
                <w:b w:val="1"/>
                <w:bCs w:val="1"/>
                <w:color w:val="0A9E50"/>
              </w:rPr>
              <w:t>2023</w:t>
            </w:r>
          </w:p>
        </w:tc>
      </w:tr>
      <w:tr>
        <w:trPr>
          <w:trHeight w:val="192"/>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Corporate Component</w:t>
            </w:r>
          </w:p>
        </w:tc>
        <w:tc>
          <w:tcPr>
            <w:tcW w:w="2400" w:type="dxa"/>
            <w:vAlign w:val="bottom"/>
            <w:tcBorders>
              <w:bottom w:val="single" w:sz="8" w:color="auto"/>
            </w:tcBorders>
          </w:tcPr>
          <w:p>
            <w:pPr>
              <w:jc w:val="center"/>
              <w:ind w:left="1426"/>
              <w:spacing w:after="0"/>
              <w:rPr>
                <w:sz w:val="20"/>
                <w:szCs w:val="20"/>
                <w:color w:val="auto"/>
              </w:rPr>
            </w:pPr>
            <w:r>
              <w:rPr>
                <w:rFonts w:ascii="Arial" w:cs="Arial" w:eastAsia="Arial" w:hAnsi="Arial"/>
                <w:sz w:val="14"/>
                <w:szCs w:val="14"/>
                <w:b w:val="1"/>
                <w:bCs w:val="1"/>
                <w:color w:val="0A9E50"/>
                <w:w w:val="97"/>
              </w:rPr>
              <w:t>Weighting</w:t>
            </w: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0A9E50"/>
              </w:rPr>
              <w:t>50%</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0A9E50"/>
              </w:rPr>
              <w:t>100%</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0A9E50"/>
              </w:rPr>
              <w:t>200%</w:t>
            </w:r>
          </w:p>
        </w:tc>
        <w:tc>
          <w:tcPr>
            <w:tcW w:w="14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0A9E50"/>
              </w:rPr>
              <w:t>Performance</w:t>
            </w: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0A9E50"/>
              </w:rPr>
              <w:t>Payout</w:t>
            </w:r>
          </w:p>
        </w:tc>
      </w:tr>
      <w:tr>
        <w:trPr>
          <w:trHeight w:val="207"/>
        </w:trPr>
        <w:tc>
          <w:tcPr>
            <w:tcW w:w="31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EFO</w:t>
            </w:r>
          </w:p>
        </w:tc>
        <w:tc>
          <w:tcPr>
            <w:tcW w:w="2400" w:type="dxa"/>
            <w:vAlign w:val="bottom"/>
            <w:tcBorders>
              <w:bottom w:val="single" w:sz="8" w:color="7F7F7F"/>
            </w:tcBorders>
          </w:tcPr>
          <w:p>
            <w:pPr>
              <w:jc w:val="right"/>
              <w:ind w:right="166"/>
              <w:spacing w:after="0"/>
              <w:rPr>
                <w:sz w:val="20"/>
                <w:szCs w:val="20"/>
                <w:color w:val="auto"/>
              </w:rPr>
            </w:pPr>
            <w:r>
              <w:rPr>
                <w:rFonts w:ascii="Arial" w:cs="Arial" w:eastAsia="Arial" w:hAnsi="Arial"/>
                <w:sz w:val="16"/>
                <w:szCs w:val="16"/>
                <w:color w:val="auto"/>
              </w:rPr>
              <w:t>100%</w:t>
            </w:r>
          </w:p>
        </w:tc>
        <w:tc>
          <w:tcPr>
            <w:tcW w:w="1080" w:type="dxa"/>
            <w:vAlign w:val="bottom"/>
            <w:tcBorders>
              <w:bottom w:val="single" w:sz="8" w:color="7F7F7F"/>
            </w:tcBorders>
          </w:tcPr>
          <w:p>
            <w:pPr>
              <w:jc w:val="right"/>
              <w:ind w:right="228"/>
              <w:spacing w:after="0"/>
              <w:rPr>
                <w:sz w:val="20"/>
                <w:szCs w:val="20"/>
                <w:color w:val="auto"/>
              </w:rPr>
            </w:pPr>
            <w:r>
              <w:rPr>
                <w:rFonts w:ascii="Arial" w:cs="Arial" w:eastAsia="Arial" w:hAnsi="Arial"/>
                <w:sz w:val="16"/>
                <w:szCs w:val="16"/>
                <w:color w:val="auto"/>
              </w:rPr>
              <w:t>$52.50</w:t>
            </w:r>
          </w:p>
        </w:tc>
        <w:tc>
          <w:tcPr>
            <w:tcW w:w="860" w:type="dxa"/>
            <w:vAlign w:val="bottom"/>
            <w:tcBorders>
              <w:bottom w:val="single" w:sz="8" w:color="7F7F7F"/>
            </w:tcBorders>
          </w:tcPr>
          <w:p>
            <w:pPr>
              <w:jc w:val="right"/>
              <w:ind w:right="128"/>
              <w:spacing w:after="0"/>
              <w:rPr>
                <w:sz w:val="20"/>
                <w:szCs w:val="20"/>
                <w:color w:val="auto"/>
              </w:rPr>
            </w:pPr>
            <w:r>
              <w:rPr>
                <w:rFonts w:ascii="Arial" w:cs="Arial" w:eastAsia="Arial" w:hAnsi="Arial"/>
                <w:sz w:val="16"/>
                <w:szCs w:val="16"/>
                <w:color w:val="auto"/>
              </w:rPr>
              <w:t>$75.00</w:t>
            </w:r>
          </w:p>
        </w:tc>
        <w:tc>
          <w:tcPr>
            <w:tcW w:w="940" w:type="dxa"/>
            <w:vAlign w:val="bottom"/>
            <w:tcBorders>
              <w:bottom w:val="single" w:sz="8" w:color="7F7F7F"/>
            </w:tcBorders>
          </w:tcPr>
          <w:p>
            <w:pPr>
              <w:jc w:val="right"/>
              <w:ind w:right="108"/>
              <w:spacing w:after="0"/>
              <w:rPr>
                <w:sz w:val="20"/>
                <w:szCs w:val="20"/>
                <w:color w:val="auto"/>
              </w:rPr>
            </w:pPr>
            <w:r>
              <w:rPr>
                <w:rFonts w:ascii="Arial" w:cs="Arial" w:eastAsia="Arial" w:hAnsi="Arial"/>
                <w:sz w:val="16"/>
                <w:szCs w:val="16"/>
                <w:color w:val="auto"/>
              </w:rPr>
              <w:t>$97.50</w:t>
            </w:r>
          </w:p>
        </w:tc>
        <w:tc>
          <w:tcPr>
            <w:tcW w:w="1420" w:type="dxa"/>
            <w:vAlign w:val="bottom"/>
            <w:tcBorders>
              <w:bottom w:val="single" w:sz="8" w:color="7F7F7F"/>
            </w:tcBorders>
          </w:tcPr>
          <w:p>
            <w:pPr>
              <w:jc w:val="right"/>
              <w:ind w:right="328"/>
              <w:spacing w:after="0"/>
              <w:rPr>
                <w:sz w:val="20"/>
                <w:szCs w:val="20"/>
                <w:color w:val="auto"/>
              </w:rPr>
            </w:pPr>
            <w:r>
              <w:rPr>
                <w:rFonts w:ascii="Arial" w:cs="Arial" w:eastAsia="Arial" w:hAnsi="Arial"/>
                <w:sz w:val="16"/>
                <w:szCs w:val="16"/>
                <w:color w:val="auto"/>
              </w:rPr>
              <w:t>$72.30</w:t>
            </w:r>
          </w:p>
        </w:tc>
        <w:tc>
          <w:tcPr>
            <w:tcW w:w="780" w:type="dxa"/>
            <w:vAlign w:val="bottom"/>
            <w:tcBorders>
              <w:bottom w:val="single" w:sz="8" w:color="7F7F7F"/>
            </w:tcBorders>
          </w:tcPr>
          <w:p>
            <w:pPr>
              <w:jc w:val="center"/>
              <w:ind w:left="66"/>
              <w:spacing w:after="0"/>
              <w:rPr>
                <w:sz w:val="20"/>
                <w:szCs w:val="20"/>
                <w:color w:val="auto"/>
              </w:rPr>
            </w:pPr>
            <w:r>
              <w:rPr>
                <w:rFonts w:ascii="Arial" w:cs="Arial" w:eastAsia="Arial" w:hAnsi="Arial"/>
                <w:sz w:val="16"/>
                <w:szCs w:val="16"/>
                <w:color w:val="auto"/>
                <w:w w:val="96"/>
              </w:rPr>
              <w:t>94.0%</w:t>
            </w:r>
          </w:p>
        </w:tc>
      </w:tr>
      <w:tr>
        <w:trPr>
          <w:trHeight w:val="218"/>
        </w:trPr>
        <w:tc>
          <w:tcPr>
            <w:tcW w:w="314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in millions</w:t>
            </w:r>
          </w:p>
        </w:tc>
        <w:tc>
          <w:tcPr>
            <w:tcW w:w="2400" w:type="dxa"/>
            <w:vAlign w:val="bottom"/>
            <w:tcBorders>
              <w:bottom w:val="single" w:sz="8" w:color="7F7F7F"/>
            </w:tcBorders>
          </w:tcPr>
          <w:p>
            <w:pPr>
              <w:spacing w:after="0"/>
              <w:rPr>
                <w:sz w:val="18"/>
                <w:szCs w:val="18"/>
                <w:color w:val="auto"/>
              </w:rPr>
            </w:pPr>
          </w:p>
        </w:tc>
        <w:tc>
          <w:tcPr>
            <w:tcW w:w="1080" w:type="dxa"/>
            <w:vAlign w:val="bottom"/>
            <w:tcBorders>
              <w:bottom w:val="single" w:sz="8" w:color="7F7F7F"/>
            </w:tcBorders>
          </w:tcPr>
          <w:p>
            <w:pPr>
              <w:spacing w:after="0"/>
              <w:rPr>
                <w:sz w:val="18"/>
                <w:szCs w:val="18"/>
                <w:color w:val="auto"/>
              </w:rPr>
            </w:pPr>
          </w:p>
        </w:tc>
        <w:tc>
          <w:tcPr>
            <w:tcW w:w="860" w:type="dxa"/>
            <w:vAlign w:val="bottom"/>
            <w:tcBorders>
              <w:bottom w:val="single" w:sz="8" w:color="7F7F7F"/>
            </w:tcBorders>
          </w:tcPr>
          <w:p>
            <w:pPr>
              <w:spacing w:after="0"/>
              <w:rPr>
                <w:sz w:val="18"/>
                <w:szCs w:val="18"/>
                <w:color w:val="auto"/>
              </w:rPr>
            </w:pPr>
          </w:p>
        </w:tc>
        <w:tc>
          <w:tcPr>
            <w:tcW w:w="940" w:type="dxa"/>
            <w:vAlign w:val="bottom"/>
            <w:tcBorders>
              <w:bottom w:val="single" w:sz="8" w:color="7F7F7F"/>
            </w:tcBorders>
          </w:tcPr>
          <w:p>
            <w:pPr>
              <w:spacing w:after="0"/>
              <w:rPr>
                <w:sz w:val="18"/>
                <w:szCs w:val="18"/>
                <w:color w:val="auto"/>
              </w:rPr>
            </w:pPr>
          </w:p>
        </w:tc>
        <w:tc>
          <w:tcPr>
            <w:tcW w:w="1420" w:type="dxa"/>
            <w:vAlign w:val="bottom"/>
            <w:tcBorders>
              <w:bottom w:val="single" w:sz="8" w:color="7F7F7F"/>
            </w:tcBorders>
          </w:tcPr>
          <w:p>
            <w:pPr>
              <w:spacing w:after="0"/>
              <w:rPr>
                <w:sz w:val="18"/>
                <w:szCs w:val="18"/>
                <w:color w:val="auto"/>
              </w:rPr>
            </w:pPr>
          </w:p>
        </w:tc>
        <w:tc>
          <w:tcPr>
            <w:tcW w:w="780" w:type="dxa"/>
            <w:vAlign w:val="bottom"/>
            <w:tcBorders>
              <w:bottom w:val="single" w:sz="8" w:color="7F7F7F"/>
            </w:tcBorders>
          </w:tcPr>
          <w:p>
            <w:pPr>
              <w:jc w:val="center"/>
              <w:ind w:left="66"/>
              <w:spacing w:after="0"/>
              <w:rPr>
                <w:sz w:val="20"/>
                <w:szCs w:val="20"/>
                <w:color w:val="auto"/>
              </w:rPr>
            </w:pPr>
            <w:r>
              <w:rPr>
                <w:rFonts w:ascii="Arial" w:cs="Arial" w:eastAsia="Arial" w:hAnsi="Arial"/>
                <w:sz w:val="16"/>
                <w:szCs w:val="16"/>
                <w:b w:val="1"/>
                <w:bCs w:val="1"/>
                <w:color w:val="auto"/>
                <w:w w:val="96"/>
              </w:rPr>
              <w:t>94.0%</w:t>
            </w:r>
          </w:p>
        </w:tc>
      </w:tr>
    </w:tbl>
    <w:p>
      <w:pPr>
        <w:spacing w:after="0" w:line="66" w:lineRule="exact"/>
        <w:rPr>
          <w:sz w:val="20"/>
          <w:szCs w:val="20"/>
          <w:color w:val="auto"/>
        </w:rPr>
      </w:pPr>
    </w:p>
    <w:p>
      <w:pPr>
        <w:ind w:left="320" w:right="160"/>
        <w:spacing w:after="0" w:line="251" w:lineRule="auto"/>
        <w:rPr>
          <w:sz w:val="20"/>
          <w:szCs w:val="20"/>
          <w:color w:val="auto"/>
        </w:rPr>
      </w:pPr>
      <w:r>
        <w:rPr>
          <w:rFonts w:ascii="Arial" w:cs="Arial" w:eastAsia="Arial" w:hAnsi="Arial"/>
          <w:sz w:val="16"/>
          <w:szCs w:val="16"/>
          <w:color w:val="auto"/>
        </w:rPr>
        <w:t>Under the terms of the STIP, the Committee retains the right in its discretion to adjust a STIP award based on Company, business unit, or individual performance. The Committee has no discretion to increase a STIP award for named executive officers, outside of the aforementioned parameters. STIP awards made in 2023 to named executive officers are subject to the Company’s Clawback Policy.</w:t>
      </w:r>
    </w:p>
    <w:p>
      <w:pPr>
        <w:spacing w:after="0" w:line="34" w:lineRule="exact"/>
        <w:rPr>
          <w:sz w:val="20"/>
          <w:szCs w:val="20"/>
          <w:color w:val="auto"/>
        </w:rPr>
      </w:pPr>
    </w:p>
    <w:p>
      <w:pPr>
        <w:ind w:left="320" w:right="100"/>
        <w:spacing w:after="0" w:line="265" w:lineRule="auto"/>
        <w:rPr>
          <w:sz w:val="20"/>
          <w:szCs w:val="20"/>
          <w:color w:val="auto"/>
        </w:rPr>
      </w:pPr>
      <w:r>
        <w:rPr>
          <w:rFonts w:ascii="Arial" w:cs="Arial" w:eastAsia="Arial" w:hAnsi="Arial"/>
          <w:sz w:val="16"/>
          <w:szCs w:val="16"/>
          <w:color w:val="auto"/>
        </w:rPr>
        <w:t>Based on these performance results, at its February 13, 2024 meeting, the Committee reviewed and approved payments to the named executive officers in accordance with the STIP provisions as follows:</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A9E50"/>
                <w:w w:val="96"/>
              </w:rPr>
              <w:t>2023 STIP</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A9E50"/>
                <w:w w:val="97"/>
              </w:rPr>
              <w:t>2023 Payout</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56"/>
        </w:trPr>
        <w:tc>
          <w:tcPr>
            <w:tcW w:w="3300" w:type="dxa"/>
            <w:vAlign w:val="bottom"/>
          </w:tcPr>
          <w:p>
            <w:pPr>
              <w:spacing w:after="0"/>
              <w:rPr>
                <w:sz w:val="13"/>
                <w:szCs w:val="13"/>
                <w:color w:val="auto"/>
              </w:rPr>
            </w:pPr>
          </w:p>
        </w:tc>
        <w:tc>
          <w:tcPr>
            <w:tcW w:w="2580" w:type="dxa"/>
            <w:vAlign w:val="bottom"/>
          </w:tcPr>
          <w:p>
            <w:pPr>
              <w:ind w:left="1600"/>
              <w:spacing w:after="0" w:line="156" w:lineRule="exact"/>
              <w:rPr>
                <w:sz w:val="20"/>
                <w:szCs w:val="20"/>
                <w:color w:val="auto"/>
              </w:rPr>
            </w:pPr>
            <w:r>
              <w:rPr>
                <w:rFonts w:ascii="Arial" w:cs="Arial" w:eastAsia="Arial" w:hAnsi="Arial"/>
                <w:sz w:val="14"/>
                <w:szCs w:val="14"/>
                <w:b w:val="1"/>
                <w:bCs w:val="1"/>
                <w:color w:val="0A9E50"/>
              </w:rPr>
              <w:t>2023 Base</w:t>
            </w:r>
          </w:p>
        </w:tc>
        <w:tc>
          <w:tcPr>
            <w:tcW w:w="114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6"/>
              </w:rPr>
              <w:t>Target as</w:t>
            </w:r>
          </w:p>
        </w:tc>
        <w:tc>
          <w:tcPr>
            <w:tcW w:w="1280" w:type="dxa"/>
            <w:vAlign w:val="bottom"/>
            <w:gridSpan w:val="2"/>
          </w:tcPr>
          <w:p>
            <w:pPr>
              <w:jc w:val="center"/>
              <w:ind w:right="43"/>
              <w:spacing w:after="0" w:line="156" w:lineRule="exact"/>
              <w:rPr>
                <w:sz w:val="20"/>
                <w:szCs w:val="20"/>
                <w:color w:val="auto"/>
              </w:rPr>
            </w:pPr>
            <w:r>
              <w:rPr>
                <w:rFonts w:ascii="Arial" w:cs="Arial" w:eastAsia="Arial" w:hAnsi="Arial"/>
                <w:sz w:val="14"/>
                <w:szCs w:val="14"/>
                <w:b w:val="1"/>
                <w:bCs w:val="1"/>
                <w:color w:val="0A9E50"/>
                <w:w w:val="96"/>
              </w:rPr>
              <w:t>2023 STIP</w:t>
            </w:r>
          </w:p>
        </w:tc>
        <w:tc>
          <w:tcPr>
            <w:tcW w:w="130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rPr>
              <w:t>as a</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6"/>
        </w:trPr>
        <w:tc>
          <w:tcPr>
            <w:tcW w:w="3300" w:type="dxa"/>
            <w:vAlign w:val="bottom"/>
          </w:tcPr>
          <w:p>
            <w:pPr>
              <w:spacing w:after="0"/>
              <w:rPr>
                <w:sz w:val="13"/>
                <w:szCs w:val="13"/>
                <w:color w:val="auto"/>
              </w:rPr>
            </w:pPr>
          </w:p>
        </w:tc>
        <w:tc>
          <w:tcPr>
            <w:tcW w:w="2580" w:type="dxa"/>
            <w:vAlign w:val="bottom"/>
          </w:tcPr>
          <w:p>
            <w:pPr>
              <w:ind w:left="1740"/>
              <w:spacing w:after="0" w:line="156" w:lineRule="exact"/>
              <w:rPr>
                <w:sz w:val="20"/>
                <w:szCs w:val="20"/>
                <w:color w:val="auto"/>
              </w:rPr>
            </w:pPr>
            <w:r>
              <w:rPr>
                <w:rFonts w:ascii="Arial" w:cs="Arial" w:eastAsia="Arial" w:hAnsi="Arial"/>
                <w:sz w:val="14"/>
                <w:szCs w:val="14"/>
                <w:b w:val="1"/>
                <w:bCs w:val="1"/>
                <w:color w:val="0A9E50"/>
              </w:rPr>
              <w:t>Salary</w:t>
            </w:r>
          </w:p>
        </w:tc>
        <w:tc>
          <w:tcPr>
            <w:tcW w:w="114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4"/>
              </w:rPr>
              <w:t>% of</w:t>
            </w:r>
          </w:p>
        </w:tc>
        <w:tc>
          <w:tcPr>
            <w:tcW w:w="1280" w:type="dxa"/>
            <w:vAlign w:val="bottom"/>
            <w:gridSpan w:val="2"/>
          </w:tcPr>
          <w:p>
            <w:pPr>
              <w:jc w:val="center"/>
              <w:ind w:right="43"/>
              <w:spacing w:after="0" w:line="156" w:lineRule="exact"/>
              <w:rPr>
                <w:sz w:val="20"/>
                <w:szCs w:val="20"/>
                <w:color w:val="auto"/>
              </w:rPr>
            </w:pPr>
            <w:r>
              <w:rPr>
                <w:rFonts w:ascii="Arial" w:cs="Arial" w:eastAsia="Arial" w:hAnsi="Arial"/>
                <w:sz w:val="14"/>
                <w:szCs w:val="14"/>
                <w:b w:val="1"/>
                <w:bCs w:val="1"/>
                <w:color w:val="0A9E50"/>
              </w:rPr>
              <w:t>Payout at</w:t>
            </w:r>
          </w:p>
        </w:tc>
        <w:tc>
          <w:tcPr>
            <w:tcW w:w="130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rPr>
              <w:t>Percentage</w:t>
            </w:r>
          </w:p>
        </w:tc>
        <w:tc>
          <w:tcPr>
            <w:tcW w:w="1020" w:type="dxa"/>
            <w:vAlign w:val="bottom"/>
            <w:gridSpan w:val="2"/>
          </w:tcPr>
          <w:p>
            <w:pPr>
              <w:jc w:val="right"/>
              <w:ind w:right="23"/>
              <w:spacing w:after="0" w:line="156" w:lineRule="exact"/>
              <w:rPr>
                <w:sz w:val="20"/>
                <w:szCs w:val="20"/>
                <w:color w:val="auto"/>
              </w:rPr>
            </w:pPr>
            <w:r>
              <w:rPr>
                <w:rFonts w:ascii="Arial" w:cs="Arial" w:eastAsia="Arial" w:hAnsi="Arial"/>
                <w:sz w:val="14"/>
                <w:szCs w:val="14"/>
                <w:b w:val="1"/>
                <w:bCs w:val="1"/>
                <w:color w:val="0A9E50"/>
              </w:rPr>
              <w:t>2023 STIP</w:t>
            </w:r>
          </w:p>
        </w:tc>
      </w:tr>
      <w:tr>
        <w:trPr>
          <w:trHeight w:val="192"/>
        </w:trPr>
        <w:tc>
          <w:tcPr>
            <w:tcW w:w="3300" w:type="dxa"/>
            <w:vAlign w:val="bottom"/>
          </w:tcPr>
          <w:p>
            <w:pPr>
              <w:ind w:left="60"/>
              <w:spacing w:after="0"/>
              <w:rPr>
                <w:sz w:val="20"/>
                <w:szCs w:val="20"/>
                <w:color w:val="auto"/>
              </w:rPr>
            </w:pPr>
            <w:r>
              <w:rPr>
                <w:rFonts w:ascii="Arial" w:cs="Arial" w:eastAsia="Arial" w:hAnsi="Arial"/>
                <w:sz w:val="14"/>
                <w:szCs w:val="14"/>
                <w:b w:val="1"/>
                <w:bCs w:val="1"/>
                <w:color w:val="0A9E50"/>
              </w:rPr>
              <w:t>Named Executive Officer</w:t>
            </w:r>
          </w:p>
        </w:tc>
        <w:tc>
          <w:tcPr>
            <w:tcW w:w="2580" w:type="dxa"/>
            <w:vAlign w:val="bottom"/>
          </w:tcPr>
          <w:p>
            <w:pPr>
              <w:ind w:left="1640"/>
              <w:spacing w:after="0"/>
              <w:rPr>
                <w:sz w:val="20"/>
                <w:szCs w:val="20"/>
                <w:color w:val="auto"/>
              </w:rPr>
            </w:pPr>
            <w:r>
              <w:rPr>
                <w:rFonts w:ascii="Arial" w:cs="Arial" w:eastAsia="Arial" w:hAnsi="Arial"/>
                <w:sz w:val="14"/>
                <w:szCs w:val="14"/>
                <w:b w:val="1"/>
                <w:bCs w:val="1"/>
                <w:color w:val="0A9E50"/>
              </w:rPr>
              <w:t>Earnings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A9E50"/>
                <w:w w:val="95"/>
              </w:rPr>
              <w:t>Salary</w:t>
            </w:r>
          </w:p>
        </w:tc>
        <w:tc>
          <w:tcPr>
            <w:tcW w:w="300" w:type="dxa"/>
            <w:vAlign w:val="bottom"/>
          </w:tcPr>
          <w:p>
            <w:pPr>
              <w:spacing w:after="0"/>
              <w:rPr>
                <w:sz w:val="16"/>
                <w:szCs w:val="16"/>
                <w:color w:val="auto"/>
              </w:rPr>
            </w:pPr>
          </w:p>
        </w:tc>
        <w:tc>
          <w:tcPr>
            <w:tcW w:w="980" w:type="dxa"/>
            <w:vAlign w:val="bottom"/>
          </w:tcPr>
          <w:p>
            <w:pPr>
              <w:jc w:val="center"/>
              <w:ind w:right="343"/>
              <w:spacing w:after="0"/>
              <w:rPr>
                <w:sz w:val="20"/>
                <w:szCs w:val="20"/>
                <w:color w:val="auto"/>
              </w:rPr>
            </w:pPr>
            <w:r>
              <w:rPr>
                <w:rFonts w:ascii="Arial" w:cs="Arial" w:eastAsia="Arial" w:hAnsi="Arial"/>
                <w:sz w:val="14"/>
                <w:szCs w:val="14"/>
                <w:b w:val="1"/>
                <w:bCs w:val="1"/>
                <w:color w:val="0A9E50"/>
                <w:w w:val="93"/>
              </w:rPr>
              <w:t>Target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A9E50"/>
              </w:rPr>
              <w:t>of Target</w:t>
            </w:r>
          </w:p>
        </w:tc>
        <w:tc>
          <w:tcPr>
            <w:tcW w:w="320" w:type="dxa"/>
            <w:vAlign w:val="bottom"/>
          </w:tcPr>
          <w:p>
            <w:pPr>
              <w:spacing w:after="0"/>
              <w:rPr>
                <w:sz w:val="16"/>
                <w:szCs w:val="16"/>
                <w:color w:val="auto"/>
              </w:rPr>
            </w:pPr>
          </w:p>
        </w:tc>
        <w:tc>
          <w:tcPr>
            <w:tcW w:w="700" w:type="dxa"/>
            <w:vAlign w:val="bottom"/>
          </w:tcPr>
          <w:p>
            <w:pPr>
              <w:jc w:val="right"/>
              <w:ind w:right="123"/>
              <w:spacing w:after="0"/>
              <w:rPr>
                <w:sz w:val="20"/>
                <w:szCs w:val="20"/>
                <w:color w:val="auto"/>
              </w:rPr>
            </w:pPr>
            <w:r>
              <w:rPr>
                <w:rFonts w:ascii="Arial" w:cs="Arial" w:eastAsia="Arial" w:hAnsi="Arial"/>
                <w:sz w:val="14"/>
                <w:szCs w:val="14"/>
                <w:b w:val="1"/>
                <w:bCs w:val="1"/>
                <w:color w:val="0A9E50"/>
              </w:rPr>
              <w:t>Payout</w:t>
            </w:r>
          </w:p>
        </w:tc>
      </w:tr>
      <w:tr>
        <w:trPr>
          <w:trHeight w:val="26"/>
        </w:trPr>
        <w:tc>
          <w:tcPr>
            <w:tcW w:w="3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6"/>
        </w:trPr>
        <w:tc>
          <w:tcPr>
            <w:tcW w:w="3300" w:type="dxa"/>
            <w:vAlign w:val="bottom"/>
          </w:tcPr>
          <w:p>
            <w:pPr>
              <w:ind w:left="60"/>
              <w:spacing w:after="0"/>
              <w:rPr>
                <w:sz w:val="20"/>
                <w:szCs w:val="20"/>
                <w:color w:val="auto"/>
              </w:rPr>
            </w:pPr>
            <w:r>
              <w:rPr>
                <w:rFonts w:ascii="Arial" w:cs="Arial" w:eastAsia="Arial" w:hAnsi="Arial"/>
                <w:sz w:val="16"/>
                <w:szCs w:val="16"/>
                <w:b w:val="1"/>
                <w:bCs w:val="1"/>
                <w:color w:val="auto"/>
              </w:rPr>
              <w:t>Peter W. Quigley</w:t>
            </w:r>
          </w:p>
        </w:tc>
        <w:tc>
          <w:tcPr>
            <w:tcW w:w="2580" w:type="dxa"/>
            <w:vAlign w:val="bottom"/>
          </w:tcPr>
          <w:p>
            <w:pPr>
              <w:ind w:left="1640"/>
              <w:spacing w:after="0"/>
              <w:rPr>
                <w:sz w:val="20"/>
                <w:szCs w:val="20"/>
                <w:color w:val="auto"/>
              </w:rPr>
            </w:pPr>
            <w:r>
              <w:rPr>
                <w:rFonts w:ascii="Arial" w:cs="Arial" w:eastAsia="Arial" w:hAnsi="Arial"/>
                <w:sz w:val="16"/>
                <w:szCs w:val="16"/>
                <w:color w:val="auto"/>
              </w:rPr>
              <w:t>$900,000</w:t>
            </w:r>
          </w:p>
        </w:tc>
        <w:tc>
          <w:tcPr>
            <w:tcW w:w="1140" w:type="dxa"/>
            <w:vAlign w:val="bottom"/>
          </w:tcPr>
          <w:p>
            <w:pPr>
              <w:jc w:val="right"/>
              <w:ind w:right="146"/>
              <w:spacing w:after="0"/>
              <w:rPr>
                <w:sz w:val="20"/>
                <w:szCs w:val="20"/>
                <w:color w:val="auto"/>
              </w:rPr>
            </w:pPr>
            <w:r>
              <w:rPr>
                <w:rFonts w:ascii="Arial" w:cs="Arial" w:eastAsia="Arial" w:hAnsi="Arial"/>
                <w:sz w:val="16"/>
                <w:szCs w:val="16"/>
                <w:color w:val="auto"/>
              </w:rPr>
              <w:t>120%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3"/>
              <w:spacing w:after="0"/>
              <w:rPr>
                <w:sz w:val="20"/>
                <w:szCs w:val="20"/>
                <w:color w:val="auto"/>
              </w:rPr>
            </w:pPr>
            <w:r>
              <w:rPr>
                <w:rFonts w:ascii="Arial" w:cs="Arial" w:eastAsia="Arial" w:hAnsi="Arial"/>
                <w:sz w:val="16"/>
                <w:szCs w:val="16"/>
                <w:color w:val="auto"/>
                <w:w w:val="95"/>
              </w:rPr>
              <w:t>1,080,000</w:t>
            </w:r>
          </w:p>
        </w:tc>
        <w:tc>
          <w:tcPr>
            <w:tcW w:w="1300" w:type="dxa"/>
            <w:vAlign w:val="bottom"/>
          </w:tcPr>
          <w:p>
            <w:pPr>
              <w:jc w:val="right"/>
              <w:ind w:right="146"/>
              <w:spacing w:after="0"/>
              <w:rPr>
                <w:sz w:val="20"/>
                <w:szCs w:val="20"/>
                <w:color w:val="auto"/>
              </w:rPr>
            </w:pPr>
            <w:r>
              <w:rPr>
                <w:rFonts w:ascii="Arial" w:cs="Arial" w:eastAsia="Arial" w:hAnsi="Arial"/>
                <w:sz w:val="16"/>
                <w:szCs w:val="16"/>
                <w:color w:val="auto"/>
              </w:rPr>
              <w:t>94.0%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1,015,200</w:t>
            </w:r>
          </w:p>
        </w:tc>
      </w:tr>
      <w:tr>
        <w:trPr>
          <w:trHeight w:val="46"/>
        </w:trPr>
        <w:tc>
          <w:tcPr>
            <w:tcW w:w="3300" w:type="dxa"/>
            <w:vAlign w:val="bottom"/>
            <w:tcBorders>
              <w:bottom w:val="single" w:sz="8" w:color="7F7F7F"/>
            </w:tcBorders>
          </w:tcPr>
          <w:p>
            <w:pPr>
              <w:spacing w:after="0"/>
              <w:rPr>
                <w:sz w:val="4"/>
                <w:szCs w:val="4"/>
                <w:color w:val="auto"/>
              </w:rPr>
            </w:pPr>
          </w:p>
        </w:tc>
        <w:tc>
          <w:tcPr>
            <w:tcW w:w="258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130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r>
      <w:tr>
        <w:trPr>
          <w:trHeight w:val="246"/>
        </w:trPr>
        <w:tc>
          <w:tcPr>
            <w:tcW w:w="3300" w:type="dxa"/>
            <w:vAlign w:val="bottom"/>
          </w:tcPr>
          <w:p>
            <w:pPr>
              <w:ind w:left="60"/>
              <w:spacing w:after="0"/>
              <w:rPr>
                <w:sz w:val="20"/>
                <w:szCs w:val="20"/>
                <w:color w:val="auto"/>
              </w:rPr>
            </w:pPr>
            <w:r>
              <w:rPr>
                <w:rFonts w:ascii="Arial" w:cs="Arial" w:eastAsia="Arial" w:hAnsi="Arial"/>
                <w:sz w:val="16"/>
                <w:szCs w:val="16"/>
                <w:b w:val="1"/>
                <w:bCs w:val="1"/>
                <w:color w:val="auto"/>
              </w:rPr>
              <w:t>Olivier G. Thirot</w:t>
            </w:r>
          </w:p>
        </w:tc>
        <w:tc>
          <w:tcPr>
            <w:tcW w:w="2580" w:type="dxa"/>
            <w:vAlign w:val="bottom"/>
          </w:tcPr>
          <w:p>
            <w:pPr>
              <w:ind w:left="1640"/>
              <w:spacing w:after="0"/>
              <w:rPr>
                <w:sz w:val="20"/>
                <w:szCs w:val="20"/>
                <w:color w:val="auto"/>
              </w:rPr>
            </w:pPr>
            <w:r>
              <w:rPr>
                <w:rFonts w:ascii="Arial" w:cs="Arial" w:eastAsia="Arial" w:hAnsi="Arial"/>
                <w:sz w:val="16"/>
                <w:szCs w:val="16"/>
                <w:color w:val="auto"/>
              </w:rPr>
              <w:t>$667,200</w:t>
            </w:r>
          </w:p>
        </w:tc>
        <w:tc>
          <w:tcPr>
            <w:tcW w:w="1140" w:type="dxa"/>
            <w:vAlign w:val="bottom"/>
          </w:tcPr>
          <w:p>
            <w:pPr>
              <w:jc w:val="right"/>
              <w:ind w:right="146"/>
              <w:spacing w:after="0"/>
              <w:rPr>
                <w:sz w:val="20"/>
                <w:szCs w:val="20"/>
                <w:color w:val="auto"/>
              </w:rPr>
            </w:pPr>
            <w:r>
              <w:rPr>
                <w:rFonts w:ascii="Arial" w:cs="Arial" w:eastAsia="Arial" w:hAnsi="Arial"/>
                <w:sz w:val="16"/>
                <w:szCs w:val="16"/>
                <w:color w:val="auto"/>
              </w:rPr>
              <w:t>85%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3"/>
              <w:spacing w:after="0"/>
              <w:rPr>
                <w:sz w:val="20"/>
                <w:szCs w:val="20"/>
                <w:color w:val="auto"/>
              </w:rPr>
            </w:pPr>
            <w:r>
              <w:rPr>
                <w:rFonts w:ascii="Arial" w:cs="Arial" w:eastAsia="Arial" w:hAnsi="Arial"/>
                <w:sz w:val="16"/>
                <w:szCs w:val="16"/>
                <w:color w:val="auto"/>
              </w:rPr>
              <w:t>567,120</w:t>
            </w:r>
          </w:p>
        </w:tc>
        <w:tc>
          <w:tcPr>
            <w:tcW w:w="1300" w:type="dxa"/>
            <w:vAlign w:val="bottom"/>
          </w:tcPr>
          <w:p>
            <w:pPr>
              <w:jc w:val="right"/>
              <w:ind w:right="146"/>
              <w:spacing w:after="0"/>
              <w:rPr>
                <w:sz w:val="20"/>
                <w:szCs w:val="20"/>
                <w:color w:val="auto"/>
              </w:rPr>
            </w:pPr>
            <w:r>
              <w:rPr>
                <w:rFonts w:ascii="Arial" w:cs="Arial" w:eastAsia="Arial" w:hAnsi="Arial"/>
                <w:sz w:val="16"/>
                <w:szCs w:val="16"/>
                <w:color w:val="auto"/>
              </w:rPr>
              <w:t>94.0%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533,093</w:t>
            </w:r>
          </w:p>
        </w:tc>
      </w:tr>
      <w:tr>
        <w:trPr>
          <w:trHeight w:val="46"/>
        </w:trPr>
        <w:tc>
          <w:tcPr>
            <w:tcW w:w="3300" w:type="dxa"/>
            <w:vAlign w:val="bottom"/>
            <w:tcBorders>
              <w:bottom w:val="single" w:sz="8" w:color="7F7F7F"/>
            </w:tcBorders>
          </w:tcPr>
          <w:p>
            <w:pPr>
              <w:spacing w:after="0"/>
              <w:rPr>
                <w:sz w:val="4"/>
                <w:szCs w:val="4"/>
                <w:color w:val="auto"/>
              </w:rPr>
            </w:pPr>
          </w:p>
        </w:tc>
        <w:tc>
          <w:tcPr>
            <w:tcW w:w="258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130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r>
      <w:tr>
        <w:trPr>
          <w:trHeight w:val="246"/>
        </w:trPr>
        <w:tc>
          <w:tcPr>
            <w:tcW w:w="3300" w:type="dxa"/>
            <w:vAlign w:val="bottom"/>
          </w:tcPr>
          <w:p>
            <w:pPr>
              <w:ind w:left="60"/>
              <w:spacing w:after="0"/>
              <w:rPr>
                <w:sz w:val="20"/>
                <w:szCs w:val="20"/>
                <w:color w:val="auto"/>
              </w:rPr>
            </w:pPr>
            <w:r>
              <w:rPr>
                <w:rFonts w:ascii="Arial" w:cs="Arial" w:eastAsia="Arial" w:hAnsi="Arial"/>
                <w:sz w:val="16"/>
                <w:szCs w:val="16"/>
                <w:b w:val="1"/>
                <w:bCs w:val="1"/>
                <w:color w:val="auto"/>
              </w:rPr>
              <w:t>Daniel H. Malan</w:t>
            </w:r>
          </w:p>
        </w:tc>
        <w:tc>
          <w:tcPr>
            <w:tcW w:w="2580" w:type="dxa"/>
            <w:vAlign w:val="bottom"/>
          </w:tcPr>
          <w:p>
            <w:pPr>
              <w:ind w:left="1640"/>
              <w:spacing w:after="0"/>
              <w:rPr>
                <w:sz w:val="20"/>
                <w:szCs w:val="20"/>
                <w:color w:val="auto"/>
              </w:rPr>
            </w:pPr>
            <w:r>
              <w:rPr>
                <w:rFonts w:ascii="Arial" w:cs="Arial" w:eastAsia="Arial" w:hAnsi="Arial"/>
                <w:sz w:val="16"/>
                <w:szCs w:val="16"/>
                <w:color w:val="auto"/>
              </w:rPr>
              <w:t>$443,000</w:t>
            </w:r>
          </w:p>
        </w:tc>
        <w:tc>
          <w:tcPr>
            <w:tcW w:w="1140" w:type="dxa"/>
            <w:vAlign w:val="bottom"/>
          </w:tcPr>
          <w:p>
            <w:pPr>
              <w:jc w:val="right"/>
              <w:ind w:right="146"/>
              <w:spacing w:after="0"/>
              <w:rPr>
                <w:sz w:val="20"/>
                <w:szCs w:val="20"/>
                <w:color w:val="auto"/>
              </w:rPr>
            </w:pPr>
            <w:r>
              <w:rPr>
                <w:rFonts w:ascii="Arial" w:cs="Arial" w:eastAsia="Arial" w:hAnsi="Arial"/>
                <w:sz w:val="16"/>
                <w:szCs w:val="16"/>
                <w:color w:val="auto"/>
              </w:rPr>
              <w:t>55%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3"/>
              <w:spacing w:after="0"/>
              <w:rPr>
                <w:sz w:val="20"/>
                <w:szCs w:val="20"/>
                <w:color w:val="auto"/>
              </w:rPr>
            </w:pPr>
            <w:r>
              <w:rPr>
                <w:rFonts w:ascii="Arial" w:cs="Arial" w:eastAsia="Arial" w:hAnsi="Arial"/>
                <w:sz w:val="16"/>
                <w:szCs w:val="16"/>
                <w:color w:val="auto"/>
              </w:rPr>
              <w:t>243,650</w:t>
            </w:r>
          </w:p>
        </w:tc>
        <w:tc>
          <w:tcPr>
            <w:tcW w:w="1300" w:type="dxa"/>
            <w:vAlign w:val="bottom"/>
          </w:tcPr>
          <w:p>
            <w:pPr>
              <w:jc w:val="right"/>
              <w:ind w:right="146"/>
              <w:spacing w:after="0"/>
              <w:rPr>
                <w:sz w:val="20"/>
                <w:szCs w:val="20"/>
                <w:color w:val="auto"/>
              </w:rPr>
            </w:pPr>
            <w:r>
              <w:rPr>
                <w:rFonts w:ascii="Arial" w:cs="Arial" w:eastAsia="Arial" w:hAnsi="Arial"/>
                <w:sz w:val="16"/>
                <w:szCs w:val="16"/>
                <w:color w:val="auto"/>
              </w:rPr>
              <w:t>100.0%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244,000</w:t>
            </w:r>
          </w:p>
        </w:tc>
      </w:tr>
      <w:tr>
        <w:trPr>
          <w:trHeight w:val="46"/>
        </w:trPr>
        <w:tc>
          <w:tcPr>
            <w:tcW w:w="3300" w:type="dxa"/>
            <w:vAlign w:val="bottom"/>
            <w:tcBorders>
              <w:bottom w:val="single" w:sz="8" w:color="7F7F7F"/>
            </w:tcBorders>
          </w:tcPr>
          <w:p>
            <w:pPr>
              <w:spacing w:after="0"/>
              <w:rPr>
                <w:sz w:val="4"/>
                <w:szCs w:val="4"/>
                <w:color w:val="auto"/>
              </w:rPr>
            </w:pPr>
          </w:p>
        </w:tc>
        <w:tc>
          <w:tcPr>
            <w:tcW w:w="258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130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r>
      <w:tr>
        <w:trPr>
          <w:trHeight w:val="246"/>
        </w:trPr>
        <w:tc>
          <w:tcPr>
            <w:tcW w:w="3300" w:type="dxa"/>
            <w:vAlign w:val="bottom"/>
          </w:tcPr>
          <w:p>
            <w:pPr>
              <w:ind w:left="60"/>
              <w:spacing w:after="0"/>
              <w:rPr>
                <w:sz w:val="20"/>
                <w:szCs w:val="20"/>
                <w:color w:val="auto"/>
              </w:rPr>
            </w:pPr>
            <w:r>
              <w:rPr>
                <w:rFonts w:ascii="Arial" w:cs="Arial" w:eastAsia="Arial" w:hAnsi="Arial"/>
                <w:sz w:val="16"/>
                <w:szCs w:val="16"/>
                <w:b w:val="1"/>
                <w:bCs w:val="1"/>
                <w:color w:val="auto"/>
              </w:rPr>
              <w:t>Vanessa P. Williams</w:t>
            </w:r>
          </w:p>
        </w:tc>
        <w:tc>
          <w:tcPr>
            <w:tcW w:w="2580" w:type="dxa"/>
            <w:vAlign w:val="bottom"/>
          </w:tcPr>
          <w:p>
            <w:pPr>
              <w:ind w:left="1640"/>
              <w:spacing w:after="0"/>
              <w:rPr>
                <w:sz w:val="20"/>
                <w:szCs w:val="20"/>
                <w:color w:val="auto"/>
              </w:rPr>
            </w:pPr>
            <w:r>
              <w:rPr>
                <w:rFonts w:ascii="Arial" w:cs="Arial" w:eastAsia="Arial" w:hAnsi="Arial"/>
                <w:sz w:val="16"/>
                <w:szCs w:val="16"/>
                <w:color w:val="auto"/>
              </w:rPr>
              <w:t>$473,827</w:t>
            </w:r>
          </w:p>
        </w:tc>
        <w:tc>
          <w:tcPr>
            <w:tcW w:w="1140" w:type="dxa"/>
            <w:vAlign w:val="bottom"/>
          </w:tcPr>
          <w:p>
            <w:pPr>
              <w:jc w:val="right"/>
              <w:ind w:right="146"/>
              <w:spacing w:after="0"/>
              <w:rPr>
                <w:sz w:val="20"/>
                <w:szCs w:val="20"/>
                <w:color w:val="auto"/>
              </w:rPr>
            </w:pPr>
            <w:r>
              <w:rPr>
                <w:rFonts w:ascii="Arial" w:cs="Arial" w:eastAsia="Arial" w:hAnsi="Arial"/>
                <w:sz w:val="16"/>
                <w:szCs w:val="16"/>
                <w:color w:val="auto"/>
              </w:rPr>
              <w:t>65%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3"/>
              <w:spacing w:after="0"/>
              <w:rPr>
                <w:sz w:val="20"/>
                <w:szCs w:val="20"/>
                <w:color w:val="auto"/>
              </w:rPr>
            </w:pPr>
            <w:r>
              <w:rPr>
                <w:rFonts w:ascii="Arial" w:cs="Arial" w:eastAsia="Arial" w:hAnsi="Arial"/>
                <w:sz w:val="16"/>
                <w:szCs w:val="16"/>
                <w:color w:val="auto"/>
              </w:rPr>
              <w:t>307,987</w:t>
            </w:r>
          </w:p>
        </w:tc>
        <w:tc>
          <w:tcPr>
            <w:tcW w:w="1300" w:type="dxa"/>
            <w:vAlign w:val="bottom"/>
          </w:tcPr>
          <w:p>
            <w:pPr>
              <w:jc w:val="right"/>
              <w:ind w:right="146"/>
              <w:spacing w:after="0"/>
              <w:rPr>
                <w:sz w:val="20"/>
                <w:szCs w:val="20"/>
                <w:color w:val="auto"/>
              </w:rPr>
            </w:pPr>
            <w:r>
              <w:rPr>
                <w:rFonts w:ascii="Arial" w:cs="Arial" w:eastAsia="Arial" w:hAnsi="Arial"/>
                <w:sz w:val="16"/>
                <w:szCs w:val="16"/>
                <w:color w:val="auto"/>
              </w:rPr>
              <w:t>105.5%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325,000</w:t>
            </w:r>
          </w:p>
        </w:tc>
      </w:tr>
      <w:tr>
        <w:trPr>
          <w:trHeight w:val="46"/>
        </w:trPr>
        <w:tc>
          <w:tcPr>
            <w:tcW w:w="3300" w:type="dxa"/>
            <w:vAlign w:val="bottom"/>
            <w:tcBorders>
              <w:bottom w:val="single" w:sz="8" w:color="7F7F7F"/>
            </w:tcBorders>
          </w:tcPr>
          <w:p>
            <w:pPr>
              <w:spacing w:after="0"/>
              <w:rPr>
                <w:sz w:val="4"/>
                <w:szCs w:val="4"/>
                <w:color w:val="auto"/>
              </w:rPr>
            </w:pPr>
          </w:p>
        </w:tc>
        <w:tc>
          <w:tcPr>
            <w:tcW w:w="258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130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r>
      <w:tr>
        <w:trPr>
          <w:trHeight w:val="246"/>
        </w:trPr>
        <w:tc>
          <w:tcPr>
            <w:tcW w:w="3300" w:type="dxa"/>
            <w:vAlign w:val="bottom"/>
          </w:tcPr>
          <w:p>
            <w:pPr>
              <w:ind w:left="60"/>
              <w:spacing w:after="0"/>
              <w:rPr>
                <w:sz w:val="20"/>
                <w:szCs w:val="20"/>
                <w:color w:val="auto"/>
              </w:rPr>
            </w:pPr>
            <w:r>
              <w:rPr>
                <w:rFonts w:ascii="Arial" w:cs="Arial" w:eastAsia="Arial" w:hAnsi="Arial"/>
                <w:sz w:val="16"/>
                <w:szCs w:val="16"/>
                <w:b w:val="1"/>
                <w:bCs w:val="1"/>
                <w:color w:val="auto"/>
              </w:rPr>
              <w:t>Dinette Koolhaas</w:t>
            </w:r>
          </w:p>
        </w:tc>
        <w:tc>
          <w:tcPr>
            <w:tcW w:w="2580" w:type="dxa"/>
            <w:vAlign w:val="bottom"/>
          </w:tcPr>
          <w:p>
            <w:pPr>
              <w:ind w:left="1640"/>
              <w:spacing w:after="0"/>
              <w:rPr>
                <w:sz w:val="20"/>
                <w:szCs w:val="20"/>
                <w:color w:val="auto"/>
              </w:rPr>
            </w:pPr>
            <w:r>
              <w:rPr>
                <w:rFonts w:ascii="Arial" w:cs="Arial" w:eastAsia="Arial" w:hAnsi="Arial"/>
                <w:sz w:val="16"/>
                <w:szCs w:val="16"/>
                <w:color w:val="auto"/>
              </w:rPr>
              <w:t>$557,668</w:t>
            </w:r>
          </w:p>
        </w:tc>
        <w:tc>
          <w:tcPr>
            <w:tcW w:w="1140" w:type="dxa"/>
            <w:vAlign w:val="bottom"/>
          </w:tcPr>
          <w:p>
            <w:pPr>
              <w:jc w:val="right"/>
              <w:ind w:right="146"/>
              <w:spacing w:after="0"/>
              <w:rPr>
                <w:sz w:val="20"/>
                <w:szCs w:val="20"/>
                <w:color w:val="auto"/>
              </w:rPr>
            </w:pPr>
            <w:r>
              <w:rPr>
                <w:rFonts w:ascii="Arial" w:cs="Arial" w:eastAsia="Arial" w:hAnsi="Arial"/>
                <w:sz w:val="16"/>
                <w:szCs w:val="16"/>
                <w:color w:val="auto"/>
              </w:rPr>
              <w:t>55%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3"/>
              <w:spacing w:after="0"/>
              <w:rPr>
                <w:sz w:val="20"/>
                <w:szCs w:val="20"/>
                <w:color w:val="auto"/>
              </w:rPr>
            </w:pPr>
            <w:r>
              <w:rPr>
                <w:rFonts w:ascii="Arial" w:cs="Arial" w:eastAsia="Arial" w:hAnsi="Arial"/>
                <w:sz w:val="16"/>
                <w:szCs w:val="16"/>
                <w:color w:val="auto"/>
              </w:rPr>
              <w:t>306,717</w:t>
            </w:r>
          </w:p>
        </w:tc>
        <w:tc>
          <w:tcPr>
            <w:tcW w:w="1300" w:type="dxa"/>
            <w:vAlign w:val="bottom"/>
          </w:tcPr>
          <w:p>
            <w:pPr>
              <w:jc w:val="right"/>
              <w:ind w:right="146"/>
              <w:spacing w:after="0"/>
              <w:rPr>
                <w:sz w:val="20"/>
                <w:szCs w:val="20"/>
                <w:color w:val="auto"/>
              </w:rPr>
            </w:pPr>
            <w:r>
              <w:rPr>
                <w:rFonts w:ascii="Arial" w:cs="Arial" w:eastAsia="Arial" w:hAnsi="Arial"/>
                <w:sz w:val="16"/>
                <w:szCs w:val="16"/>
                <w:color w:val="auto"/>
              </w:rPr>
              <w:t>0.0%</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6"/>
        </w:trPr>
        <w:tc>
          <w:tcPr>
            <w:tcW w:w="3300" w:type="dxa"/>
            <w:vAlign w:val="bottom"/>
            <w:tcBorders>
              <w:bottom w:val="single" w:sz="8" w:color="7F7F7F"/>
            </w:tcBorders>
          </w:tcPr>
          <w:p>
            <w:pPr>
              <w:spacing w:after="0"/>
              <w:rPr>
                <w:sz w:val="4"/>
                <w:szCs w:val="4"/>
                <w:color w:val="auto"/>
              </w:rPr>
            </w:pPr>
          </w:p>
        </w:tc>
        <w:tc>
          <w:tcPr>
            <w:tcW w:w="258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130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r>
    </w:tbl>
    <w:p>
      <w:pPr>
        <w:spacing w:after="0" w:line="19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Notes:</w:t>
      </w:r>
    </w:p>
    <w:p>
      <w:pPr>
        <w:spacing w:after="0" w:line="78" w:lineRule="exact"/>
        <w:rPr>
          <w:sz w:val="20"/>
          <w:szCs w:val="20"/>
          <w:color w:val="auto"/>
        </w:rPr>
      </w:pPr>
    </w:p>
    <w:p>
      <w:pPr>
        <w:ind w:left="840" w:hanging="316"/>
        <w:spacing w:after="0"/>
        <w:tabs>
          <w:tab w:leader="none" w:pos="8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2023 STIP Payout amounts for Mr. Malan and Ms. Williams rounded to the nearest thousand;</w:t>
      </w:r>
    </w:p>
    <w:p>
      <w:pPr>
        <w:spacing w:after="0" w:line="76" w:lineRule="exact"/>
        <w:rPr>
          <w:rFonts w:ascii="Arial" w:cs="Arial" w:eastAsia="Arial" w:hAnsi="Arial"/>
          <w:sz w:val="16"/>
          <w:szCs w:val="16"/>
          <w:color w:val="auto"/>
        </w:rPr>
      </w:pPr>
    </w:p>
    <w:p>
      <w:pPr>
        <w:ind w:left="840" w:hanging="316"/>
        <w:spacing w:after="0"/>
        <w:tabs>
          <w:tab w:leader="none" w:pos="8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Quigley’s final payout percentage of 94% was determined by the Committee based on overall assessment of the Company’s 2023 results;</w:t>
      </w:r>
    </w:p>
    <w:p>
      <w:pPr>
        <w:spacing w:after="0" w:line="76" w:lineRule="exact"/>
        <w:rPr>
          <w:rFonts w:ascii="Arial" w:cs="Arial" w:eastAsia="Arial" w:hAnsi="Arial"/>
          <w:sz w:val="16"/>
          <w:szCs w:val="16"/>
          <w:color w:val="auto"/>
        </w:rPr>
      </w:pPr>
    </w:p>
    <w:p>
      <w:pPr>
        <w:ind w:left="840" w:right="100" w:hanging="316"/>
        <w:spacing w:after="0" w:line="265" w:lineRule="auto"/>
        <w:tabs>
          <w:tab w:leader="none" w:pos="8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consistency, Mr. Thirot’s and Ms. Koolhaas’ amounts shown in USD using the IRS Yearly Average Currency Exchange Rate for Switzerland of 1.112. The actual exchange rate reflects the then-current rate; and</w:t>
      </w:r>
    </w:p>
    <w:p>
      <w:pPr>
        <w:spacing w:after="0" w:line="23" w:lineRule="exact"/>
        <w:rPr>
          <w:sz w:val="20"/>
          <w:szCs w:val="20"/>
          <w:color w:val="auto"/>
        </w:rPr>
      </w:pPr>
    </w:p>
    <w:p>
      <w:pPr>
        <w:ind w:left="320" w:right="120"/>
        <w:spacing w:after="0" w:line="251" w:lineRule="auto"/>
        <w:rPr>
          <w:sz w:val="20"/>
          <w:szCs w:val="20"/>
          <w:color w:val="auto"/>
        </w:rPr>
      </w:pPr>
      <w:r>
        <w:rPr>
          <w:rFonts w:ascii="Arial" w:cs="Arial" w:eastAsia="Arial" w:hAnsi="Arial"/>
          <w:sz w:val="16"/>
          <w:szCs w:val="16"/>
          <w:color w:val="auto"/>
        </w:rPr>
        <w:t>As part of the sale of our EMEA staffing operations, Ms. Koolhaas’ employment with the Company terminated March 31, 2024. As a result, she was not entitled to a payment under the STIP, and instead received a termination payment as detailed in the “Potential Payments Upon Termination or Change in Control 2023” below.</w:t>
      </w:r>
    </w:p>
    <w:p>
      <w:pPr>
        <w:spacing w:after="0" w:line="49"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56 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Long-Term Incentives</w:t>
      </w:r>
    </w:p>
    <w:p>
      <w:pPr>
        <w:spacing w:after="0" w:line="76" w:lineRule="exact"/>
        <w:rPr>
          <w:sz w:val="20"/>
          <w:szCs w:val="20"/>
          <w:color w:val="auto"/>
        </w:rPr>
      </w:pPr>
    </w:p>
    <w:p>
      <w:pPr>
        <w:ind w:left="320" w:right="380"/>
        <w:spacing w:after="0" w:line="246" w:lineRule="auto"/>
        <w:rPr>
          <w:sz w:val="20"/>
          <w:szCs w:val="20"/>
          <w:color w:val="auto"/>
        </w:rPr>
      </w:pPr>
      <w:r>
        <w:rPr>
          <w:rFonts w:ascii="Arial" w:cs="Arial" w:eastAsia="Arial" w:hAnsi="Arial"/>
          <w:sz w:val="16"/>
          <w:szCs w:val="16"/>
          <w:color w:val="auto"/>
        </w:rPr>
        <w:t>The EIP provides for long-term incentives that reward executives for achieving the Company’s long-term growth and profitability goals. Long-term incentive compensation is also intended to help the Company retain key employees, and provide those employees shared financial interests with the Company’s shareholders and positively influence their job performance and longer-term strategic focus. The EIP allows for grants of equity and non-equity awards to key employees.</w:t>
      </w:r>
    </w:p>
    <w:p>
      <w:pPr>
        <w:spacing w:after="0" w:line="39" w:lineRule="exact"/>
        <w:rPr>
          <w:sz w:val="20"/>
          <w:szCs w:val="20"/>
          <w:color w:val="auto"/>
        </w:rPr>
      </w:pPr>
    </w:p>
    <w:p>
      <w:pPr>
        <w:ind w:left="320" w:right="80"/>
        <w:spacing w:after="0" w:line="243" w:lineRule="auto"/>
        <w:rPr>
          <w:sz w:val="20"/>
          <w:szCs w:val="20"/>
          <w:color w:val="auto"/>
        </w:rPr>
      </w:pPr>
      <w:r>
        <w:rPr>
          <w:rFonts w:ascii="Arial" w:cs="Arial" w:eastAsia="Arial" w:hAnsi="Arial"/>
          <w:sz w:val="16"/>
          <w:szCs w:val="16"/>
          <w:color w:val="auto"/>
        </w:rPr>
        <w:t>The Committee believes that compensation programs for the Company’s senior officers should include strong alignment between pay and performance, with a significant portion of “at risk” pay. As a result, the Committee has provided regular long-term incentives for senior officers, including the named executive officers that heavily emphasize performance. In 2023 our CEO continued to receive a heavily performance-based LTI grant with 75% weighting in performance shares (at target) and 25% in restricted stock. All other named executive officer’s LTI awards were 60% performance shares (at target) and 40% restricted stock. The typical incentive mix emphasizes performance-contingent awards delivered through performance shares and places a lower weighting on restricted shares.</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average, target LTI awards granted to senior officers have historically been and remained below market median for 2023. The target LTI award</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amounts for each senior officer, including the named executive officers, are based on an established value for each officer level. The number of shares</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granted to each named executive officer is based on the grant value and closing stock price on the date of grant and can be found in the “Grants of Plan-</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Based Awards” table,</w:t>
      </w:r>
    </w:p>
    <w:p>
      <w:pPr>
        <w:ind w:left="320"/>
        <w:spacing w:after="0"/>
        <w:rPr>
          <w:sz w:val="20"/>
          <w:szCs w:val="20"/>
          <w:color w:val="auto"/>
        </w:rPr>
      </w:pPr>
      <w:r>
        <w:rPr>
          <w:rFonts w:ascii="Arial" w:cs="Arial" w:eastAsia="Arial" w:hAnsi="Arial"/>
          <w:sz w:val="16"/>
          <w:szCs w:val="16"/>
          <w:color w:val="auto"/>
        </w:rPr>
        <w:t>later in this document.</w:t>
      </w:r>
    </w:p>
    <w:p>
      <w:pPr>
        <w:spacing w:after="0" w:line="62" w:lineRule="exact"/>
        <w:rPr>
          <w:sz w:val="20"/>
          <w:szCs w:val="20"/>
          <w:color w:val="auto"/>
        </w:rPr>
      </w:pPr>
    </w:p>
    <w:p>
      <w:pPr>
        <w:ind w:left="320" w:right="240"/>
        <w:spacing w:after="0" w:line="288" w:lineRule="auto"/>
        <w:rPr>
          <w:sz w:val="20"/>
          <w:szCs w:val="20"/>
          <w:color w:val="auto"/>
        </w:rPr>
      </w:pPr>
      <w:r>
        <w:rPr>
          <w:rFonts w:ascii="Arial" w:cs="Arial" w:eastAsia="Arial" w:hAnsi="Arial"/>
          <w:sz w:val="14"/>
          <w:szCs w:val="14"/>
          <w:color w:val="auto"/>
        </w:rPr>
        <w:t>Performance measures used for purposes of funding LTI are the same as defined in the Company’s GAAP financial statements, excluding at the discretion of the Committee consideration of special items such as: changes in accounting, principles, gains or losses on acquisitions or divestitures, changes in budget due to acquisitions or divestitures, restructuring expenses, and other unusual items, which are defined as such and quantified in the financial statements, and/or footnotes to the Company’s Annual Report on Form 10-K. Adjustments would apply only to unbudgeted items. For 2023, additional consideration was made to certain special items related to the Company’s restructuring and EMEA divestiture.</w:t>
      </w:r>
    </w:p>
    <w:p>
      <w:pPr>
        <w:spacing w:after="0" w:line="10" w:lineRule="exact"/>
        <w:rPr>
          <w:sz w:val="20"/>
          <w:szCs w:val="20"/>
          <w:color w:val="auto"/>
        </w:rPr>
      </w:pPr>
    </w:p>
    <w:p>
      <w:pPr>
        <w:ind w:left="320" w:right="120"/>
        <w:spacing w:after="0" w:line="251" w:lineRule="auto"/>
        <w:rPr>
          <w:sz w:val="20"/>
          <w:szCs w:val="20"/>
          <w:color w:val="auto"/>
        </w:rPr>
      </w:pPr>
      <w:r>
        <w:rPr>
          <w:rFonts w:ascii="Arial" w:cs="Arial" w:eastAsia="Arial" w:hAnsi="Arial"/>
          <w:sz w:val="16"/>
          <w:szCs w:val="16"/>
          <w:color w:val="auto"/>
        </w:rPr>
        <w:t>Under the terms of the EIP, the Committee retains the right in its discretion to reduce an LTI award based on individual performance. The Committee has no discretion to increase an LTI award for named executive officers. LTI grants and any performance-based awards made under the EIP are subject to the Company’s Clawback Policy.</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6"/>
          <w:szCs w:val="16"/>
          <w:i w:val="1"/>
          <w:iCs w:val="1"/>
          <w:u w:val="single" w:color="auto"/>
          <w:color w:val="auto"/>
        </w:rPr>
        <w:t>Performance Shares</w:t>
      </w:r>
    </w:p>
    <w:p>
      <w:pPr>
        <w:spacing w:after="0" w:line="63" w:lineRule="exact"/>
        <w:rPr>
          <w:sz w:val="20"/>
          <w:szCs w:val="20"/>
          <w:color w:val="auto"/>
        </w:rPr>
      </w:pPr>
    </w:p>
    <w:p>
      <w:pPr>
        <w:ind w:left="320" w:right="60"/>
        <w:spacing w:after="0" w:line="241" w:lineRule="auto"/>
        <w:rPr>
          <w:sz w:val="20"/>
          <w:szCs w:val="20"/>
          <w:color w:val="auto"/>
        </w:rPr>
      </w:pPr>
      <w:r>
        <w:rPr>
          <w:rFonts w:ascii="Arial" w:cs="Arial" w:eastAsia="Arial" w:hAnsi="Arial"/>
          <w:sz w:val="16"/>
          <w:szCs w:val="16"/>
          <w:color w:val="auto"/>
        </w:rPr>
        <w:t>Performance shares provide senior officers with the opportunity to earn shares, from zero to 200% of their target opportunity, based on achievement of pre-established measures and goals. For achievement of threshold performance, 50% of target performance shares would be earned; for achievement of target performance, 100% of target performance shares would be earned; and for achievement of maximum performance or higher, 200% of target performance shares would be earned under the typical long-term incentive design. Threshold goals are typically set at levels the Committee believes appropriate to start earning incentives. Target goals are set at budgeted levels, which are considered “challenging but achievable”. Maximum goals are set at significant stretch levels which the Committee believes warrant the earning of two times target payout. Straight line interpolation occurs for achievement of performance between threshold and target, and between target and maximum. Performance awards are granted in the form of Performance Share Units, which are not eligible for dividends or dividend equivalents.</w:t>
      </w:r>
    </w:p>
    <w:p>
      <w:pPr>
        <w:spacing w:after="0" w:line="57" w:lineRule="exact"/>
        <w:rPr>
          <w:sz w:val="20"/>
          <w:szCs w:val="20"/>
          <w:color w:val="auto"/>
        </w:rPr>
      </w:pPr>
    </w:p>
    <w:p>
      <w:pPr>
        <w:ind w:left="320" w:right="40"/>
        <w:spacing w:after="0" w:line="241" w:lineRule="auto"/>
        <w:rPr>
          <w:sz w:val="20"/>
          <w:szCs w:val="20"/>
          <w:color w:val="auto"/>
        </w:rPr>
      </w:pPr>
      <w:r>
        <w:rPr>
          <w:rFonts w:ascii="Arial" w:cs="Arial" w:eastAsia="Arial" w:hAnsi="Arial"/>
          <w:sz w:val="16"/>
          <w:szCs w:val="16"/>
          <w:color w:val="auto"/>
        </w:rPr>
        <w:t>For the 2023-2025 grant of performance shares, the two equally weighted financial measures, revenue growth and EBITDA margin, have one-year goals established for each of the three performance periods (2023, 2024, and 2025) that are set in the beginning of each performance period. This design provides the ability to set meaningful goals that deliver profitable growth in the continued unpredictable economic climate. In March 2023, the Committee approved goals at threshold, target, and maximum levels of performance for each of the measures for 2023. At the end of the 2023 performance period in early 2024, results for each of the two financial measures, determined the achievement and earning of shares. For the 2024 performance period, goals will be approved in early 2024 with results being reviewed in early 2025, and the 2025 performance period goals will be approved in early 2025. Any earned shares will vest 100% upon Committee approval on the third anniversary of the grant (February 2026).</w:t>
      </w:r>
    </w:p>
    <w:p>
      <w:pPr>
        <w:spacing w:after="0" w:line="5" w:lineRule="exact"/>
        <w:rPr>
          <w:sz w:val="20"/>
          <w:szCs w:val="20"/>
          <w:color w:val="auto"/>
        </w:rPr>
      </w:pP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-222250</wp:posOffset>
            </wp:positionV>
            <wp:extent cx="8255" cy="2228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target number of performance shares were awarded for each performance measure to the named executive officers in 2023:</w:t>
      </w: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0A9E50"/>
        </w:rPr>
        <w:t>Target Number of 2023-2025 Performance Shares Awarded</w:t>
      </w:r>
    </w:p>
    <w:p>
      <w:pPr>
        <w:spacing w:after="0" w:line="31"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742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jc w:val="right"/>
              <w:ind w:right="64"/>
              <w:spacing w:after="0"/>
              <w:rPr>
                <w:sz w:val="20"/>
                <w:szCs w:val="20"/>
                <w:color w:val="auto"/>
              </w:rPr>
            </w:pPr>
            <w:r>
              <w:rPr>
                <w:rFonts w:ascii="Arial" w:cs="Arial" w:eastAsia="Arial" w:hAnsi="Arial"/>
                <w:sz w:val="14"/>
                <w:szCs w:val="14"/>
                <w:b w:val="1"/>
                <w:bCs w:val="1"/>
                <w:color w:val="0A9E50"/>
              </w:rPr>
              <w:t>Financial Measures</w:t>
            </w:r>
          </w:p>
        </w:tc>
        <w:tc>
          <w:tcPr>
            <w:tcW w:w="1380" w:type="dxa"/>
            <w:vAlign w:val="bottom"/>
            <w:tcBorders>
              <w:top w:val="single" w:sz="8" w:color="auto"/>
            </w:tcBorders>
          </w:tcPr>
          <w:p>
            <w:pPr>
              <w:jc w:val="center"/>
              <w:ind w:right="26"/>
              <w:spacing w:after="0"/>
              <w:rPr>
                <w:sz w:val="20"/>
                <w:szCs w:val="20"/>
                <w:color w:val="auto"/>
              </w:rPr>
            </w:pPr>
            <w:r>
              <w:rPr>
                <w:rFonts w:ascii="Arial" w:cs="Arial" w:eastAsia="Arial" w:hAnsi="Arial"/>
                <w:sz w:val="14"/>
                <w:szCs w:val="14"/>
                <w:b w:val="1"/>
                <w:bCs w:val="1"/>
                <w:color w:val="0A9E50"/>
                <w:w w:val="96"/>
              </w:rPr>
              <w:t>Total Number of</w:t>
            </w:r>
          </w:p>
        </w:tc>
        <w:tc>
          <w:tcPr>
            <w:tcW w:w="0" w:type="dxa"/>
            <w:vAlign w:val="bottom"/>
          </w:tcPr>
          <w:p>
            <w:pPr>
              <w:spacing w:after="0"/>
              <w:rPr>
                <w:sz w:val="1"/>
                <w:szCs w:val="1"/>
                <w:color w:val="auto"/>
              </w:rPr>
            </w:pPr>
          </w:p>
        </w:tc>
      </w:tr>
      <w:tr>
        <w:trPr>
          <w:trHeight w:val="52"/>
        </w:trPr>
        <w:tc>
          <w:tcPr>
            <w:tcW w:w="74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80" w:type="dxa"/>
            <w:vAlign w:val="bottom"/>
            <w:vMerge w:val="restart"/>
          </w:tcPr>
          <w:p>
            <w:pPr>
              <w:jc w:val="center"/>
              <w:ind w:right="26"/>
              <w:spacing w:after="0" w:line="134" w:lineRule="exact"/>
              <w:rPr>
                <w:sz w:val="20"/>
                <w:szCs w:val="20"/>
                <w:color w:val="auto"/>
              </w:rPr>
            </w:pPr>
            <w:r>
              <w:rPr>
                <w:rFonts w:ascii="Arial" w:cs="Arial" w:eastAsia="Arial" w:hAnsi="Arial"/>
                <w:sz w:val="14"/>
                <w:szCs w:val="14"/>
                <w:b w:val="1"/>
                <w:bCs w:val="1"/>
                <w:color w:val="0A9E50"/>
                <w:w w:val="98"/>
              </w:rPr>
              <w:t>Performance</w:t>
            </w:r>
          </w:p>
        </w:tc>
        <w:tc>
          <w:tcPr>
            <w:tcW w:w="0" w:type="dxa"/>
            <w:vAlign w:val="bottom"/>
          </w:tcPr>
          <w:p>
            <w:pPr>
              <w:spacing w:after="0"/>
              <w:rPr>
                <w:sz w:val="1"/>
                <w:szCs w:val="1"/>
                <w:color w:val="auto"/>
              </w:rPr>
            </w:pPr>
          </w:p>
        </w:tc>
      </w:tr>
      <w:tr>
        <w:trPr>
          <w:trHeight w:val="62"/>
        </w:trPr>
        <w:tc>
          <w:tcPr>
            <w:tcW w:w="74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7420" w:type="dxa"/>
            <w:vAlign w:val="bottom"/>
          </w:tcPr>
          <w:p>
            <w:pPr>
              <w:spacing w:after="0"/>
              <w:rPr>
                <w:sz w:val="13"/>
                <w:szCs w:val="13"/>
                <w:color w:val="auto"/>
              </w:rPr>
            </w:pPr>
          </w:p>
        </w:tc>
        <w:tc>
          <w:tcPr>
            <w:tcW w:w="1060" w:type="dxa"/>
            <w:vAlign w:val="bottom"/>
          </w:tcPr>
          <w:p>
            <w:pPr>
              <w:jc w:val="right"/>
              <w:ind w:right="105"/>
              <w:spacing w:after="0" w:line="156" w:lineRule="exact"/>
              <w:rPr>
                <w:sz w:val="20"/>
                <w:szCs w:val="20"/>
                <w:color w:val="auto"/>
              </w:rPr>
            </w:pPr>
            <w:r>
              <w:rPr>
                <w:rFonts w:ascii="Arial" w:cs="Arial" w:eastAsia="Arial" w:hAnsi="Arial"/>
                <w:sz w:val="14"/>
                <w:szCs w:val="14"/>
                <w:b w:val="1"/>
                <w:bCs w:val="1"/>
                <w:color w:val="0A9E50"/>
              </w:rPr>
              <w:t>Revenue</w:t>
            </w:r>
          </w:p>
        </w:tc>
        <w:tc>
          <w:tcPr>
            <w:tcW w:w="760" w:type="dxa"/>
            <w:vAlign w:val="bottom"/>
          </w:tcPr>
          <w:p>
            <w:pPr>
              <w:jc w:val="right"/>
              <w:spacing w:after="0" w:line="156" w:lineRule="exact"/>
              <w:rPr>
                <w:sz w:val="20"/>
                <w:szCs w:val="20"/>
                <w:color w:val="auto"/>
              </w:rPr>
            </w:pPr>
            <w:r>
              <w:rPr>
                <w:rFonts w:ascii="Arial" w:cs="Arial" w:eastAsia="Arial" w:hAnsi="Arial"/>
                <w:sz w:val="14"/>
                <w:szCs w:val="14"/>
                <w:b w:val="1"/>
                <w:bCs w:val="1"/>
                <w:color w:val="0A9E50"/>
              </w:rPr>
              <w:t>EBITDA</w:t>
            </w:r>
          </w:p>
        </w:tc>
        <w:tc>
          <w:tcPr>
            <w:tcW w:w="1380" w:type="dxa"/>
            <w:vAlign w:val="bottom"/>
          </w:tcPr>
          <w:p>
            <w:pPr>
              <w:jc w:val="center"/>
              <w:ind w:right="46"/>
              <w:spacing w:after="0" w:line="156" w:lineRule="exact"/>
              <w:rPr>
                <w:sz w:val="20"/>
                <w:szCs w:val="20"/>
                <w:color w:val="auto"/>
              </w:rPr>
            </w:pPr>
            <w:r>
              <w:rPr>
                <w:rFonts w:ascii="Arial" w:cs="Arial" w:eastAsia="Arial" w:hAnsi="Arial"/>
                <w:sz w:val="14"/>
                <w:szCs w:val="14"/>
                <w:b w:val="1"/>
                <w:bCs w:val="1"/>
                <w:color w:val="0A9E50"/>
                <w:w w:val="98"/>
              </w:rPr>
              <w:t>Shares</w:t>
            </w:r>
          </w:p>
        </w:tc>
        <w:tc>
          <w:tcPr>
            <w:tcW w:w="0" w:type="dxa"/>
            <w:vAlign w:val="bottom"/>
          </w:tcPr>
          <w:p>
            <w:pPr>
              <w:spacing w:after="0"/>
              <w:rPr>
                <w:sz w:val="1"/>
                <w:szCs w:val="1"/>
                <w:color w:val="auto"/>
              </w:rPr>
            </w:pPr>
          </w:p>
        </w:tc>
      </w:tr>
      <w:tr>
        <w:trPr>
          <w:trHeight w:val="192"/>
        </w:trPr>
        <w:tc>
          <w:tcPr>
            <w:tcW w:w="7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Name</w:t>
            </w:r>
          </w:p>
        </w:tc>
        <w:tc>
          <w:tcPr>
            <w:tcW w:w="106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0A9E50"/>
              </w:rPr>
              <w:t>Growth</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0A9E50"/>
              </w:rPr>
              <w:t>Margin</w:t>
            </w:r>
          </w:p>
        </w:tc>
        <w:tc>
          <w:tcPr>
            <w:tcW w:w="138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0A9E50"/>
                <w:w w:val="99"/>
              </w:rPr>
              <w:t>@ Target</w:t>
            </w:r>
          </w:p>
        </w:tc>
        <w:tc>
          <w:tcPr>
            <w:tcW w:w="0" w:type="dxa"/>
            <w:vAlign w:val="bottom"/>
          </w:tcPr>
          <w:p>
            <w:pPr>
              <w:spacing w:after="0"/>
              <w:rPr>
                <w:sz w:val="1"/>
                <w:szCs w:val="1"/>
                <w:color w:val="auto"/>
              </w:rPr>
            </w:pPr>
          </w:p>
        </w:tc>
      </w:tr>
      <w:tr>
        <w:trPr>
          <w:trHeight w:val="208"/>
        </w:trPr>
        <w:tc>
          <w:tcPr>
            <w:tcW w:w="7420" w:type="dxa"/>
            <w:vAlign w:val="bottom"/>
          </w:tcPr>
          <w:p>
            <w:pPr>
              <w:spacing w:after="0"/>
              <w:rPr>
                <w:sz w:val="20"/>
                <w:szCs w:val="20"/>
                <w:color w:val="auto"/>
              </w:rPr>
            </w:pPr>
            <w:r>
              <w:rPr>
                <w:rFonts w:ascii="Arial" w:cs="Arial" w:eastAsia="Arial" w:hAnsi="Arial"/>
                <w:sz w:val="16"/>
                <w:szCs w:val="16"/>
                <w:b w:val="1"/>
                <w:bCs w:val="1"/>
                <w:color w:val="auto"/>
              </w:rPr>
              <w:t>  Peter W. Quigley</w:t>
            </w:r>
          </w:p>
        </w:tc>
        <w:tc>
          <w:tcPr>
            <w:tcW w:w="1060" w:type="dxa"/>
            <w:vAlign w:val="bottom"/>
          </w:tcPr>
          <w:p>
            <w:pPr>
              <w:jc w:val="right"/>
              <w:ind w:right="105"/>
              <w:spacing w:after="0"/>
              <w:rPr>
                <w:sz w:val="20"/>
                <w:szCs w:val="20"/>
                <w:color w:val="auto"/>
              </w:rPr>
            </w:pPr>
            <w:r>
              <w:rPr>
                <w:rFonts w:ascii="Arial" w:cs="Arial" w:eastAsia="Arial" w:hAnsi="Arial"/>
                <w:sz w:val="16"/>
                <w:szCs w:val="16"/>
                <w:color w:val="auto"/>
              </w:rPr>
              <w:t>52,636</w:t>
            </w:r>
          </w:p>
        </w:tc>
        <w:tc>
          <w:tcPr>
            <w:tcW w:w="760" w:type="dxa"/>
            <w:vAlign w:val="bottom"/>
          </w:tcPr>
          <w:p>
            <w:pPr>
              <w:jc w:val="right"/>
              <w:spacing w:after="0"/>
              <w:rPr>
                <w:sz w:val="20"/>
                <w:szCs w:val="20"/>
                <w:color w:val="auto"/>
              </w:rPr>
            </w:pPr>
            <w:r>
              <w:rPr>
                <w:rFonts w:ascii="Arial" w:cs="Arial" w:eastAsia="Arial" w:hAnsi="Arial"/>
                <w:sz w:val="16"/>
                <w:szCs w:val="16"/>
                <w:color w:val="auto"/>
              </w:rPr>
              <w:t>52,636</w:t>
            </w:r>
          </w:p>
        </w:tc>
        <w:tc>
          <w:tcPr>
            <w:tcW w:w="1380" w:type="dxa"/>
            <w:vAlign w:val="bottom"/>
          </w:tcPr>
          <w:p>
            <w:pPr>
              <w:jc w:val="right"/>
              <w:ind w:right="146"/>
              <w:spacing w:after="0"/>
              <w:rPr>
                <w:sz w:val="20"/>
                <w:szCs w:val="20"/>
                <w:color w:val="auto"/>
              </w:rPr>
            </w:pPr>
            <w:r>
              <w:rPr>
                <w:rFonts w:ascii="Arial" w:cs="Arial" w:eastAsia="Arial" w:hAnsi="Arial"/>
                <w:sz w:val="16"/>
                <w:szCs w:val="16"/>
                <w:color w:val="auto"/>
              </w:rPr>
              <w:t>105,272</w:t>
            </w:r>
          </w:p>
        </w:tc>
        <w:tc>
          <w:tcPr>
            <w:tcW w:w="0" w:type="dxa"/>
            <w:vAlign w:val="bottom"/>
          </w:tcPr>
          <w:p>
            <w:pPr>
              <w:spacing w:after="0"/>
              <w:rPr>
                <w:sz w:val="1"/>
                <w:szCs w:val="1"/>
                <w:color w:val="auto"/>
              </w:rPr>
            </w:pPr>
          </w:p>
        </w:tc>
      </w:tr>
      <w:tr>
        <w:trPr>
          <w:trHeight w:val="45"/>
        </w:trPr>
        <w:tc>
          <w:tcPr>
            <w:tcW w:w="7420" w:type="dxa"/>
            <w:vAlign w:val="bottom"/>
            <w:tcBorders>
              <w:bottom w:val="single" w:sz="8" w:color="7F7F7F"/>
            </w:tcBorders>
          </w:tcPr>
          <w:p>
            <w:pPr>
              <w:spacing w:after="0"/>
              <w:rPr>
                <w:sz w:val="3"/>
                <w:szCs w:val="3"/>
                <w:color w:val="auto"/>
              </w:rPr>
            </w:pPr>
          </w:p>
        </w:tc>
        <w:tc>
          <w:tcPr>
            <w:tcW w:w="106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7420" w:type="dxa"/>
            <w:vAlign w:val="bottom"/>
          </w:tcPr>
          <w:p>
            <w:pPr>
              <w:spacing w:after="0"/>
              <w:rPr>
                <w:sz w:val="20"/>
                <w:szCs w:val="20"/>
                <w:color w:val="auto"/>
              </w:rPr>
            </w:pPr>
            <w:r>
              <w:rPr>
                <w:rFonts w:ascii="Arial" w:cs="Arial" w:eastAsia="Arial" w:hAnsi="Arial"/>
                <w:sz w:val="16"/>
                <w:szCs w:val="16"/>
                <w:b w:val="1"/>
                <w:bCs w:val="1"/>
                <w:color w:val="auto"/>
              </w:rPr>
              <w:t>  Olivier G. Thirot</w:t>
            </w:r>
          </w:p>
        </w:tc>
        <w:tc>
          <w:tcPr>
            <w:tcW w:w="1060" w:type="dxa"/>
            <w:vAlign w:val="bottom"/>
          </w:tcPr>
          <w:p>
            <w:pPr>
              <w:jc w:val="right"/>
              <w:ind w:right="105"/>
              <w:spacing w:after="0"/>
              <w:rPr>
                <w:sz w:val="20"/>
                <w:szCs w:val="20"/>
                <w:color w:val="auto"/>
              </w:rPr>
            </w:pPr>
            <w:r>
              <w:rPr>
                <w:rFonts w:ascii="Arial" w:cs="Arial" w:eastAsia="Arial" w:hAnsi="Arial"/>
                <w:sz w:val="16"/>
                <w:szCs w:val="16"/>
                <w:color w:val="auto"/>
              </w:rPr>
              <w:t>17,354</w:t>
            </w:r>
          </w:p>
        </w:tc>
        <w:tc>
          <w:tcPr>
            <w:tcW w:w="760" w:type="dxa"/>
            <w:vAlign w:val="bottom"/>
          </w:tcPr>
          <w:p>
            <w:pPr>
              <w:jc w:val="right"/>
              <w:spacing w:after="0"/>
              <w:rPr>
                <w:sz w:val="20"/>
                <w:szCs w:val="20"/>
                <w:color w:val="auto"/>
              </w:rPr>
            </w:pPr>
            <w:r>
              <w:rPr>
                <w:rFonts w:ascii="Arial" w:cs="Arial" w:eastAsia="Arial" w:hAnsi="Arial"/>
                <w:sz w:val="16"/>
                <w:szCs w:val="16"/>
                <w:color w:val="auto"/>
              </w:rPr>
              <w:t>17,354</w:t>
            </w:r>
          </w:p>
        </w:tc>
        <w:tc>
          <w:tcPr>
            <w:tcW w:w="1380" w:type="dxa"/>
            <w:vAlign w:val="bottom"/>
          </w:tcPr>
          <w:p>
            <w:pPr>
              <w:jc w:val="right"/>
              <w:ind w:right="146"/>
              <w:spacing w:after="0"/>
              <w:rPr>
                <w:sz w:val="20"/>
                <w:szCs w:val="20"/>
                <w:color w:val="auto"/>
              </w:rPr>
            </w:pPr>
            <w:r>
              <w:rPr>
                <w:rFonts w:ascii="Arial" w:cs="Arial" w:eastAsia="Arial" w:hAnsi="Arial"/>
                <w:sz w:val="16"/>
                <w:szCs w:val="16"/>
                <w:color w:val="auto"/>
              </w:rPr>
              <w:t>34,708</w:t>
            </w:r>
          </w:p>
        </w:tc>
        <w:tc>
          <w:tcPr>
            <w:tcW w:w="0" w:type="dxa"/>
            <w:vAlign w:val="bottom"/>
          </w:tcPr>
          <w:p>
            <w:pPr>
              <w:spacing w:after="0"/>
              <w:rPr>
                <w:sz w:val="1"/>
                <w:szCs w:val="1"/>
                <w:color w:val="auto"/>
              </w:rPr>
            </w:pPr>
          </w:p>
        </w:tc>
      </w:tr>
      <w:tr>
        <w:trPr>
          <w:trHeight w:val="45"/>
        </w:trPr>
        <w:tc>
          <w:tcPr>
            <w:tcW w:w="7420" w:type="dxa"/>
            <w:vAlign w:val="bottom"/>
            <w:tcBorders>
              <w:bottom w:val="single" w:sz="8" w:color="7F7F7F"/>
            </w:tcBorders>
          </w:tcPr>
          <w:p>
            <w:pPr>
              <w:spacing w:after="0"/>
              <w:rPr>
                <w:sz w:val="3"/>
                <w:szCs w:val="3"/>
                <w:color w:val="auto"/>
              </w:rPr>
            </w:pPr>
          </w:p>
        </w:tc>
        <w:tc>
          <w:tcPr>
            <w:tcW w:w="106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7420" w:type="dxa"/>
            <w:vAlign w:val="bottom"/>
          </w:tcPr>
          <w:p>
            <w:pPr>
              <w:spacing w:after="0"/>
              <w:rPr>
                <w:sz w:val="20"/>
                <w:szCs w:val="20"/>
                <w:color w:val="auto"/>
              </w:rPr>
            </w:pPr>
            <w:r>
              <w:rPr>
                <w:rFonts w:ascii="Arial" w:cs="Arial" w:eastAsia="Arial" w:hAnsi="Arial"/>
                <w:sz w:val="16"/>
                <w:szCs w:val="16"/>
                <w:b w:val="1"/>
                <w:bCs w:val="1"/>
                <w:color w:val="auto"/>
              </w:rPr>
              <w:t>  Daniel H. Malan</w:t>
            </w:r>
          </w:p>
        </w:tc>
        <w:tc>
          <w:tcPr>
            <w:tcW w:w="1060" w:type="dxa"/>
            <w:vAlign w:val="bottom"/>
          </w:tcPr>
          <w:p>
            <w:pPr>
              <w:jc w:val="right"/>
              <w:ind w:right="105"/>
              <w:spacing w:after="0"/>
              <w:rPr>
                <w:sz w:val="20"/>
                <w:szCs w:val="20"/>
                <w:color w:val="auto"/>
              </w:rPr>
            </w:pPr>
            <w:r>
              <w:rPr>
                <w:rFonts w:ascii="Arial" w:cs="Arial" w:eastAsia="Arial" w:hAnsi="Arial"/>
                <w:sz w:val="16"/>
                <w:szCs w:val="16"/>
                <w:color w:val="auto"/>
              </w:rPr>
              <w:t>6,218</w:t>
            </w:r>
          </w:p>
        </w:tc>
        <w:tc>
          <w:tcPr>
            <w:tcW w:w="760" w:type="dxa"/>
            <w:vAlign w:val="bottom"/>
          </w:tcPr>
          <w:p>
            <w:pPr>
              <w:jc w:val="right"/>
              <w:spacing w:after="0"/>
              <w:rPr>
                <w:sz w:val="20"/>
                <w:szCs w:val="20"/>
                <w:color w:val="auto"/>
              </w:rPr>
            </w:pPr>
            <w:r>
              <w:rPr>
                <w:rFonts w:ascii="Arial" w:cs="Arial" w:eastAsia="Arial" w:hAnsi="Arial"/>
                <w:sz w:val="16"/>
                <w:szCs w:val="16"/>
                <w:color w:val="auto"/>
              </w:rPr>
              <w:t>6,218</w:t>
            </w:r>
          </w:p>
        </w:tc>
        <w:tc>
          <w:tcPr>
            <w:tcW w:w="1380" w:type="dxa"/>
            <w:vAlign w:val="bottom"/>
          </w:tcPr>
          <w:p>
            <w:pPr>
              <w:jc w:val="right"/>
              <w:ind w:right="146"/>
              <w:spacing w:after="0"/>
              <w:rPr>
                <w:sz w:val="20"/>
                <w:szCs w:val="20"/>
                <w:color w:val="auto"/>
              </w:rPr>
            </w:pPr>
            <w:r>
              <w:rPr>
                <w:rFonts w:ascii="Arial" w:cs="Arial" w:eastAsia="Arial" w:hAnsi="Arial"/>
                <w:sz w:val="16"/>
                <w:szCs w:val="16"/>
                <w:color w:val="auto"/>
              </w:rPr>
              <w:t>12,436</w:t>
            </w:r>
          </w:p>
        </w:tc>
        <w:tc>
          <w:tcPr>
            <w:tcW w:w="0" w:type="dxa"/>
            <w:vAlign w:val="bottom"/>
          </w:tcPr>
          <w:p>
            <w:pPr>
              <w:spacing w:after="0"/>
              <w:rPr>
                <w:sz w:val="1"/>
                <w:szCs w:val="1"/>
                <w:color w:val="auto"/>
              </w:rPr>
            </w:pPr>
          </w:p>
        </w:tc>
      </w:tr>
      <w:tr>
        <w:trPr>
          <w:trHeight w:val="45"/>
        </w:trPr>
        <w:tc>
          <w:tcPr>
            <w:tcW w:w="7420" w:type="dxa"/>
            <w:vAlign w:val="bottom"/>
            <w:tcBorders>
              <w:bottom w:val="single" w:sz="8" w:color="7F7F7F"/>
            </w:tcBorders>
          </w:tcPr>
          <w:p>
            <w:pPr>
              <w:spacing w:after="0"/>
              <w:rPr>
                <w:sz w:val="3"/>
                <w:szCs w:val="3"/>
                <w:color w:val="auto"/>
              </w:rPr>
            </w:pPr>
          </w:p>
        </w:tc>
        <w:tc>
          <w:tcPr>
            <w:tcW w:w="106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7420" w:type="dxa"/>
            <w:vAlign w:val="bottom"/>
          </w:tcPr>
          <w:p>
            <w:pPr>
              <w:spacing w:after="0"/>
              <w:rPr>
                <w:sz w:val="20"/>
                <w:szCs w:val="20"/>
                <w:color w:val="auto"/>
              </w:rPr>
            </w:pPr>
            <w:r>
              <w:rPr>
                <w:rFonts w:ascii="Arial" w:cs="Arial" w:eastAsia="Arial" w:hAnsi="Arial"/>
                <w:sz w:val="16"/>
                <w:szCs w:val="16"/>
                <w:b w:val="1"/>
                <w:bCs w:val="1"/>
                <w:color w:val="auto"/>
              </w:rPr>
              <w:t>  Vanessa P. Williams</w:t>
            </w:r>
          </w:p>
        </w:tc>
        <w:tc>
          <w:tcPr>
            <w:tcW w:w="1060" w:type="dxa"/>
            <w:vAlign w:val="bottom"/>
          </w:tcPr>
          <w:p>
            <w:pPr>
              <w:jc w:val="right"/>
              <w:ind w:right="105"/>
              <w:spacing w:after="0"/>
              <w:rPr>
                <w:sz w:val="20"/>
                <w:szCs w:val="20"/>
                <w:color w:val="auto"/>
              </w:rPr>
            </w:pPr>
            <w:r>
              <w:rPr>
                <w:rFonts w:ascii="Arial" w:cs="Arial" w:eastAsia="Arial" w:hAnsi="Arial"/>
                <w:sz w:val="16"/>
                <w:szCs w:val="16"/>
                <w:color w:val="auto"/>
              </w:rPr>
              <w:t>7,748</w:t>
            </w:r>
          </w:p>
        </w:tc>
        <w:tc>
          <w:tcPr>
            <w:tcW w:w="760" w:type="dxa"/>
            <w:vAlign w:val="bottom"/>
          </w:tcPr>
          <w:p>
            <w:pPr>
              <w:jc w:val="right"/>
              <w:spacing w:after="0"/>
              <w:rPr>
                <w:sz w:val="20"/>
                <w:szCs w:val="20"/>
                <w:color w:val="auto"/>
              </w:rPr>
            </w:pPr>
            <w:r>
              <w:rPr>
                <w:rFonts w:ascii="Arial" w:cs="Arial" w:eastAsia="Arial" w:hAnsi="Arial"/>
                <w:sz w:val="16"/>
                <w:szCs w:val="16"/>
                <w:color w:val="auto"/>
              </w:rPr>
              <w:t>7,748</w:t>
            </w:r>
          </w:p>
        </w:tc>
        <w:tc>
          <w:tcPr>
            <w:tcW w:w="1380" w:type="dxa"/>
            <w:vAlign w:val="bottom"/>
          </w:tcPr>
          <w:p>
            <w:pPr>
              <w:jc w:val="right"/>
              <w:ind w:right="146"/>
              <w:spacing w:after="0"/>
              <w:rPr>
                <w:sz w:val="20"/>
                <w:szCs w:val="20"/>
                <w:color w:val="auto"/>
              </w:rPr>
            </w:pPr>
            <w:r>
              <w:rPr>
                <w:rFonts w:ascii="Arial" w:cs="Arial" w:eastAsia="Arial" w:hAnsi="Arial"/>
                <w:sz w:val="16"/>
                <w:szCs w:val="16"/>
                <w:color w:val="auto"/>
              </w:rPr>
              <w:t>15,496</w:t>
            </w:r>
          </w:p>
        </w:tc>
        <w:tc>
          <w:tcPr>
            <w:tcW w:w="0" w:type="dxa"/>
            <w:vAlign w:val="bottom"/>
          </w:tcPr>
          <w:p>
            <w:pPr>
              <w:spacing w:after="0"/>
              <w:rPr>
                <w:sz w:val="1"/>
                <w:szCs w:val="1"/>
                <w:color w:val="auto"/>
              </w:rPr>
            </w:pPr>
          </w:p>
        </w:tc>
      </w:tr>
      <w:tr>
        <w:trPr>
          <w:trHeight w:val="45"/>
        </w:trPr>
        <w:tc>
          <w:tcPr>
            <w:tcW w:w="7420" w:type="dxa"/>
            <w:vAlign w:val="bottom"/>
            <w:tcBorders>
              <w:bottom w:val="single" w:sz="8" w:color="7F7F7F"/>
            </w:tcBorders>
          </w:tcPr>
          <w:p>
            <w:pPr>
              <w:spacing w:after="0"/>
              <w:rPr>
                <w:sz w:val="3"/>
                <w:szCs w:val="3"/>
                <w:color w:val="auto"/>
              </w:rPr>
            </w:pPr>
          </w:p>
        </w:tc>
        <w:tc>
          <w:tcPr>
            <w:tcW w:w="106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7420" w:type="dxa"/>
            <w:vAlign w:val="bottom"/>
          </w:tcPr>
          <w:p>
            <w:pPr>
              <w:spacing w:after="0"/>
              <w:rPr>
                <w:sz w:val="20"/>
                <w:szCs w:val="20"/>
                <w:color w:val="auto"/>
              </w:rPr>
            </w:pPr>
            <w:r>
              <w:rPr>
                <w:rFonts w:ascii="Arial" w:cs="Arial" w:eastAsia="Arial" w:hAnsi="Arial"/>
                <w:sz w:val="16"/>
                <w:szCs w:val="16"/>
                <w:b w:val="1"/>
                <w:bCs w:val="1"/>
                <w:color w:val="auto"/>
              </w:rPr>
              <w:t>  Dinette Koolhaas</w:t>
            </w:r>
          </w:p>
        </w:tc>
        <w:tc>
          <w:tcPr>
            <w:tcW w:w="1060" w:type="dxa"/>
            <w:vAlign w:val="bottom"/>
          </w:tcPr>
          <w:p>
            <w:pPr>
              <w:jc w:val="right"/>
              <w:ind w:right="105"/>
              <w:spacing w:after="0"/>
              <w:rPr>
                <w:sz w:val="20"/>
                <w:szCs w:val="20"/>
                <w:color w:val="auto"/>
              </w:rPr>
            </w:pPr>
            <w:r>
              <w:rPr>
                <w:rFonts w:ascii="Arial" w:cs="Arial" w:eastAsia="Arial" w:hAnsi="Arial"/>
                <w:sz w:val="16"/>
                <w:szCs w:val="16"/>
                <w:color w:val="auto"/>
              </w:rPr>
              <w:t>6,769</w:t>
            </w:r>
          </w:p>
        </w:tc>
        <w:tc>
          <w:tcPr>
            <w:tcW w:w="760" w:type="dxa"/>
            <w:vAlign w:val="bottom"/>
          </w:tcPr>
          <w:p>
            <w:pPr>
              <w:jc w:val="right"/>
              <w:spacing w:after="0"/>
              <w:rPr>
                <w:sz w:val="20"/>
                <w:szCs w:val="20"/>
                <w:color w:val="auto"/>
              </w:rPr>
            </w:pPr>
            <w:r>
              <w:rPr>
                <w:rFonts w:ascii="Arial" w:cs="Arial" w:eastAsia="Arial" w:hAnsi="Arial"/>
                <w:sz w:val="16"/>
                <w:szCs w:val="16"/>
                <w:color w:val="auto"/>
              </w:rPr>
              <w:t>6,769</w:t>
            </w:r>
          </w:p>
        </w:tc>
        <w:tc>
          <w:tcPr>
            <w:tcW w:w="1380" w:type="dxa"/>
            <w:vAlign w:val="bottom"/>
          </w:tcPr>
          <w:p>
            <w:pPr>
              <w:jc w:val="right"/>
              <w:ind w:right="146"/>
              <w:spacing w:after="0"/>
              <w:rPr>
                <w:sz w:val="20"/>
                <w:szCs w:val="20"/>
                <w:color w:val="auto"/>
              </w:rPr>
            </w:pPr>
            <w:r>
              <w:rPr>
                <w:rFonts w:ascii="Arial" w:cs="Arial" w:eastAsia="Arial" w:hAnsi="Arial"/>
                <w:sz w:val="16"/>
                <w:szCs w:val="16"/>
                <w:color w:val="auto"/>
              </w:rPr>
              <w:t>13,538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28575</wp:posOffset>
            </wp:positionV>
            <wp:extent cx="67405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04" w:lineRule="exact"/>
        <w:rPr>
          <w:sz w:val="20"/>
          <w:szCs w:val="20"/>
          <w:color w:val="auto"/>
        </w:rPr>
      </w:pPr>
    </w:p>
    <w:p>
      <w:pPr>
        <w:ind w:left="320" w:right="40"/>
        <w:spacing w:after="0" w:line="246" w:lineRule="auto"/>
        <w:rPr>
          <w:sz w:val="20"/>
          <w:szCs w:val="20"/>
          <w:color w:val="auto"/>
        </w:rPr>
      </w:pPr>
      <w:r>
        <w:rPr>
          <w:rFonts w:ascii="Arial" w:cs="Arial" w:eastAsia="Arial" w:hAnsi="Arial"/>
          <w:sz w:val="16"/>
          <w:szCs w:val="16"/>
          <w:color w:val="auto"/>
        </w:rPr>
        <w:t>The 2023 threshold goals were set at levels for which the Committee believed it was appropriate to start earning incentives; the target level was set at the expected/budgeted level, which the Committee considered were “challenging but achievable”; maximum goals were set at significant stretch levels for which the Committee believed the earning of two times target payout was warranted. Straight line interpolation occurs for achievement of performance between the stated goals.</w:t>
      </w:r>
    </w:p>
    <w:p>
      <w:pPr>
        <w:spacing w:after="0" w:line="39" w:lineRule="exact"/>
        <w:rPr>
          <w:sz w:val="20"/>
          <w:szCs w:val="20"/>
          <w:color w:val="auto"/>
        </w:rPr>
      </w:pPr>
    </w:p>
    <w:p>
      <w:pPr>
        <w:ind w:left="320" w:right="80"/>
        <w:spacing w:after="0" w:line="242" w:lineRule="auto"/>
        <w:rPr>
          <w:sz w:val="20"/>
          <w:szCs w:val="20"/>
          <w:color w:val="auto"/>
        </w:rPr>
      </w:pPr>
      <w:r>
        <w:rPr>
          <w:rFonts w:ascii="Arial" w:cs="Arial" w:eastAsia="Arial" w:hAnsi="Arial"/>
          <w:sz w:val="16"/>
          <w:szCs w:val="16"/>
          <w:color w:val="auto"/>
        </w:rPr>
        <w:t>In the event of a senior officer’s termination of employment due to death, disability, normal retirement, or termination not for cause, the officer will receive a prorated award of performance shares based on actual results achieved, if any. Normal retirement is defined as age 62 with at least five years of service, or a combination of age plus years of service equal to 70, with a minimum age of 60. In order to be eligible for a prorated award due to termination by the Company not for cause, a senior officer must have been employed for at least one year after the date the grants were approved by the Committee. The prorated amount is based on the number of whole months in the performance period that were worked by the senior officer prior to termination divided by 36. In the case of termination not for cause in connection with a change in control, performance shares vest immediately at target amounts.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i w:val="1"/>
          <w:iCs w:val="1"/>
          <w:u w:val="single" w:color="auto"/>
          <w:color w:val="auto"/>
        </w:rPr>
        <w:t>2021-2023 Long-Term Incentive Performance Results – Year 3</w:t>
      </w:r>
    </w:p>
    <w:p>
      <w:pPr>
        <w:spacing w:after="0" w:line="63" w:lineRule="exact"/>
        <w:rPr>
          <w:sz w:val="20"/>
          <w:szCs w:val="20"/>
          <w:color w:val="auto"/>
        </w:rPr>
      </w:pPr>
    </w:p>
    <w:p>
      <w:pPr>
        <w:ind w:left="320" w:right="40"/>
        <w:spacing w:after="0" w:line="244" w:lineRule="auto"/>
        <w:rPr>
          <w:sz w:val="20"/>
          <w:szCs w:val="20"/>
          <w:color w:val="auto"/>
        </w:rPr>
      </w:pPr>
      <w:r>
        <w:rPr>
          <w:rFonts w:ascii="Arial" w:cs="Arial" w:eastAsia="Arial" w:hAnsi="Arial"/>
          <w:sz w:val="16"/>
          <w:szCs w:val="16"/>
          <w:color w:val="auto"/>
        </w:rPr>
        <w:t>The 2021-2023 performance shares have two financial measures, revenue growth and EBITDA margin, which have three one-year goals set in the beginning of each performance year. In February 2023, the Committee approved goals at threshold, target, and maximum levels of performance for each of the measures for the 2023 portion of the award opportunity. During its February 13, 2024 meeting, the Committee approved the results for the 2023 performance year. Earned shares vested 100% upon Committee approval. Aggregate funding for all performance measures during the 2023 performance year was 50% of target. The final performance results for the 2023 performance year are provided in the following chart:</w:t>
      </w: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0A9E50"/>
              </w:rPr>
              <w:t>2023 Performance Goals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0A9E50"/>
                <w:w w:val="94"/>
              </w:rPr>
              <w:t>2021 Year</w:t>
            </w:r>
          </w:p>
        </w:tc>
        <w:tc>
          <w:tcPr>
            <w:tcW w:w="800" w:type="dxa"/>
            <w:vAlign w:val="bottom"/>
          </w:tcPr>
          <w:p>
            <w:pPr>
              <w:jc w:val="center"/>
              <w:ind w:right="26"/>
              <w:spacing w:after="0"/>
              <w:rPr>
                <w:sz w:val="20"/>
                <w:szCs w:val="20"/>
                <w:color w:val="auto"/>
              </w:rPr>
            </w:pPr>
            <w:r>
              <w:rPr>
                <w:rFonts w:ascii="Arial" w:cs="Arial" w:eastAsia="Arial" w:hAnsi="Arial"/>
                <w:sz w:val="14"/>
                <w:szCs w:val="14"/>
                <w:b w:val="1"/>
                <w:bCs w:val="1"/>
                <w:color w:val="0A9E50"/>
                <w:w w:val="98"/>
              </w:rPr>
              <w:t>Payout</w:t>
            </w:r>
          </w:p>
        </w:tc>
      </w:tr>
      <w:tr>
        <w:trPr>
          <w:trHeight w:val="136"/>
        </w:trPr>
        <w:tc>
          <w:tcPr>
            <w:tcW w:w="39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60" w:type="dxa"/>
            <w:vAlign w:val="bottom"/>
          </w:tcPr>
          <w:p>
            <w:pPr>
              <w:jc w:val="center"/>
              <w:spacing w:after="0" w:line="136" w:lineRule="exact"/>
              <w:rPr>
                <w:sz w:val="20"/>
                <w:szCs w:val="20"/>
                <w:color w:val="auto"/>
              </w:rPr>
            </w:pPr>
            <w:r>
              <w:rPr>
                <w:rFonts w:ascii="Arial" w:cs="Arial" w:eastAsia="Arial" w:hAnsi="Arial"/>
                <w:sz w:val="14"/>
                <w:szCs w:val="14"/>
                <w:b w:val="1"/>
                <w:bCs w:val="1"/>
                <w:color w:val="0A9E50"/>
                <w:w w:val="97"/>
              </w:rPr>
              <w:t>Threshold</w:t>
            </w:r>
          </w:p>
        </w:tc>
        <w:tc>
          <w:tcPr>
            <w:tcW w:w="900" w:type="dxa"/>
            <w:vAlign w:val="bottom"/>
          </w:tcPr>
          <w:p>
            <w:pPr>
              <w:jc w:val="center"/>
              <w:spacing w:after="0" w:line="136" w:lineRule="exact"/>
              <w:rPr>
                <w:sz w:val="20"/>
                <w:szCs w:val="20"/>
                <w:color w:val="auto"/>
              </w:rPr>
            </w:pPr>
            <w:r>
              <w:rPr>
                <w:rFonts w:ascii="Arial" w:cs="Arial" w:eastAsia="Arial" w:hAnsi="Arial"/>
                <w:sz w:val="14"/>
                <w:szCs w:val="14"/>
                <w:b w:val="1"/>
                <w:bCs w:val="1"/>
                <w:color w:val="0A9E50"/>
                <w:w w:val="93"/>
              </w:rPr>
              <w:t>Target</w:t>
            </w:r>
          </w:p>
        </w:tc>
        <w:tc>
          <w:tcPr>
            <w:tcW w:w="780" w:type="dxa"/>
            <w:vAlign w:val="bottom"/>
          </w:tcPr>
          <w:p>
            <w:pPr>
              <w:ind w:left="100"/>
              <w:spacing w:after="0" w:line="136" w:lineRule="exact"/>
              <w:rPr>
                <w:sz w:val="20"/>
                <w:szCs w:val="20"/>
                <w:color w:val="auto"/>
              </w:rPr>
            </w:pPr>
            <w:r>
              <w:rPr>
                <w:rFonts w:ascii="Arial" w:cs="Arial" w:eastAsia="Arial" w:hAnsi="Arial"/>
                <w:sz w:val="14"/>
                <w:szCs w:val="14"/>
                <w:b w:val="1"/>
                <w:bCs w:val="1"/>
                <w:color w:val="0A9E50"/>
              </w:rPr>
              <w:t>Maximum</w:t>
            </w:r>
          </w:p>
        </w:tc>
        <w:tc>
          <w:tcPr>
            <w:tcW w:w="880" w:type="dxa"/>
            <w:vAlign w:val="bottom"/>
          </w:tcPr>
          <w:p>
            <w:pPr>
              <w:jc w:val="center"/>
              <w:spacing w:after="0" w:line="136" w:lineRule="exact"/>
              <w:rPr>
                <w:sz w:val="20"/>
                <w:szCs w:val="20"/>
                <w:color w:val="auto"/>
              </w:rPr>
            </w:pPr>
            <w:r>
              <w:rPr>
                <w:rFonts w:ascii="Arial" w:cs="Arial" w:eastAsia="Arial" w:hAnsi="Arial"/>
                <w:sz w:val="14"/>
                <w:szCs w:val="14"/>
                <w:b w:val="1"/>
                <w:bCs w:val="1"/>
                <w:color w:val="0A9E50"/>
                <w:w w:val="99"/>
              </w:rPr>
              <w:t>3 Actual</w:t>
            </w:r>
          </w:p>
        </w:tc>
        <w:tc>
          <w:tcPr>
            <w:tcW w:w="800" w:type="dxa"/>
            <w:vAlign w:val="bottom"/>
          </w:tcPr>
          <w:p>
            <w:pPr>
              <w:jc w:val="center"/>
              <w:ind w:right="26"/>
              <w:spacing w:after="0" w:line="136" w:lineRule="exact"/>
              <w:rPr>
                <w:sz w:val="20"/>
                <w:szCs w:val="20"/>
                <w:color w:val="auto"/>
              </w:rPr>
            </w:pPr>
            <w:r>
              <w:rPr>
                <w:rFonts w:ascii="Arial" w:cs="Arial" w:eastAsia="Arial" w:hAnsi="Arial"/>
                <w:sz w:val="14"/>
                <w:szCs w:val="14"/>
                <w:b w:val="1"/>
                <w:bCs w:val="1"/>
                <w:color w:val="0A9E50"/>
              </w:rPr>
              <w:t>as % of</w:t>
            </w:r>
          </w:p>
        </w:tc>
      </w:tr>
      <w:tr>
        <w:trPr>
          <w:trHeight w:val="195"/>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Financial Performance Measures</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A9E50"/>
              </w:rPr>
              <w:t>Weighting</w:t>
            </w:r>
          </w:p>
        </w:tc>
        <w:tc>
          <w:tcPr>
            <w:tcW w:w="96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0A9E50"/>
              </w:rPr>
              <w:t>50%</w:t>
            </w:r>
          </w:p>
        </w:tc>
        <w:tc>
          <w:tcPr>
            <w:tcW w:w="90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0A9E50"/>
              </w:rPr>
              <w:t>100%</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rPr>
              <w:t>200%</w:t>
            </w:r>
          </w:p>
        </w:tc>
        <w:tc>
          <w:tcPr>
            <w:tcW w:w="88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4"/>
                <w:szCs w:val="14"/>
                <w:b w:val="1"/>
                <w:bCs w:val="1"/>
                <w:color w:val="0A9E50"/>
                <w:w w:val="92"/>
              </w:rPr>
              <w:t>Results</w:t>
            </w:r>
            <w:r>
              <w:rPr>
                <w:rFonts w:ascii="Arial" w:cs="Arial" w:eastAsia="Arial" w:hAnsi="Arial"/>
                <w:sz w:val="20"/>
                <w:szCs w:val="20"/>
                <w:b w:val="1"/>
                <w:bCs w:val="1"/>
                <w:color w:val="0A9E50"/>
                <w:w w:val="92"/>
                <w:vertAlign w:val="superscript"/>
              </w:rPr>
              <w:t>(1)</w:t>
            </w: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0A9E50"/>
                <w:w w:val="98"/>
              </w:rPr>
              <w:t>Target</w:t>
            </w:r>
          </w:p>
        </w:tc>
      </w:tr>
      <w:tr>
        <w:trPr>
          <w:trHeight w:val="207"/>
        </w:trPr>
        <w:tc>
          <w:tcPr>
            <w:tcW w:w="39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Revenue Growth</w:t>
            </w:r>
          </w:p>
        </w:tc>
        <w:tc>
          <w:tcPr>
            <w:tcW w:w="2400" w:type="dxa"/>
            <w:vAlign w:val="bottom"/>
            <w:tcBorders>
              <w:bottom w:val="single" w:sz="8" w:color="7F7F7F"/>
            </w:tcBorders>
          </w:tcPr>
          <w:p>
            <w:pPr>
              <w:jc w:val="right"/>
              <w:ind w:right="65"/>
              <w:spacing w:after="0"/>
              <w:rPr>
                <w:sz w:val="20"/>
                <w:szCs w:val="20"/>
                <w:color w:val="auto"/>
              </w:rPr>
            </w:pPr>
            <w:r>
              <w:rPr>
                <w:rFonts w:ascii="Arial" w:cs="Arial" w:eastAsia="Arial" w:hAnsi="Arial"/>
                <w:sz w:val="16"/>
                <w:szCs w:val="16"/>
                <w:color w:val="auto"/>
              </w:rPr>
              <w:t>50.0%</w:t>
            </w:r>
          </w:p>
        </w:tc>
        <w:tc>
          <w:tcPr>
            <w:tcW w:w="960" w:type="dxa"/>
            <w:vAlign w:val="bottom"/>
            <w:tcBorders>
              <w:bottom w:val="single" w:sz="8" w:color="7F7F7F"/>
            </w:tcBorders>
          </w:tcPr>
          <w:p>
            <w:pPr>
              <w:jc w:val="right"/>
              <w:ind w:right="27"/>
              <w:spacing w:after="0"/>
              <w:rPr>
                <w:sz w:val="20"/>
                <w:szCs w:val="20"/>
                <w:color w:val="auto"/>
              </w:rPr>
            </w:pPr>
            <w:r>
              <w:rPr>
                <w:rFonts w:ascii="Arial" w:cs="Arial" w:eastAsia="Arial" w:hAnsi="Arial"/>
                <w:sz w:val="16"/>
                <w:szCs w:val="16"/>
                <w:color w:val="auto"/>
              </w:rPr>
              <w:t>$4,822.56</w:t>
            </w:r>
          </w:p>
        </w:tc>
        <w:tc>
          <w:tcPr>
            <w:tcW w:w="900" w:type="dxa"/>
            <w:vAlign w:val="bottom"/>
            <w:tcBorders>
              <w:bottom w:val="single" w:sz="8" w:color="7F7F7F"/>
            </w:tcBorders>
          </w:tcPr>
          <w:p>
            <w:pPr>
              <w:jc w:val="right"/>
              <w:ind w:right="6"/>
              <w:spacing w:after="0"/>
              <w:rPr>
                <w:sz w:val="20"/>
                <w:szCs w:val="20"/>
                <w:color w:val="auto"/>
              </w:rPr>
            </w:pPr>
            <w:r>
              <w:rPr>
                <w:rFonts w:ascii="Arial" w:cs="Arial" w:eastAsia="Arial" w:hAnsi="Arial"/>
                <w:sz w:val="16"/>
                <w:szCs w:val="16"/>
                <w:color w:val="auto"/>
              </w:rPr>
              <w:t>$5,076.38</w:t>
            </w:r>
          </w:p>
        </w:tc>
        <w:tc>
          <w:tcPr>
            <w:tcW w:w="7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5"/>
              </w:rPr>
              <w:t>$5,518.03</w:t>
            </w:r>
          </w:p>
        </w:tc>
        <w:tc>
          <w:tcPr>
            <w:tcW w:w="880" w:type="dxa"/>
            <w:vAlign w:val="bottom"/>
            <w:tcBorders>
              <w:bottom w:val="single" w:sz="8" w:color="7F7F7F"/>
            </w:tcBorders>
          </w:tcPr>
          <w:p>
            <w:pPr>
              <w:jc w:val="right"/>
              <w:ind w:right="7"/>
              <w:spacing w:after="0"/>
              <w:rPr>
                <w:sz w:val="20"/>
                <w:szCs w:val="20"/>
                <w:color w:val="auto"/>
              </w:rPr>
            </w:pPr>
            <w:r>
              <w:rPr>
                <w:rFonts w:ascii="Arial" w:cs="Arial" w:eastAsia="Arial" w:hAnsi="Arial"/>
                <w:sz w:val="16"/>
                <w:szCs w:val="16"/>
                <w:color w:val="auto"/>
              </w:rPr>
              <w:t>$4,771.91</w:t>
            </w:r>
          </w:p>
        </w:tc>
        <w:tc>
          <w:tcPr>
            <w:tcW w:w="800" w:type="dxa"/>
            <w:vAlign w:val="bottom"/>
            <w:tcBorders>
              <w:bottom w:val="single" w:sz="8" w:color="7F7F7F"/>
            </w:tcBorders>
          </w:tcPr>
          <w:p>
            <w:pPr>
              <w:jc w:val="right"/>
              <w:ind w:right="46"/>
              <w:spacing w:after="0"/>
              <w:rPr>
                <w:sz w:val="20"/>
                <w:szCs w:val="20"/>
                <w:color w:val="auto"/>
              </w:rPr>
            </w:pPr>
            <w:r>
              <w:rPr>
                <w:rFonts w:ascii="Arial" w:cs="Arial" w:eastAsia="Arial" w:hAnsi="Arial"/>
                <w:sz w:val="16"/>
                <w:szCs w:val="16"/>
                <w:color w:val="auto"/>
              </w:rPr>
              <w:t>0.00%</w:t>
            </w:r>
          </w:p>
        </w:tc>
      </w:tr>
      <w:tr>
        <w:trPr>
          <w:trHeight w:val="214"/>
        </w:trPr>
        <w:tc>
          <w:tcPr>
            <w:tcW w:w="39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EBITDA Margin</w:t>
            </w:r>
          </w:p>
        </w:tc>
        <w:tc>
          <w:tcPr>
            <w:tcW w:w="2400" w:type="dxa"/>
            <w:vAlign w:val="bottom"/>
            <w:tcBorders>
              <w:bottom w:val="single" w:sz="8" w:color="7F7F7F"/>
            </w:tcBorders>
          </w:tcPr>
          <w:p>
            <w:pPr>
              <w:jc w:val="right"/>
              <w:ind w:right="65"/>
              <w:spacing w:after="0"/>
              <w:rPr>
                <w:sz w:val="20"/>
                <w:szCs w:val="20"/>
                <w:color w:val="auto"/>
              </w:rPr>
            </w:pPr>
            <w:r>
              <w:rPr>
                <w:rFonts w:ascii="Arial" w:cs="Arial" w:eastAsia="Arial" w:hAnsi="Arial"/>
                <w:sz w:val="16"/>
                <w:szCs w:val="16"/>
                <w:color w:val="auto"/>
              </w:rPr>
              <w:t>50.0%</w:t>
            </w:r>
          </w:p>
        </w:tc>
        <w:tc>
          <w:tcPr>
            <w:tcW w:w="960" w:type="dxa"/>
            <w:vAlign w:val="bottom"/>
            <w:tcBorders>
              <w:bottom w:val="single" w:sz="8" w:color="7F7F7F"/>
            </w:tcBorders>
          </w:tcPr>
          <w:p>
            <w:pPr>
              <w:jc w:val="right"/>
              <w:ind w:right="147"/>
              <w:spacing w:after="0"/>
              <w:rPr>
                <w:sz w:val="20"/>
                <w:szCs w:val="20"/>
                <w:color w:val="auto"/>
              </w:rPr>
            </w:pPr>
            <w:r>
              <w:rPr>
                <w:rFonts w:ascii="Arial" w:cs="Arial" w:eastAsia="Arial" w:hAnsi="Arial"/>
                <w:sz w:val="16"/>
                <w:szCs w:val="16"/>
                <w:color w:val="auto"/>
              </w:rPr>
              <w:t>1.65%</w:t>
            </w:r>
          </w:p>
        </w:tc>
        <w:tc>
          <w:tcPr>
            <w:tcW w:w="900" w:type="dxa"/>
            <w:vAlign w:val="bottom"/>
            <w:tcBorders>
              <w:bottom w:val="single" w:sz="8" w:color="7F7F7F"/>
            </w:tcBorders>
          </w:tcPr>
          <w:p>
            <w:pPr>
              <w:jc w:val="right"/>
              <w:ind w:right="146"/>
              <w:spacing w:after="0"/>
              <w:rPr>
                <w:sz w:val="20"/>
                <w:szCs w:val="20"/>
                <w:color w:val="auto"/>
              </w:rPr>
            </w:pPr>
            <w:r>
              <w:rPr>
                <w:rFonts w:ascii="Arial" w:cs="Arial" w:eastAsia="Arial" w:hAnsi="Arial"/>
                <w:sz w:val="16"/>
                <w:szCs w:val="16"/>
                <w:color w:val="auto"/>
              </w:rPr>
              <w:t>2.25%</w:t>
            </w:r>
          </w:p>
        </w:tc>
        <w:tc>
          <w:tcPr>
            <w:tcW w:w="7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6"/>
              </w:rPr>
              <w:t>2.77%</w:t>
            </w:r>
          </w:p>
        </w:tc>
        <w:tc>
          <w:tcPr>
            <w:tcW w:w="880" w:type="dxa"/>
            <w:vAlign w:val="bottom"/>
            <w:tcBorders>
              <w:bottom w:val="single" w:sz="8" w:color="7F7F7F"/>
            </w:tcBorders>
          </w:tcPr>
          <w:p>
            <w:pPr>
              <w:jc w:val="right"/>
              <w:ind w:right="127"/>
              <w:spacing w:after="0"/>
              <w:rPr>
                <w:sz w:val="20"/>
                <w:szCs w:val="20"/>
                <w:color w:val="auto"/>
              </w:rPr>
            </w:pPr>
            <w:r>
              <w:rPr>
                <w:rFonts w:ascii="Arial" w:cs="Arial" w:eastAsia="Arial" w:hAnsi="Arial"/>
                <w:sz w:val="16"/>
                <w:szCs w:val="16"/>
                <w:color w:val="auto"/>
              </w:rPr>
              <w:t>2.25%</w:t>
            </w:r>
          </w:p>
        </w:tc>
        <w:tc>
          <w:tcPr>
            <w:tcW w:w="800" w:type="dxa"/>
            <w:vAlign w:val="bottom"/>
            <w:tcBorders>
              <w:bottom w:val="single" w:sz="8" w:color="7F7F7F"/>
            </w:tcBorders>
          </w:tcPr>
          <w:p>
            <w:pPr>
              <w:jc w:val="right"/>
              <w:ind w:right="46"/>
              <w:spacing w:after="0"/>
              <w:rPr>
                <w:sz w:val="20"/>
                <w:szCs w:val="20"/>
                <w:color w:val="auto"/>
              </w:rPr>
            </w:pPr>
            <w:r>
              <w:rPr>
                <w:rFonts w:ascii="Arial" w:cs="Arial" w:eastAsia="Arial" w:hAnsi="Arial"/>
                <w:sz w:val="16"/>
                <w:szCs w:val="16"/>
                <w:color w:val="auto"/>
              </w:rPr>
              <w:t>100.00%</w:t>
            </w:r>
          </w:p>
        </w:tc>
      </w:tr>
      <w:tr>
        <w:trPr>
          <w:trHeight w:val="218"/>
        </w:trPr>
        <w:tc>
          <w:tcPr>
            <w:tcW w:w="39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 in millions</w:t>
            </w:r>
          </w:p>
        </w:tc>
        <w:tc>
          <w:tcPr>
            <w:tcW w:w="2400" w:type="dxa"/>
            <w:vAlign w:val="bottom"/>
            <w:tcBorders>
              <w:bottom w:val="single" w:sz="8" w:color="7F7F7F"/>
            </w:tcBorders>
          </w:tcPr>
          <w:p>
            <w:pPr>
              <w:spacing w:after="0"/>
              <w:rPr>
                <w:sz w:val="18"/>
                <w:szCs w:val="18"/>
                <w:color w:val="auto"/>
              </w:rPr>
            </w:pPr>
          </w:p>
        </w:tc>
        <w:tc>
          <w:tcPr>
            <w:tcW w:w="96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spacing w:after="0"/>
              <w:rPr>
                <w:sz w:val="18"/>
                <w:szCs w:val="18"/>
                <w:color w:val="auto"/>
              </w:rPr>
            </w:pPr>
          </w:p>
        </w:tc>
        <w:tc>
          <w:tcPr>
            <w:tcW w:w="1660" w:type="dxa"/>
            <w:vAlign w:val="bottom"/>
            <w:tcBorders>
              <w:bottom w:val="single" w:sz="8" w:color="7F7F7F"/>
            </w:tcBorders>
            <w:gridSpan w:val="2"/>
          </w:tcPr>
          <w:p>
            <w:pPr>
              <w:ind w:left="260"/>
              <w:spacing w:after="0"/>
              <w:rPr>
                <w:sz w:val="20"/>
                <w:szCs w:val="20"/>
                <w:color w:val="auto"/>
              </w:rPr>
            </w:pPr>
            <w:r>
              <w:rPr>
                <w:rFonts w:ascii="Arial" w:cs="Arial" w:eastAsia="Arial" w:hAnsi="Arial"/>
                <w:sz w:val="16"/>
                <w:szCs w:val="16"/>
                <w:b w:val="1"/>
                <w:bCs w:val="1"/>
                <w:color w:val="auto"/>
              </w:rPr>
              <w:t>Weighted Payout:</w:t>
            </w:r>
          </w:p>
        </w:tc>
        <w:tc>
          <w:tcPr>
            <w:tcW w:w="800" w:type="dxa"/>
            <w:vAlign w:val="bottom"/>
            <w:tcBorders>
              <w:bottom w:val="single" w:sz="8" w:color="7F7F7F"/>
            </w:tcBorders>
          </w:tcPr>
          <w:p>
            <w:pPr>
              <w:jc w:val="right"/>
              <w:ind w:right="46"/>
              <w:spacing w:after="0"/>
              <w:rPr>
                <w:sz w:val="20"/>
                <w:szCs w:val="20"/>
                <w:color w:val="auto"/>
              </w:rPr>
            </w:pPr>
            <w:r>
              <w:rPr>
                <w:rFonts w:ascii="Arial" w:cs="Arial" w:eastAsia="Arial" w:hAnsi="Arial"/>
                <w:sz w:val="16"/>
                <w:szCs w:val="16"/>
                <w:b w:val="1"/>
                <w:bCs w:val="1"/>
                <w:color w:val="auto"/>
              </w:rPr>
              <w:t>50.00%</w:t>
            </w:r>
          </w:p>
        </w:tc>
      </w:tr>
    </w:tbl>
    <w:p>
      <w:pPr>
        <w:spacing w:after="0" w:line="99" w:lineRule="exact"/>
        <w:rPr>
          <w:sz w:val="20"/>
          <w:szCs w:val="20"/>
          <w:color w:val="auto"/>
        </w:rPr>
      </w:pPr>
    </w:p>
    <w:p>
      <w:pPr>
        <w:ind w:left="620" w:hanging="304"/>
        <w:spacing w:after="0"/>
        <w:tabs>
          <w:tab w:leader="none" w:pos="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2023 performance amount includes adjustments for restructuring and divestiture costs and other considerations approved by the Committee.</w:t>
      </w:r>
    </w:p>
    <w:p>
      <w:pPr>
        <w:spacing w:after="0" w:line="78"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58 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846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37" w:lineRule="exact"/>
        <w:rPr>
          <w:sz w:val="20"/>
          <w:szCs w:val="20"/>
          <w:color w:val="auto"/>
        </w:rPr>
      </w:pPr>
    </w:p>
    <w:p>
      <w:pPr>
        <w:ind w:left="320" w:right="120"/>
        <w:spacing w:after="0" w:line="265" w:lineRule="auto"/>
        <w:rPr>
          <w:sz w:val="20"/>
          <w:szCs w:val="20"/>
          <w:color w:val="auto"/>
        </w:rPr>
      </w:pPr>
      <w:r>
        <w:rPr>
          <w:rFonts w:ascii="Arial" w:cs="Arial" w:eastAsia="Arial" w:hAnsi="Arial"/>
          <w:sz w:val="16"/>
          <w:szCs w:val="16"/>
          <w:color w:val="auto"/>
        </w:rPr>
        <w:t>As a result of the above level of achievement for each of the performance measures for year 3 of the 2021-2023 LTI award, the Committee approved the following number of earned performance shares for each named executive officer.</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32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0A9E50"/>
                <w:w w:val="98"/>
              </w:rPr>
              <w:t>Financial Measure:</w:t>
            </w:r>
          </w:p>
        </w:tc>
        <w:tc>
          <w:tcPr>
            <w:tcW w:w="2620" w:type="dxa"/>
            <w:vAlign w:val="bottom"/>
            <w:gridSpan w:val="2"/>
          </w:tcPr>
          <w:p>
            <w:pPr>
              <w:jc w:val="center"/>
              <w:spacing w:after="0"/>
              <w:rPr>
                <w:sz w:val="20"/>
                <w:szCs w:val="20"/>
                <w:color w:val="auto"/>
              </w:rPr>
            </w:pPr>
            <w:r>
              <w:rPr>
                <w:rFonts w:ascii="Arial" w:cs="Arial" w:eastAsia="Arial" w:hAnsi="Arial"/>
                <w:sz w:val="14"/>
                <w:szCs w:val="14"/>
                <w:b w:val="1"/>
                <w:bCs w:val="1"/>
                <w:color w:val="0A9E50"/>
                <w:w w:val="98"/>
              </w:rPr>
              <w:t>Financial Measure:</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80" w:type="dxa"/>
            <w:vAlign w:val="bottom"/>
          </w:tcPr>
          <w:p>
            <w:pPr>
              <w:spacing w:after="0"/>
              <w:rPr>
                <w:sz w:val="14"/>
                <w:szCs w:val="14"/>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A9E50"/>
                <w:w w:val="98"/>
              </w:rPr>
              <w:t>Revenue Growth</w:t>
            </w:r>
          </w:p>
        </w:tc>
        <w:tc>
          <w:tcPr>
            <w:tcW w:w="620" w:type="dxa"/>
            <w:vAlign w:val="bottom"/>
          </w:tcPr>
          <w:p>
            <w:pPr>
              <w:spacing w:after="0"/>
              <w:rPr>
                <w:sz w:val="14"/>
                <w:szCs w:val="14"/>
                <w:color w:val="auto"/>
              </w:rPr>
            </w:pPr>
          </w:p>
        </w:tc>
        <w:tc>
          <w:tcPr>
            <w:tcW w:w="2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A9E50"/>
                <w:w w:val="98"/>
              </w:rPr>
              <w:t>EBITDA Margin</w:t>
            </w:r>
          </w:p>
        </w:tc>
        <w:tc>
          <w:tcPr>
            <w:tcW w:w="1600" w:type="dxa"/>
            <w:vAlign w:val="bottom"/>
            <w:vMerge w:val="restart"/>
          </w:tcPr>
          <w:p>
            <w:pPr>
              <w:jc w:val="center"/>
              <w:ind w:left="526"/>
              <w:spacing w:after="0"/>
              <w:rPr>
                <w:sz w:val="20"/>
                <w:szCs w:val="20"/>
                <w:color w:val="auto"/>
              </w:rPr>
            </w:pPr>
            <w:r>
              <w:rPr>
                <w:rFonts w:ascii="Arial" w:cs="Arial" w:eastAsia="Arial" w:hAnsi="Arial"/>
                <w:sz w:val="14"/>
                <w:szCs w:val="14"/>
                <w:b w:val="1"/>
                <w:bCs w:val="1"/>
                <w:color w:val="0A9E50"/>
                <w:w w:val="96"/>
              </w:rPr>
              <w:t>Total # of</w:t>
            </w:r>
          </w:p>
        </w:tc>
        <w:tc>
          <w:tcPr>
            <w:tcW w:w="0" w:type="dxa"/>
            <w:vAlign w:val="bottom"/>
          </w:tcPr>
          <w:p>
            <w:pPr>
              <w:spacing w:after="0"/>
              <w:rPr>
                <w:sz w:val="1"/>
                <w:szCs w:val="1"/>
                <w:color w:val="auto"/>
              </w:rPr>
            </w:pPr>
          </w:p>
        </w:tc>
      </w:tr>
      <w:tr>
        <w:trPr>
          <w:trHeight w:val="49"/>
        </w:trPr>
        <w:tc>
          <w:tcPr>
            <w:tcW w:w="3180" w:type="dxa"/>
            <w:vAlign w:val="bottom"/>
          </w:tcPr>
          <w:p>
            <w:pPr>
              <w:spacing w:after="0"/>
              <w:rPr>
                <w:sz w:val="4"/>
                <w:szCs w:val="4"/>
                <w:color w:val="auto"/>
              </w:rPr>
            </w:pPr>
          </w:p>
        </w:tc>
        <w:tc>
          <w:tcPr>
            <w:tcW w:w="26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0A9E50"/>
                <w:w w:val="98"/>
              </w:rPr>
              <w:t>Payout as % of Target: 0.00%</w:t>
            </w:r>
          </w:p>
        </w:tc>
        <w:tc>
          <w:tcPr>
            <w:tcW w:w="620" w:type="dxa"/>
            <w:vAlign w:val="bottom"/>
            <w:vMerge w:val="restart"/>
          </w:tcPr>
          <w:p>
            <w:pPr>
              <w:spacing w:after="0"/>
              <w:rPr>
                <w:sz w:val="4"/>
                <w:szCs w:val="4"/>
                <w:color w:val="auto"/>
              </w:rPr>
            </w:pPr>
          </w:p>
        </w:tc>
        <w:tc>
          <w:tcPr>
            <w:tcW w:w="26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0A9E50"/>
                <w:w w:val="98"/>
              </w:rPr>
              <w:t>Payout as % of Target: 100.00%</w:t>
            </w: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3180" w:type="dxa"/>
            <w:vAlign w:val="bottom"/>
          </w:tcPr>
          <w:p>
            <w:pPr>
              <w:spacing w:after="0"/>
              <w:rPr>
                <w:sz w:val="8"/>
                <w:szCs w:val="8"/>
                <w:color w:val="auto"/>
              </w:rPr>
            </w:pPr>
          </w:p>
        </w:tc>
        <w:tc>
          <w:tcPr>
            <w:tcW w:w="2600" w:type="dxa"/>
            <w:vAlign w:val="bottom"/>
            <w:tcBorders>
              <w:bottom w:val="single" w:sz="8" w:color="auto"/>
            </w:tcBorders>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620" w:type="dxa"/>
            <w:vAlign w:val="bottom"/>
            <w:tcBorders>
              <w:bottom w:val="single" w:sz="8" w:color="auto"/>
            </w:tcBorders>
            <w:gridSpan w:val="2"/>
            <w:vMerge w:val="continue"/>
          </w:tcPr>
          <w:p>
            <w:pPr>
              <w:spacing w:after="0"/>
              <w:rPr>
                <w:sz w:val="8"/>
                <w:szCs w:val="8"/>
                <w:color w:val="auto"/>
              </w:rPr>
            </w:pPr>
          </w:p>
        </w:tc>
        <w:tc>
          <w:tcPr>
            <w:tcW w:w="1600" w:type="dxa"/>
            <w:vAlign w:val="bottom"/>
            <w:vMerge w:val="restart"/>
          </w:tcPr>
          <w:p>
            <w:pPr>
              <w:jc w:val="center"/>
              <w:ind w:left="526"/>
              <w:spacing w:after="0" w:line="156" w:lineRule="exact"/>
              <w:rPr>
                <w:sz w:val="20"/>
                <w:szCs w:val="20"/>
                <w:color w:val="auto"/>
              </w:rPr>
            </w:pPr>
            <w:r>
              <w:rPr>
                <w:rFonts w:ascii="Arial" w:cs="Arial" w:eastAsia="Arial" w:hAnsi="Arial"/>
                <w:sz w:val="14"/>
                <w:szCs w:val="14"/>
                <w:b w:val="1"/>
                <w:bCs w:val="1"/>
                <w:color w:val="0A9E50"/>
                <w:w w:val="95"/>
              </w:rPr>
              <w:t>Year 3</w:t>
            </w:r>
          </w:p>
        </w:tc>
        <w:tc>
          <w:tcPr>
            <w:tcW w:w="0" w:type="dxa"/>
            <w:vAlign w:val="bottom"/>
          </w:tcPr>
          <w:p>
            <w:pPr>
              <w:spacing w:after="0"/>
              <w:rPr>
                <w:sz w:val="1"/>
                <w:szCs w:val="1"/>
                <w:color w:val="auto"/>
              </w:rPr>
            </w:pPr>
          </w:p>
        </w:tc>
      </w:tr>
      <w:tr>
        <w:trPr>
          <w:trHeight w:val="36"/>
        </w:trPr>
        <w:tc>
          <w:tcPr>
            <w:tcW w:w="3180" w:type="dxa"/>
            <w:vAlign w:val="bottom"/>
          </w:tcPr>
          <w:p>
            <w:pPr>
              <w:spacing w:after="0"/>
              <w:rPr>
                <w:sz w:val="3"/>
                <w:szCs w:val="3"/>
                <w:color w:val="auto"/>
              </w:rPr>
            </w:pPr>
          </w:p>
        </w:tc>
        <w:tc>
          <w:tcPr>
            <w:tcW w:w="1300" w:type="dxa"/>
            <w:vAlign w:val="bottom"/>
            <w:vMerge w:val="restart"/>
          </w:tcPr>
          <w:p>
            <w:pPr>
              <w:jc w:val="right"/>
              <w:ind w:right="246"/>
              <w:spacing w:after="0" w:line="140" w:lineRule="exact"/>
              <w:rPr>
                <w:sz w:val="20"/>
                <w:szCs w:val="20"/>
                <w:color w:val="auto"/>
              </w:rPr>
            </w:pPr>
            <w:r>
              <w:rPr>
                <w:rFonts w:ascii="Arial" w:cs="Arial" w:eastAsia="Arial" w:hAnsi="Arial"/>
                <w:sz w:val="14"/>
                <w:szCs w:val="14"/>
                <w:b w:val="1"/>
                <w:bCs w:val="1"/>
                <w:color w:val="0A9E50"/>
                <w:w w:val="95"/>
              </w:rPr>
              <w:t>Year 3 Target #</w:t>
            </w:r>
          </w:p>
        </w:tc>
        <w:tc>
          <w:tcPr>
            <w:tcW w:w="1920" w:type="dxa"/>
            <w:vAlign w:val="bottom"/>
            <w:gridSpan w:val="2"/>
            <w:vMerge w:val="restart"/>
          </w:tcPr>
          <w:p>
            <w:pPr>
              <w:jc w:val="center"/>
              <w:ind w:right="300"/>
              <w:spacing w:after="0" w:line="140" w:lineRule="exact"/>
              <w:rPr>
                <w:sz w:val="20"/>
                <w:szCs w:val="20"/>
                <w:color w:val="auto"/>
              </w:rPr>
            </w:pPr>
            <w:r>
              <w:rPr>
                <w:rFonts w:ascii="Arial" w:cs="Arial" w:eastAsia="Arial" w:hAnsi="Arial"/>
                <w:sz w:val="14"/>
                <w:szCs w:val="14"/>
                <w:b w:val="1"/>
                <w:bCs w:val="1"/>
                <w:color w:val="0A9E50"/>
                <w:w w:val="98"/>
              </w:rPr>
              <w:t>Year 3 # of</w:t>
            </w:r>
          </w:p>
        </w:tc>
        <w:tc>
          <w:tcPr>
            <w:tcW w:w="1320" w:type="dxa"/>
            <w:vAlign w:val="bottom"/>
            <w:vMerge w:val="restart"/>
          </w:tcPr>
          <w:p>
            <w:pPr>
              <w:jc w:val="right"/>
              <w:ind w:right="246"/>
              <w:spacing w:after="0" w:line="140" w:lineRule="exact"/>
              <w:rPr>
                <w:sz w:val="20"/>
                <w:szCs w:val="20"/>
                <w:color w:val="auto"/>
              </w:rPr>
            </w:pPr>
            <w:r>
              <w:rPr>
                <w:rFonts w:ascii="Arial" w:cs="Arial" w:eastAsia="Arial" w:hAnsi="Arial"/>
                <w:sz w:val="14"/>
                <w:szCs w:val="14"/>
                <w:b w:val="1"/>
                <w:bCs w:val="1"/>
                <w:color w:val="0A9E50"/>
                <w:w w:val="97"/>
              </w:rPr>
              <w:t>Year 3 Target #</w:t>
            </w:r>
          </w:p>
        </w:tc>
        <w:tc>
          <w:tcPr>
            <w:tcW w:w="1300" w:type="dxa"/>
            <w:vAlign w:val="bottom"/>
            <w:vMerge w:val="restart"/>
          </w:tcPr>
          <w:p>
            <w:pPr>
              <w:jc w:val="right"/>
              <w:ind w:right="64"/>
              <w:spacing w:after="0" w:line="140" w:lineRule="exact"/>
              <w:rPr>
                <w:sz w:val="20"/>
                <w:szCs w:val="20"/>
                <w:color w:val="auto"/>
              </w:rPr>
            </w:pPr>
            <w:r>
              <w:rPr>
                <w:rFonts w:ascii="Arial" w:cs="Arial" w:eastAsia="Arial" w:hAnsi="Arial"/>
                <w:sz w:val="14"/>
                <w:szCs w:val="14"/>
                <w:b w:val="1"/>
                <w:bCs w:val="1"/>
                <w:color w:val="0A9E50"/>
              </w:rPr>
              <w:t>Year 3 # of</w:t>
            </w: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4"/>
        </w:trPr>
        <w:tc>
          <w:tcPr>
            <w:tcW w:w="3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600" w:type="dxa"/>
            <w:vAlign w:val="bottom"/>
            <w:vMerge w:val="restart"/>
          </w:tcPr>
          <w:p>
            <w:pPr>
              <w:jc w:val="center"/>
              <w:ind w:left="526"/>
              <w:spacing w:after="0" w:line="156" w:lineRule="exact"/>
              <w:rPr>
                <w:sz w:val="20"/>
                <w:szCs w:val="20"/>
                <w:color w:val="auto"/>
              </w:rPr>
            </w:pPr>
            <w:r>
              <w:rPr>
                <w:rFonts w:ascii="Arial" w:cs="Arial" w:eastAsia="Arial" w:hAnsi="Arial"/>
                <w:sz w:val="14"/>
                <w:szCs w:val="14"/>
                <w:b w:val="1"/>
                <w:bCs w:val="1"/>
                <w:color w:val="0A9E50"/>
                <w:w w:val="98"/>
              </w:rPr>
              <w:t>Performance</w:t>
            </w:r>
          </w:p>
        </w:tc>
        <w:tc>
          <w:tcPr>
            <w:tcW w:w="0" w:type="dxa"/>
            <w:vAlign w:val="bottom"/>
          </w:tcPr>
          <w:p>
            <w:pPr>
              <w:spacing w:after="0"/>
              <w:rPr>
                <w:sz w:val="1"/>
                <w:szCs w:val="1"/>
                <w:color w:val="auto"/>
              </w:rPr>
            </w:pPr>
          </w:p>
        </w:tc>
      </w:tr>
      <w:tr>
        <w:trPr>
          <w:trHeight w:val="52"/>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0A9E50"/>
              </w:rPr>
              <w:t>  Name</w:t>
            </w:r>
          </w:p>
        </w:tc>
        <w:tc>
          <w:tcPr>
            <w:tcW w:w="1300" w:type="dxa"/>
            <w:vAlign w:val="bottom"/>
            <w:vMerge w:val="restart"/>
          </w:tcPr>
          <w:p>
            <w:pPr>
              <w:jc w:val="right"/>
              <w:ind w:right="406"/>
              <w:spacing w:after="0"/>
              <w:rPr>
                <w:sz w:val="20"/>
                <w:szCs w:val="20"/>
                <w:color w:val="auto"/>
              </w:rPr>
            </w:pPr>
            <w:r>
              <w:rPr>
                <w:rFonts w:ascii="Arial" w:cs="Arial" w:eastAsia="Arial" w:hAnsi="Arial"/>
                <w:sz w:val="14"/>
                <w:szCs w:val="14"/>
                <w:b w:val="1"/>
                <w:bCs w:val="1"/>
                <w:color w:val="0A9E50"/>
              </w:rPr>
              <w:t>of Shares</w:t>
            </w:r>
          </w:p>
        </w:tc>
        <w:tc>
          <w:tcPr>
            <w:tcW w:w="1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0A9E50"/>
                <w:w w:val="99"/>
              </w:rPr>
              <w:t>Shares Earned</w:t>
            </w:r>
          </w:p>
        </w:tc>
        <w:tc>
          <w:tcPr>
            <w:tcW w:w="1320" w:type="dxa"/>
            <w:vAlign w:val="bottom"/>
            <w:vMerge w:val="restart"/>
          </w:tcPr>
          <w:p>
            <w:pPr>
              <w:jc w:val="right"/>
              <w:ind w:right="426"/>
              <w:spacing w:after="0"/>
              <w:rPr>
                <w:sz w:val="20"/>
                <w:szCs w:val="20"/>
                <w:color w:val="auto"/>
              </w:rPr>
            </w:pPr>
            <w:r>
              <w:rPr>
                <w:rFonts w:ascii="Arial" w:cs="Arial" w:eastAsia="Arial" w:hAnsi="Arial"/>
                <w:sz w:val="14"/>
                <w:szCs w:val="14"/>
                <w:b w:val="1"/>
                <w:bCs w:val="1"/>
                <w:color w:val="0A9E50"/>
              </w:rPr>
              <w:t>of Shares</w:t>
            </w: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0A9E50"/>
              </w:rPr>
              <w:t>Shares Earned</w:t>
            </w: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18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920" w:type="dxa"/>
            <w:vAlign w:val="bottom"/>
            <w:tcBorders>
              <w:bottom w:val="single" w:sz="8" w:color="auto"/>
            </w:tcBorders>
            <w:gridSpan w:val="2"/>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tcPr>
          <w:p>
            <w:pPr>
              <w:jc w:val="center"/>
              <w:ind w:left="526"/>
              <w:spacing w:after="0"/>
              <w:rPr>
                <w:sz w:val="20"/>
                <w:szCs w:val="20"/>
                <w:color w:val="auto"/>
              </w:rPr>
            </w:pPr>
            <w:r>
              <w:rPr>
                <w:rFonts w:ascii="Arial" w:cs="Arial" w:eastAsia="Arial" w:hAnsi="Arial"/>
                <w:sz w:val="14"/>
                <w:szCs w:val="14"/>
                <w:b w:val="1"/>
                <w:bCs w:val="1"/>
                <w:color w:val="0A9E50"/>
                <w:w w:val="97"/>
              </w:rPr>
              <w:t>Shares Earned</w:t>
            </w: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Arial" w:cs="Arial" w:eastAsia="Arial" w:hAnsi="Arial"/>
                <w:sz w:val="16"/>
                <w:szCs w:val="16"/>
                <w:b w:val="1"/>
                <w:bCs w:val="1"/>
                <w:color w:val="auto"/>
              </w:rPr>
              <w:t>  Peter W. Quigley</w:t>
            </w:r>
          </w:p>
        </w:tc>
        <w:tc>
          <w:tcPr>
            <w:tcW w:w="1300" w:type="dxa"/>
            <w:vAlign w:val="bottom"/>
          </w:tcPr>
          <w:p>
            <w:pPr>
              <w:jc w:val="right"/>
              <w:ind w:right="386"/>
              <w:spacing w:after="0"/>
              <w:rPr>
                <w:sz w:val="20"/>
                <w:szCs w:val="20"/>
                <w:color w:val="auto"/>
              </w:rPr>
            </w:pPr>
            <w:r>
              <w:rPr>
                <w:rFonts w:ascii="Arial" w:cs="Arial" w:eastAsia="Arial" w:hAnsi="Arial"/>
                <w:sz w:val="16"/>
                <w:szCs w:val="16"/>
                <w:color w:val="auto"/>
              </w:rPr>
              <w:t>9,991</w:t>
            </w:r>
          </w:p>
        </w:tc>
        <w:tc>
          <w:tcPr>
            <w:tcW w:w="1300" w:type="dxa"/>
            <w:vAlign w:val="bottom"/>
          </w:tcPr>
          <w:p>
            <w:pPr>
              <w:jc w:val="right"/>
              <w:ind w:right="324"/>
              <w:spacing w:after="0"/>
              <w:rPr>
                <w:sz w:val="20"/>
                <w:szCs w:val="20"/>
                <w:color w:val="auto"/>
              </w:rPr>
            </w:pPr>
            <w:r>
              <w:rPr>
                <w:rFonts w:ascii="Arial" w:cs="Arial" w:eastAsia="Arial" w:hAnsi="Arial"/>
                <w:sz w:val="16"/>
                <w:szCs w:val="16"/>
                <w:color w:val="auto"/>
              </w:rPr>
              <w:t>0</w:t>
            </w:r>
          </w:p>
        </w:tc>
        <w:tc>
          <w:tcPr>
            <w:tcW w:w="620" w:type="dxa"/>
            <w:vAlign w:val="bottom"/>
          </w:tcPr>
          <w:p>
            <w:pPr>
              <w:spacing w:after="0"/>
              <w:rPr>
                <w:sz w:val="18"/>
                <w:szCs w:val="18"/>
                <w:color w:val="auto"/>
              </w:rPr>
            </w:pPr>
          </w:p>
        </w:tc>
        <w:tc>
          <w:tcPr>
            <w:tcW w:w="1320" w:type="dxa"/>
            <w:vAlign w:val="bottom"/>
          </w:tcPr>
          <w:p>
            <w:pPr>
              <w:jc w:val="right"/>
              <w:ind w:right="426"/>
              <w:spacing w:after="0"/>
              <w:rPr>
                <w:sz w:val="20"/>
                <w:szCs w:val="20"/>
                <w:color w:val="auto"/>
              </w:rPr>
            </w:pPr>
            <w:r>
              <w:rPr>
                <w:rFonts w:ascii="Arial" w:cs="Arial" w:eastAsia="Arial" w:hAnsi="Arial"/>
                <w:sz w:val="16"/>
                <w:szCs w:val="16"/>
                <w:color w:val="auto"/>
              </w:rPr>
              <w:t>9,991</w:t>
            </w: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9,991</w:t>
            </w:r>
          </w:p>
        </w:tc>
        <w:tc>
          <w:tcPr>
            <w:tcW w:w="1600" w:type="dxa"/>
            <w:vAlign w:val="bottom"/>
          </w:tcPr>
          <w:p>
            <w:pPr>
              <w:jc w:val="right"/>
              <w:ind w:right="26"/>
              <w:spacing w:after="0"/>
              <w:rPr>
                <w:sz w:val="20"/>
                <w:szCs w:val="20"/>
                <w:color w:val="auto"/>
              </w:rPr>
            </w:pPr>
            <w:r>
              <w:rPr>
                <w:rFonts w:ascii="Arial" w:cs="Arial" w:eastAsia="Arial" w:hAnsi="Arial"/>
                <w:sz w:val="16"/>
                <w:szCs w:val="16"/>
                <w:color w:val="auto"/>
              </w:rPr>
              <w:t>9,991</w:t>
            </w:r>
          </w:p>
        </w:tc>
        <w:tc>
          <w:tcPr>
            <w:tcW w:w="0" w:type="dxa"/>
            <w:vAlign w:val="bottom"/>
          </w:tcPr>
          <w:p>
            <w:pPr>
              <w:spacing w:after="0"/>
              <w:rPr>
                <w:sz w:val="1"/>
                <w:szCs w:val="1"/>
                <w:color w:val="auto"/>
              </w:rPr>
            </w:pPr>
          </w:p>
        </w:tc>
      </w:tr>
      <w:tr>
        <w:trPr>
          <w:trHeight w:val="45"/>
        </w:trPr>
        <w:tc>
          <w:tcPr>
            <w:tcW w:w="318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32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6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Arial" w:cs="Arial" w:eastAsia="Arial" w:hAnsi="Arial"/>
                <w:sz w:val="16"/>
                <w:szCs w:val="16"/>
                <w:b w:val="1"/>
                <w:bCs w:val="1"/>
                <w:color w:val="auto"/>
              </w:rPr>
              <w:t>  Olivier G. Thirot</w:t>
            </w:r>
          </w:p>
        </w:tc>
        <w:tc>
          <w:tcPr>
            <w:tcW w:w="1300" w:type="dxa"/>
            <w:vAlign w:val="bottom"/>
          </w:tcPr>
          <w:p>
            <w:pPr>
              <w:jc w:val="right"/>
              <w:ind w:right="386"/>
              <w:spacing w:after="0"/>
              <w:rPr>
                <w:sz w:val="20"/>
                <w:szCs w:val="20"/>
                <w:color w:val="auto"/>
              </w:rPr>
            </w:pPr>
            <w:r>
              <w:rPr>
                <w:rFonts w:ascii="Arial" w:cs="Arial" w:eastAsia="Arial" w:hAnsi="Arial"/>
                <w:sz w:val="16"/>
                <w:szCs w:val="16"/>
                <w:color w:val="auto"/>
              </w:rPr>
              <w:t>5,056</w:t>
            </w:r>
          </w:p>
        </w:tc>
        <w:tc>
          <w:tcPr>
            <w:tcW w:w="1300" w:type="dxa"/>
            <w:vAlign w:val="bottom"/>
          </w:tcPr>
          <w:p>
            <w:pPr>
              <w:jc w:val="right"/>
              <w:ind w:right="324"/>
              <w:spacing w:after="0"/>
              <w:rPr>
                <w:sz w:val="20"/>
                <w:szCs w:val="20"/>
                <w:color w:val="auto"/>
              </w:rPr>
            </w:pPr>
            <w:r>
              <w:rPr>
                <w:rFonts w:ascii="Arial" w:cs="Arial" w:eastAsia="Arial" w:hAnsi="Arial"/>
                <w:sz w:val="16"/>
                <w:szCs w:val="16"/>
                <w:color w:val="auto"/>
              </w:rPr>
              <w:t>0</w:t>
            </w:r>
          </w:p>
        </w:tc>
        <w:tc>
          <w:tcPr>
            <w:tcW w:w="620" w:type="dxa"/>
            <w:vAlign w:val="bottom"/>
          </w:tcPr>
          <w:p>
            <w:pPr>
              <w:spacing w:after="0"/>
              <w:rPr>
                <w:sz w:val="18"/>
                <w:szCs w:val="18"/>
                <w:color w:val="auto"/>
              </w:rPr>
            </w:pPr>
          </w:p>
        </w:tc>
        <w:tc>
          <w:tcPr>
            <w:tcW w:w="1320" w:type="dxa"/>
            <w:vAlign w:val="bottom"/>
          </w:tcPr>
          <w:p>
            <w:pPr>
              <w:jc w:val="right"/>
              <w:ind w:right="426"/>
              <w:spacing w:after="0"/>
              <w:rPr>
                <w:sz w:val="20"/>
                <w:szCs w:val="20"/>
                <w:color w:val="auto"/>
              </w:rPr>
            </w:pPr>
            <w:r>
              <w:rPr>
                <w:rFonts w:ascii="Arial" w:cs="Arial" w:eastAsia="Arial" w:hAnsi="Arial"/>
                <w:sz w:val="16"/>
                <w:szCs w:val="16"/>
                <w:color w:val="auto"/>
              </w:rPr>
              <w:t>5,056</w:t>
            </w: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5,056</w:t>
            </w:r>
          </w:p>
        </w:tc>
        <w:tc>
          <w:tcPr>
            <w:tcW w:w="1600" w:type="dxa"/>
            <w:vAlign w:val="bottom"/>
          </w:tcPr>
          <w:p>
            <w:pPr>
              <w:jc w:val="right"/>
              <w:ind w:right="26"/>
              <w:spacing w:after="0"/>
              <w:rPr>
                <w:sz w:val="20"/>
                <w:szCs w:val="20"/>
                <w:color w:val="auto"/>
              </w:rPr>
            </w:pPr>
            <w:r>
              <w:rPr>
                <w:rFonts w:ascii="Arial" w:cs="Arial" w:eastAsia="Arial" w:hAnsi="Arial"/>
                <w:sz w:val="16"/>
                <w:szCs w:val="16"/>
                <w:color w:val="auto"/>
              </w:rPr>
              <w:t>5,056</w:t>
            </w:r>
          </w:p>
        </w:tc>
        <w:tc>
          <w:tcPr>
            <w:tcW w:w="0" w:type="dxa"/>
            <w:vAlign w:val="bottom"/>
          </w:tcPr>
          <w:p>
            <w:pPr>
              <w:spacing w:after="0"/>
              <w:rPr>
                <w:sz w:val="1"/>
                <w:szCs w:val="1"/>
                <w:color w:val="auto"/>
              </w:rPr>
            </w:pPr>
          </w:p>
        </w:tc>
      </w:tr>
      <w:tr>
        <w:trPr>
          <w:trHeight w:val="45"/>
        </w:trPr>
        <w:tc>
          <w:tcPr>
            <w:tcW w:w="318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32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6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Arial" w:cs="Arial" w:eastAsia="Arial" w:hAnsi="Arial"/>
                <w:sz w:val="16"/>
                <w:szCs w:val="16"/>
                <w:b w:val="1"/>
                <w:bCs w:val="1"/>
                <w:color w:val="auto"/>
              </w:rPr>
              <w:t>  Daniel H. Malan</w:t>
            </w:r>
          </w:p>
        </w:tc>
        <w:tc>
          <w:tcPr>
            <w:tcW w:w="1300" w:type="dxa"/>
            <w:vAlign w:val="bottom"/>
          </w:tcPr>
          <w:p>
            <w:pPr>
              <w:jc w:val="right"/>
              <w:ind w:right="386"/>
              <w:spacing w:after="0"/>
              <w:rPr>
                <w:sz w:val="20"/>
                <w:szCs w:val="20"/>
                <w:color w:val="auto"/>
              </w:rPr>
            </w:pPr>
            <w:r>
              <w:rPr>
                <w:rFonts w:ascii="Arial" w:cs="Arial" w:eastAsia="Arial" w:hAnsi="Arial"/>
                <w:sz w:val="16"/>
                <w:szCs w:val="16"/>
                <w:color w:val="auto"/>
              </w:rPr>
              <w:t>1,662</w:t>
            </w:r>
          </w:p>
        </w:tc>
        <w:tc>
          <w:tcPr>
            <w:tcW w:w="1300" w:type="dxa"/>
            <w:vAlign w:val="bottom"/>
          </w:tcPr>
          <w:p>
            <w:pPr>
              <w:jc w:val="right"/>
              <w:ind w:right="324"/>
              <w:spacing w:after="0"/>
              <w:rPr>
                <w:sz w:val="20"/>
                <w:szCs w:val="20"/>
                <w:color w:val="auto"/>
              </w:rPr>
            </w:pPr>
            <w:r>
              <w:rPr>
                <w:rFonts w:ascii="Arial" w:cs="Arial" w:eastAsia="Arial" w:hAnsi="Arial"/>
                <w:sz w:val="16"/>
                <w:szCs w:val="16"/>
                <w:color w:val="auto"/>
              </w:rPr>
              <w:t>0</w:t>
            </w:r>
          </w:p>
        </w:tc>
        <w:tc>
          <w:tcPr>
            <w:tcW w:w="620" w:type="dxa"/>
            <w:vAlign w:val="bottom"/>
          </w:tcPr>
          <w:p>
            <w:pPr>
              <w:spacing w:after="0"/>
              <w:rPr>
                <w:sz w:val="18"/>
                <w:szCs w:val="18"/>
                <w:color w:val="auto"/>
              </w:rPr>
            </w:pPr>
          </w:p>
        </w:tc>
        <w:tc>
          <w:tcPr>
            <w:tcW w:w="1320" w:type="dxa"/>
            <w:vAlign w:val="bottom"/>
          </w:tcPr>
          <w:p>
            <w:pPr>
              <w:jc w:val="right"/>
              <w:ind w:right="426"/>
              <w:spacing w:after="0"/>
              <w:rPr>
                <w:sz w:val="20"/>
                <w:szCs w:val="20"/>
                <w:color w:val="auto"/>
              </w:rPr>
            </w:pPr>
            <w:r>
              <w:rPr>
                <w:rFonts w:ascii="Arial" w:cs="Arial" w:eastAsia="Arial" w:hAnsi="Arial"/>
                <w:sz w:val="16"/>
                <w:szCs w:val="16"/>
                <w:color w:val="auto"/>
              </w:rPr>
              <w:t>1,662</w:t>
            </w: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1,662</w:t>
            </w:r>
          </w:p>
        </w:tc>
        <w:tc>
          <w:tcPr>
            <w:tcW w:w="1600" w:type="dxa"/>
            <w:vAlign w:val="bottom"/>
          </w:tcPr>
          <w:p>
            <w:pPr>
              <w:jc w:val="right"/>
              <w:ind w:right="26"/>
              <w:spacing w:after="0"/>
              <w:rPr>
                <w:sz w:val="20"/>
                <w:szCs w:val="20"/>
                <w:color w:val="auto"/>
              </w:rPr>
            </w:pPr>
            <w:r>
              <w:rPr>
                <w:rFonts w:ascii="Arial" w:cs="Arial" w:eastAsia="Arial" w:hAnsi="Arial"/>
                <w:sz w:val="16"/>
                <w:szCs w:val="16"/>
                <w:color w:val="auto"/>
              </w:rPr>
              <w:t>1,662</w:t>
            </w:r>
          </w:p>
        </w:tc>
        <w:tc>
          <w:tcPr>
            <w:tcW w:w="0" w:type="dxa"/>
            <w:vAlign w:val="bottom"/>
          </w:tcPr>
          <w:p>
            <w:pPr>
              <w:spacing w:after="0"/>
              <w:rPr>
                <w:sz w:val="1"/>
                <w:szCs w:val="1"/>
                <w:color w:val="auto"/>
              </w:rPr>
            </w:pPr>
          </w:p>
        </w:tc>
      </w:tr>
      <w:tr>
        <w:trPr>
          <w:trHeight w:val="45"/>
        </w:trPr>
        <w:tc>
          <w:tcPr>
            <w:tcW w:w="318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32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6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Arial" w:cs="Arial" w:eastAsia="Arial" w:hAnsi="Arial"/>
                <w:sz w:val="16"/>
                <w:szCs w:val="16"/>
                <w:b w:val="1"/>
                <w:bCs w:val="1"/>
                <w:color w:val="auto"/>
              </w:rPr>
              <w:t>  Vanessa P. Williams</w:t>
            </w:r>
          </w:p>
        </w:tc>
        <w:tc>
          <w:tcPr>
            <w:tcW w:w="1300" w:type="dxa"/>
            <w:vAlign w:val="bottom"/>
          </w:tcPr>
          <w:p>
            <w:pPr>
              <w:jc w:val="right"/>
              <w:ind w:right="386"/>
              <w:spacing w:after="0"/>
              <w:rPr>
                <w:sz w:val="20"/>
                <w:szCs w:val="20"/>
                <w:color w:val="auto"/>
              </w:rPr>
            </w:pPr>
            <w:r>
              <w:rPr>
                <w:rFonts w:ascii="Arial" w:cs="Arial" w:eastAsia="Arial" w:hAnsi="Arial"/>
                <w:sz w:val="16"/>
                <w:szCs w:val="16"/>
                <w:color w:val="auto"/>
              </w:rPr>
              <w:t>2,080</w:t>
            </w:r>
          </w:p>
        </w:tc>
        <w:tc>
          <w:tcPr>
            <w:tcW w:w="1300" w:type="dxa"/>
            <w:vAlign w:val="bottom"/>
          </w:tcPr>
          <w:p>
            <w:pPr>
              <w:jc w:val="right"/>
              <w:ind w:right="324"/>
              <w:spacing w:after="0"/>
              <w:rPr>
                <w:sz w:val="20"/>
                <w:szCs w:val="20"/>
                <w:color w:val="auto"/>
              </w:rPr>
            </w:pPr>
            <w:r>
              <w:rPr>
                <w:rFonts w:ascii="Arial" w:cs="Arial" w:eastAsia="Arial" w:hAnsi="Arial"/>
                <w:sz w:val="16"/>
                <w:szCs w:val="16"/>
                <w:color w:val="auto"/>
              </w:rPr>
              <w:t>0</w:t>
            </w:r>
          </w:p>
        </w:tc>
        <w:tc>
          <w:tcPr>
            <w:tcW w:w="620" w:type="dxa"/>
            <w:vAlign w:val="bottom"/>
          </w:tcPr>
          <w:p>
            <w:pPr>
              <w:spacing w:after="0"/>
              <w:rPr>
                <w:sz w:val="18"/>
                <w:szCs w:val="18"/>
                <w:color w:val="auto"/>
              </w:rPr>
            </w:pPr>
          </w:p>
        </w:tc>
        <w:tc>
          <w:tcPr>
            <w:tcW w:w="1320" w:type="dxa"/>
            <w:vAlign w:val="bottom"/>
          </w:tcPr>
          <w:p>
            <w:pPr>
              <w:jc w:val="right"/>
              <w:ind w:right="426"/>
              <w:spacing w:after="0"/>
              <w:rPr>
                <w:sz w:val="20"/>
                <w:szCs w:val="20"/>
                <w:color w:val="auto"/>
              </w:rPr>
            </w:pPr>
            <w:r>
              <w:rPr>
                <w:rFonts w:ascii="Arial" w:cs="Arial" w:eastAsia="Arial" w:hAnsi="Arial"/>
                <w:sz w:val="16"/>
                <w:szCs w:val="16"/>
                <w:color w:val="auto"/>
              </w:rPr>
              <w:t>2,080</w:t>
            </w: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2,080</w:t>
            </w:r>
          </w:p>
        </w:tc>
        <w:tc>
          <w:tcPr>
            <w:tcW w:w="1600" w:type="dxa"/>
            <w:vAlign w:val="bottom"/>
          </w:tcPr>
          <w:p>
            <w:pPr>
              <w:jc w:val="right"/>
              <w:ind w:right="26"/>
              <w:spacing w:after="0"/>
              <w:rPr>
                <w:sz w:val="20"/>
                <w:szCs w:val="20"/>
                <w:color w:val="auto"/>
              </w:rPr>
            </w:pPr>
            <w:r>
              <w:rPr>
                <w:rFonts w:ascii="Arial" w:cs="Arial" w:eastAsia="Arial" w:hAnsi="Arial"/>
                <w:sz w:val="16"/>
                <w:szCs w:val="16"/>
                <w:color w:val="auto"/>
              </w:rPr>
              <w:t>2,080</w:t>
            </w:r>
          </w:p>
        </w:tc>
        <w:tc>
          <w:tcPr>
            <w:tcW w:w="0" w:type="dxa"/>
            <w:vAlign w:val="bottom"/>
          </w:tcPr>
          <w:p>
            <w:pPr>
              <w:spacing w:after="0"/>
              <w:rPr>
                <w:sz w:val="1"/>
                <w:szCs w:val="1"/>
                <w:color w:val="auto"/>
              </w:rPr>
            </w:pPr>
          </w:p>
        </w:tc>
      </w:tr>
      <w:tr>
        <w:trPr>
          <w:trHeight w:val="45"/>
        </w:trPr>
        <w:tc>
          <w:tcPr>
            <w:tcW w:w="318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32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6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Arial" w:cs="Arial" w:eastAsia="Arial" w:hAnsi="Arial"/>
                <w:sz w:val="16"/>
                <w:szCs w:val="16"/>
                <w:b w:val="1"/>
                <w:bCs w:val="1"/>
                <w:color w:val="auto"/>
              </w:rPr>
              <w:t>  Dinette Koolhaas</w:t>
            </w:r>
          </w:p>
        </w:tc>
        <w:tc>
          <w:tcPr>
            <w:tcW w:w="1300" w:type="dxa"/>
            <w:vAlign w:val="bottom"/>
          </w:tcPr>
          <w:p>
            <w:pPr>
              <w:jc w:val="right"/>
              <w:ind w:right="386"/>
              <w:spacing w:after="0"/>
              <w:rPr>
                <w:sz w:val="20"/>
                <w:szCs w:val="20"/>
                <w:color w:val="auto"/>
              </w:rPr>
            </w:pPr>
            <w:r>
              <w:rPr>
                <w:rFonts w:ascii="Arial" w:cs="Arial" w:eastAsia="Arial" w:hAnsi="Arial"/>
                <w:sz w:val="16"/>
                <w:szCs w:val="16"/>
                <w:color w:val="auto"/>
              </w:rPr>
              <w:t>1,598</w:t>
            </w:r>
          </w:p>
        </w:tc>
        <w:tc>
          <w:tcPr>
            <w:tcW w:w="1300" w:type="dxa"/>
            <w:vAlign w:val="bottom"/>
          </w:tcPr>
          <w:p>
            <w:pPr>
              <w:jc w:val="right"/>
              <w:ind w:right="324"/>
              <w:spacing w:after="0"/>
              <w:rPr>
                <w:sz w:val="20"/>
                <w:szCs w:val="20"/>
                <w:color w:val="auto"/>
              </w:rPr>
            </w:pPr>
            <w:r>
              <w:rPr>
                <w:rFonts w:ascii="Arial" w:cs="Arial" w:eastAsia="Arial" w:hAnsi="Arial"/>
                <w:sz w:val="16"/>
                <w:szCs w:val="16"/>
                <w:color w:val="auto"/>
              </w:rPr>
              <w:t>0</w:t>
            </w:r>
          </w:p>
        </w:tc>
        <w:tc>
          <w:tcPr>
            <w:tcW w:w="620" w:type="dxa"/>
            <w:vAlign w:val="bottom"/>
          </w:tcPr>
          <w:p>
            <w:pPr>
              <w:spacing w:after="0"/>
              <w:rPr>
                <w:sz w:val="18"/>
                <w:szCs w:val="18"/>
                <w:color w:val="auto"/>
              </w:rPr>
            </w:pPr>
          </w:p>
        </w:tc>
        <w:tc>
          <w:tcPr>
            <w:tcW w:w="1320" w:type="dxa"/>
            <w:vAlign w:val="bottom"/>
          </w:tcPr>
          <w:p>
            <w:pPr>
              <w:jc w:val="right"/>
              <w:ind w:right="426"/>
              <w:spacing w:after="0"/>
              <w:rPr>
                <w:sz w:val="20"/>
                <w:szCs w:val="20"/>
                <w:color w:val="auto"/>
              </w:rPr>
            </w:pPr>
            <w:r>
              <w:rPr>
                <w:rFonts w:ascii="Arial" w:cs="Arial" w:eastAsia="Arial" w:hAnsi="Arial"/>
                <w:sz w:val="16"/>
                <w:szCs w:val="16"/>
                <w:color w:val="auto"/>
              </w:rPr>
              <w:t>1,598</w:t>
            </w: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1,598</w:t>
            </w:r>
          </w:p>
        </w:tc>
        <w:tc>
          <w:tcPr>
            <w:tcW w:w="1600" w:type="dxa"/>
            <w:vAlign w:val="bottom"/>
          </w:tcPr>
          <w:p>
            <w:pPr>
              <w:jc w:val="right"/>
              <w:ind w:right="26"/>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45"/>
        </w:trPr>
        <w:tc>
          <w:tcPr>
            <w:tcW w:w="318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32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6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20"/>
        <w:spacing w:after="0"/>
        <w:rPr>
          <w:sz w:val="20"/>
          <w:szCs w:val="20"/>
          <w:color w:val="auto"/>
        </w:rPr>
      </w:pPr>
      <w:r>
        <w:rPr>
          <w:rFonts w:ascii="Arial" w:cs="Arial" w:eastAsia="Arial" w:hAnsi="Arial"/>
          <w:sz w:val="16"/>
          <w:szCs w:val="16"/>
          <w:i w:val="1"/>
          <w:iCs w:val="1"/>
          <w:u w:val="single" w:color="auto"/>
          <w:color w:val="auto"/>
        </w:rPr>
        <w:t>2022-2024 Long-Term Incentive Performance Results – Year 2</w:t>
      </w:r>
    </w:p>
    <w:p>
      <w:pPr>
        <w:spacing w:after="0" w:line="76" w:lineRule="exact"/>
        <w:rPr>
          <w:sz w:val="20"/>
          <w:szCs w:val="20"/>
          <w:color w:val="auto"/>
        </w:rPr>
      </w:pPr>
    </w:p>
    <w:p>
      <w:pPr>
        <w:ind w:left="320" w:right="20"/>
        <w:spacing w:after="0" w:line="243" w:lineRule="auto"/>
        <w:rPr>
          <w:sz w:val="20"/>
          <w:szCs w:val="20"/>
          <w:color w:val="auto"/>
        </w:rPr>
      </w:pPr>
      <w:r>
        <w:rPr>
          <w:rFonts w:ascii="Arial" w:cs="Arial" w:eastAsia="Arial" w:hAnsi="Arial"/>
          <w:sz w:val="16"/>
          <w:szCs w:val="16"/>
          <w:color w:val="auto"/>
        </w:rPr>
        <w:t>The 2022-2024 performance shares have two financial measures, revenue growth and EBITDA margin, which have three one-year goals set in the beginning of each performance year. In February 2023, the Committee approved goals at threshold, target, and maximum levels of performance for each of the measures for the 2023 portion of the award opportunity. During its February 13, 2024 meeting, the Committee approved the results for the 2023 performance year. Earned shares will vest 100% upon the third anniversary of the grant (February 2025). Aggregate funding for all performance measures during the 2023 performance year was 50% of target. The final performance results for the 2023 performance year are provided in the following chart:</w:t>
      </w: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0A9E50"/>
              </w:rPr>
              <w:t>2023 Performance Goals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0A9E50"/>
                <w:w w:val="94"/>
              </w:rPr>
              <w:t>2022 Year</w:t>
            </w:r>
          </w:p>
        </w:tc>
        <w:tc>
          <w:tcPr>
            <w:tcW w:w="800" w:type="dxa"/>
            <w:vAlign w:val="bottom"/>
          </w:tcPr>
          <w:p>
            <w:pPr>
              <w:jc w:val="center"/>
              <w:ind w:right="26"/>
              <w:spacing w:after="0"/>
              <w:rPr>
                <w:sz w:val="20"/>
                <w:szCs w:val="20"/>
                <w:color w:val="auto"/>
              </w:rPr>
            </w:pPr>
            <w:r>
              <w:rPr>
                <w:rFonts w:ascii="Arial" w:cs="Arial" w:eastAsia="Arial" w:hAnsi="Arial"/>
                <w:sz w:val="14"/>
                <w:szCs w:val="14"/>
                <w:b w:val="1"/>
                <w:bCs w:val="1"/>
                <w:color w:val="0A9E50"/>
                <w:w w:val="98"/>
              </w:rPr>
              <w:t>Payout</w:t>
            </w:r>
          </w:p>
        </w:tc>
      </w:tr>
      <w:tr>
        <w:trPr>
          <w:trHeight w:val="136"/>
        </w:trPr>
        <w:tc>
          <w:tcPr>
            <w:tcW w:w="39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60" w:type="dxa"/>
            <w:vAlign w:val="bottom"/>
          </w:tcPr>
          <w:p>
            <w:pPr>
              <w:jc w:val="center"/>
              <w:spacing w:after="0" w:line="136" w:lineRule="exact"/>
              <w:rPr>
                <w:sz w:val="20"/>
                <w:szCs w:val="20"/>
                <w:color w:val="auto"/>
              </w:rPr>
            </w:pPr>
            <w:r>
              <w:rPr>
                <w:rFonts w:ascii="Arial" w:cs="Arial" w:eastAsia="Arial" w:hAnsi="Arial"/>
                <w:sz w:val="14"/>
                <w:szCs w:val="14"/>
                <w:b w:val="1"/>
                <w:bCs w:val="1"/>
                <w:color w:val="0A9E50"/>
                <w:w w:val="97"/>
              </w:rPr>
              <w:t>Threshold</w:t>
            </w:r>
          </w:p>
        </w:tc>
        <w:tc>
          <w:tcPr>
            <w:tcW w:w="900" w:type="dxa"/>
            <w:vAlign w:val="bottom"/>
          </w:tcPr>
          <w:p>
            <w:pPr>
              <w:jc w:val="center"/>
              <w:spacing w:after="0" w:line="136" w:lineRule="exact"/>
              <w:rPr>
                <w:sz w:val="20"/>
                <w:szCs w:val="20"/>
                <w:color w:val="auto"/>
              </w:rPr>
            </w:pPr>
            <w:r>
              <w:rPr>
                <w:rFonts w:ascii="Arial" w:cs="Arial" w:eastAsia="Arial" w:hAnsi="Arial"/>
                <w:sz w:val="14"/>
                <w:szCs w:val="14"/>
                <w:b w:val="1"/>
                <w:bCs w:val="1"/>
                <w:color w:val="0A9E50"/>
                <w:w w:val="93"/>
              </w:rPr>
              <w:t>Target</w:t>
            </w:r>
          </w:p>
        </w:tc>
        <w:tc>
          <w:tcPr>
            <w:tcW w:w="780" w:type="dxa"/>
            <w:vAlign w:val="bottom"/>
          </w:tcPr>
          <w:p>
            <w:pPr>
              <w:ind w:left="100"/>
              <w:spacing w:after="0" w:line="136" w:lineRule="exact"/>
              <w:rPr>
                <w:sz w:val="20"/>
                <w:szCs w:val="20"/>
                <w:color w:val="auto"/>
              </w:rPr>
            </w:pPr>
            <w:r>
              <w:rPr>
                <w:rFonts w:ascii="Arial" w:cs="Arial" w:eastAsia="Arial" w:hAnsi="Arial"/>
                <w:sz w:val="14"/>
                <w:szCs w:val="14"/>
                <w:b w:val="1"/>
                <w:bCs w:val="1"/>
                <w:color w:val="0A9E50"/>
              </w:rPr>
              <w:t>Maximum</w:t>
            </w:r>
          </w:p>
        </w:tc>
        <w:tc>
          <w:tcPr>
            <w:tcW w:w="880" w:type="dxa"/>
            <w:vAlign w:val="bottom"/>
          </w:tcPr>
          <w:p>
            <w:pPr>
              <w:jc w:val="center"/>
              <w:spacing w:after="0" w:line="136" w:lineRule="exact"/>
              <w:rPr>
                <w:sz w:val="20"/>
                <w:szCs w:val="20"/>
                <w:color w:val="auto"/>
              </w:rPr>
            </w:pPr>
            <w:r>
              <w:rPr>
                <w:rFonts w:ascii="Arial" w:cs="Arial" w:eastAsia="Arial" w:hAnsi="Arial"/>
                <w:sz w:val="14"/>
                <w:szCs w:val="14"/>
                <w:b w:val="1"/>
                <w:bCs w:val="1"/>
                <w:color w:val="0A9E50"/>
                <w:w w:val="99"/>
              </w:rPr>
              <w:t>2 Actual</w:t>
            </w:r>
          </w:p>
        </w:tc>
        <w:tc>
          <w:tcPr>
            <w:tcW w:w="800" w:type="dxa"/>
            <w:vAlign w:val="bottom"/>
          </w:tcPr>
          <w:p>
            <w:pPr>
              <w:jc w:val="center"/>
              <w:ind w:right="26"/>
              <w:spacing w:after="0" w:line="136" w:lineRule="exact"/>
              <w:rPr>
                <w:sz w:val="20"/>
                <w:szCs w:val="20"/>
                <w:color w:val="auto"/>
              </w:rPr>
            </w:pPr>
            <w:r>
              <w:rPr>
                <w:rFonts w:ascii="Arial" w:cs="Arial" w:eastAsia="Arial" w:hAnsi="Arial"/>
                <w:sz w:val="14"/>
                <w:szCs w:val="14"/>
                <w:b w:val="1"/>
                <w:bCs w:val="1"/>
                <w:color w:val="0A9E50"/>
              </w:rPr>
              <w:t>as % of</w:t>
            </w:r>
          </w:p>
        </w:tc>
      </w:tr>
      <w:tr>
        <w:trPr>
          <w:trHeight w:val="195"/>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Financial Performance Measures</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A9E50"/>
              </w:rPr>
              <w:t>Weighting</w:t>
            </w:r>
          </w:p>
        </w:tc>
        <w:tc>
          <w:tcPr>
            <w:tcW w:w="96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0A9E50"/>
              </w:rPr>
              <w:t>50%</w:t>
            </w:r>
          </w:p>
        </w:tc>
        <w:tc>
          <w:tcPr>
            <w:tcW w:w="90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0A9E50"/>
              </w:rPr>
              <w:t>100%</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rPr>
              <w:t>200%</w:t>
            </w:r>
          </w:p>
        </w:tc>
        <w:tc>
          <w:tcPr>
            <w:tcW w:w="88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4"/>
                <w:szCs w:val="14"/>
                <w:b w:val="1"/>
                <w:bCs w:val="1"/>
                <w:color w:val="0A9E50"/>
                <w:w w:val="92"/>
              </w:rPr>
              <w:t>Results</w:t>
            </w:r>
            <w:r>
              <w:rPr>
                <w:rFonts w:ascii="Arial" w:cs="Arial" w:eastAsia="Arial" w:hAnsi="Arial"/>
                <w:sz w:val="20"/>
                <w:szCs w:val="20"/>
                <w:b w:val="1"/>
                <w:bCs w:val="1"/>
                <w:color w:val="0A9E50"/>
                <w:w w:val="92"/>
                <w:vertAlign w:val="superscript"/>
              </w:rPr>
              <w:t>(1)</w:t>
            </w: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0A9E50"/>
                <w:w w:val="98"/>
              </w:rPr>
              <w:t>Target</w:t>
            </w:r>
          </w:p>
        </w:tc>
      </w:tr>
      <w:tr>
        <w:trPr>
          <w:trHeight w:val="199"/>
        </w:trPr>
        <w:tc>
          <w:tcPr>
            <w:tcW w:w="3900" w:type="dxa"/>
            <w:vAlign w:val="bottom"/>
          </w:tcPr>
          <w:p>
            <w:pPr>
              <w:spacing w:after="0"/>
              <w:rPr>
                <w:sz w:val="20"/>
                <w:szCs w:val="20"/>
                <w:color w:val="auto"/>
              </w:rPr>
            </w:pPr>
            <w:r>
              <w:rPr>
                <w:rFonts w:ascii="Arial" w:cs="Arial" w:eastAsia="Arial" w:hAnsi="Arial"/>
                <w:sz w:val="16"/>
                <w:szCs w:val="16"/>
                <w:color w:val="auto"/>
              </w:rPr>
              <w:t>  Revenue Growth</w:t>
            </w:r>
          </w:p>
        </w:tc>
        <w:tc>
          <w:tcPr>
            <w:tcW w:w="2400" w:type="dxa"/>
            <w:vAlign w:val="bottom"/>
          </w:tcPr>
          <w:p>
            <w:pPr>
              <w:jc w:val="right"/>
              <w:ind w:right="65"/>
              <w:spacing w:after="0"/>
              <w:rPr>
                <w:sz w:val="20"/>
                <w:szCs w:val="20"/>
                <w:color w:val="auto"/>
              </w:rPr>
            </w:pPr>
            <w:r>
              <w:rPr>
                <w:rFonts w:ascii="Arial" w:cs="Arial" w:eastAsia="Arial" w:hAnsi="Arial"/>
                <w:sz w:val="16"/>
                <w:szCs w:val="16"/>
                <w:color w:val="auto"/>
              </w:rPr>
              <w:t>50.0%</w:t>
            </w:r>
          </w:p>
        </w:tc>
        <w:tc>
          <w:tcPr>
            <w:tcW w:w="960" w:type="dxa"/>
            <w:vAlign w:val="bottom"/>
          </w:tcPr>
          <w:p>
            <w:pPr>
              <w:jc w:val="right"/>
              <w:ind w:right="27"/>
              <w:spacing w:after="0"/>
              <w:rPr>
                <w:sz w:val="20"/>
                <w:szCs w:val="20"/>
                <w:color w:val="auto"/>
              </w:rPr>
            </w:pPr>
            <w:r>
              <w:rPr>
                <w:rFonts w:ascii="Arial" w:cs="Arial" w:eastAsia="Arial" w:hAnsi="Arial"/>
                <w:sz w:val="16"/>
                <w:szCs w:val="16"/>
                <w:color w:val="auto"/>
              </w:rPr>
              <w:t>$4,822.56</w:t>
            </w:r>
          </w:p>
        </w:tc>
        <w:tc>
          <w:tcPr>
            <w:tcW w:w="900" w:type="dxa"/>
            <w:vAlign w:val="bottom"/>
          </w:tcPr>
          <w:p>
            <w:pPr>
              <w:jc w:val="right"/>
              <w:ind w:right="6"/>
              <w:spacing w:after="0"/>
              <w:rPr>
                <w:sz w:val="20"/>
                <w:szCs w:val="20"/>
                <w:color w:val="auto"/>
              </w:rPr>
            </w:pPr>
            <w:r>
              <w:rPr>
                <w:rFonts w:ascii="Arial" w:cs="Arial" w:eastAsia="Arial" w:hAnsi="Arial"/>
                <w:sz w:val="16"/>
                <w:szCs w:val="16"/>
                <w:color w:val="auto"/>
              </w:rPr>
              <w:t>$5,076.38</w:t>
            </w: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$5,518.03</w:t>
            </w:r>
          </w:p>
        </w:tc>
        <w:tc>
          <w:tcPr>
            <w:tcW w:w="880" w:type="dxa"/>
            <w:vAlign w:val="bottom"/>
          </w:tcPr>
          <w:p>
            <w:pPr>
              <w:jc w:val="right"/>
              <w:ind w:right="7"/>
              <w:spacing w:after="0"/>
              <w:rPr>
                <w:sz w:val="20"/>
                <w:szCs w:val="20"/>
                <w:color w:val="auto"/>
              </w:rPr>
            </w:pPr>
            <w:r>
              <w:rPr>
                <w:rFonts w:ascii="Arial" w:cs="Arial" w:eastAsia="Arial" w:hAnsi="Arial"/>
                <w:sz w:val="16"/>
                <w:szCs w:val="16"/>
                <w:color w:val="auto"/>
              </w:rPr>
              <w:t>$4,771.91</w:t>
            </w:r>
          </w:p>
        </w:tc>
        <w:tc>
          <w:tcPr>
            <w:tcW w:w="800" w:type="dxa"/>
            <w:vAlign w:val="bottom"/>
          </w:tcPr>
          <w:p>
            <w:pPr>
              <w:jc w:val="right"/>
              <w:ind w:right="46"/>
              <w:spacing w:after="0"/>
              <w:rPr>
                <w:sz w:val="20"/>
                <w:szCs w:val="20"/>
                <w:color w:val="auto"/>
              </w:rPr>
            </w:pPr>
            <w:r>
              <w:rPr>
                <w:rFonts w:ascii="Arial" w:cs="Arial" w:eastAsia="Arial" w:hAnsi="Arial"/>
                <w:sz w:val="16"/>
                <w:szCs w:val="16"/>
                <w:color w:val="auto"/>
              </w:rPr>
              <w:t>0.00%</w:t>
            </w:r>
          </w:p>
        </w:tc>
      </w:tr>
      <w:tr>
        <w:trPr>
          <w:trHeight w:val="54"/>
        </w:trPr>
        <w:tc>
          <w:tcPr>
            <w:tcW w:w="3900" w:type="dxa"/>
            <w:vAlign w:val="bottom"/>
            <w:tcBorders>
              <w:bottom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r>
      <w:tr>
        <w:trPr>
          <w:trHeight w:val="199"/>
        </w:trPr>
        <w:tc>
          <w:tcPr>
            <w:tcW w:w="3900" w:type="dxa"/>
            <w:vAlign w:val="bottom"/>
          </w:tcPr>
          <w:p>
            <w:pPr>
              <w:spacing w:after="0"/>
              <w:rPr>
                <w:sz w:val="20"/>
                <w:szCs w:val="20"/>
                <w:color w:val="auto"/>
              </w:rPr>
            </w:pPr>
            <w:r>
              <w:rPr>
                <w:rFonts w:ascii="Arial" w:cs="Arial" w:eastAsia="Arial" w:hAnsi="Arial"/>
                <w:sz w:val="16"/>
                <w:szCs w:val="16"/>
                <w:color w:val="auto"/>
              </w:rPr>
              <w:t>  EBITDA Margin</w:t>
            </w:r>
          </w:p>
        </w:tc>
        <w:tc>
          <w:tcPr>
            <w:tcW w:w="2400" w:type="dxa"/>
            <w:vAlign w:val="bottom"/>
          </w:tcPr>
          <w:p>
            <w:pPr>
              <w:jc w:val="right"/>
              <w:ind w:right="65"/>
              <w:spacing w:after="0"/>
              <w:rPr>
                <w:sz w:val="20"/>
                <w:szCs w:val="20"/>
                <w:color w:val="auto"/>
              </w:rPr>
            </w:pPr>
            <w:r>
              <w:rPr>
                <w:rFonts w:ascii="Arial" w:cs="Arial" w:eastAsia="Arial" w:hAnsi="Arial"/>
                <w:sz w:val="16"/>
                <w:szCs w:val="16"/>
                <w:color w:val="auto"/>
              </w:rPr>
              <w:t>50.0%</w:t>
            </w:r>
          </w:p>
        </w:tc>
        <w:tc>
          <w:tcPr>
            <w:tcW w:w="960" w:type="dxa"/>
            <w:vAlign w:val="bottom"/>
          </w:tcPr>
          <w:p>
            <w:pPr>
              <w:jc w:val="right"/>
              <w:ind w:right="147"/>
              <w:spacing w:after="0"/>
              <w:rPr>
                <w:sz w:val="20"/>
                <w:szCs w:val="20"/>
                <w:color w:val="auto"/>
              </w:rPr>
            </w:pPr>
            <w:r>
              <w:rPr>
                <w:rFonts w:ascii="Arial" w:cs="Arial" w:eastAsia="Arial" w:hAnsi="Arial"/>
                <w:sz w:val="16"/>
                <w:szCs w:val="16"/>
                <w:color w:val="auto"/>
              </w:rPr>
              <w:t>1.65%</w:t>
            </w:r>
          </w:p>
        </w:tc>
        <w:tc>
          <w:tcPr>
            <w:tcW w:w="900" w:type="dxa"/>
            <w:vAlign w:val="bottom"/>
          </w:tcPr>
          <w:p>
            <w:pPr>
              <w:jc w:val="right"/>
              <w:ind w:right="146"/>
              <w:spacing w:after="0"/>
              <w:rPr>
                <w:sz w:val="20"/>
                <w:szCs w:val="20"/>
                <w:color w:val="auto"/>
              </w:rPr>
            </w:pPr>
            <w:r>
              <w:rPr>
                <w:rFonts w:ascii="Arial" w:cs="Arial" w:eastAsia="Arial" w:hAnsi="Arial"/>
                <w:sz w:val="16"/>
                <w:szCs w:val="16"/>
                <w:color w:val="auto"/>
              </w:rPr>
              <w:t>2.25%</w:t>
            </w:r>
          </w:p>
        </w:tc>
        <w:tc>
          <w:tcPr>
            <w:tcW w:w="780" w:type="dxa"/>
            <w:vAlign w:val="bottom"/>
          </w:tcPr>
          <w:p>
            <w:pPr>
              <w:jc w:val="center"/>
              <w:spacing w:after="0"/>
              <w:rPr>
                <w:sz w:val="20"/>
                <w:szCs w:val="20"/>
                <w:color w:val="auto"/>
              </w:rPr>
            </w:pPr>
            <w:r>
              <w:rPr>
                <w:rFonts w:ascii="Arial" w:cs="Arial" w:eastAsia="Arial" w:hAnsi="Arial"/>
                <w:sz w:val="16"/>
                <w:szCs w:val="16"/>
                <w:color w:val="auto"/>
                <w:w w:val="96"/>
              </w:rPr>
              <w:t>2.77%</w:t>
            </w:r>
          </w:p>
        </w:tc>
        <w:tc>
          <w:tcPr>
            <w:tcW w:w="880" w:type="dxa"/>
            <w:vAlign w:val="bottom"/>
          </w:tcPr>
          <w:p>
            <w:pPr>
              <w:jc w:val="right"/>
              <w:ind w:right="127"/>
              <w:spacing w:after="0"/>
              <w:rPr>
                <w:sz w:val="20"/>
                <w:szCs w:val="20"/>
                <w:color w:val="auto"/>
              </w:rPr>
            </w:pPr>
            <w:r>
              <w:rPr>
                <w:rFonts w:ascii="Arial" w:cs="Arial" w:eastAsia="Arial" w:hAnsi="Arial"/>
                <w:sz w:val="16"/>
                <w:szCs w:val="16"/>
                <w:color w:val="auto"/>
              </w:rPr>
              <w:t>2.25%</w:t>
            </w:r>
          </w:p>
        </w:tc>
        <w:tc>
          <w:tcPr>
            <w:tcW w:w="800" w:type="dxa"/>
            <w:vAlign w:val="bottom"/>
          </w:tcPr>
          <w:p>
            <w:pPr>
              <w:jc w:val="right"/>
              <w:ind w:right="46"/>
              <w:spacing w:after="0"/>
              <w:rPr>
                <w:sz w:val="20"/>
                <w:szCs w:val="20"/>
                <w:color w:val="auto"/>
              </w:rPr>
            </w:pPr>
            <w:r>
              <w:rPr>
                <w:rFonts w:ascii="Arial" w:cs="Arial" w:eastAsia="Arial" w:hAnsi="Arial"/>
                <w:sz w:val="16"/>
                <w:szCs w:val="16"/>
                <w:color w:val="auto"/>
              </w:rPr>
              <w:t>100.00%</w:t>
            </w:r>
          </w:p>
        </w:tc>
      </w:tr>
      <w:tr>
        <w:trPr>
          <w:trHeight w:val="54"/>
        </w:trPr>
        <w:tc>
          <w:tcPr>
            <w:tcW w:w="3900" w:type="dxa"/>
            <w:vAlign w:val="bottom"/>
            <w:tcBorders>
              <w:bottom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1660" w:type="dxa"/>
            <w:vAlign w:val="bottom"/>
            <w:tcBorders>
              <w:bottom w:val="single" w:sz="8" w:color="7F7F7F"/>
            </w:tcBorders>
            <w:gridSpan w:val="2"/>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r>
      <w:tr>
        <w:trPr>
          <w:trHeight w:val="211"/>
        </w:trPr>
        <w:tc>
          <w:tcPr>
            <w:tcW w:w="39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 in millions</w:t>
            </w:r>
          </w:p>
        </w:tc>
        <w:tc>
          <w:tcPr>
            <w:tcW w:w="2400" w:type="dxa"/>
            <w:vAlign w:val="bottom"/>
            <w:tcBorders>
              <w:bottom w:val="single" w:sz="8" w:color="7F7F7F"/>
            </w:tcBorders>
          </w:tcPr>
          <w:p>
            <w:pPr>
              <w:spacing w:after="0"/>
              <w:rPr>
                <w:sz w:val="18"/>
                <w:szCs w:val="18"/>
                <w:color w:val="auto"/>
              </w:rPr>
            </w:pPr>
          </w:p>
        </w:tc>
        <w:tc>
          <w:tcPr>
            <w:tcW w:w="96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spacing w:after="0"/>
              <w:rPr>
                <w:sz w:val="18"/>
                <w:szCs w:val="18"/>
                <w:color w:val="auto"/>
              </w:rPr>
            </w:pPr>
          </w:p>
        </w:tc>
        <w:tc>
          <w:tcPr>
            <w:tcW w:w="1660" w:type="dxa"/>
            <w:vAlign w:val="bottom"/>
            <w:tcBorders>
              <w:bottom w:val="single" w:sz="8" w:color="7F7F7F"/>
            </w:tcBorders>
            <w:gridSpan w:val="2"/>
          </w:tcPr>
          <w:p>
            <w:pPr>
              <w:ind w:left="260"/>
              <w:spacing w:after="0"/>
              <w:rPr>
                <w:sz w:val="20"/>
                <w:szCs w:val="20"/>
                <w:color w:val="auto"/>
              </w:rPr>
            </w:pPr>
            <w:r>
              <w:rPr>
                <w:rFonts w:ascii="Arial" w:cs="Arial" w:eastAsia="Arial" w:hAnsi="Arial"/>
                <w:sz w:val="16"/>
                <w:szCs w:val="16"/>
                <w:b w:val="1"/>
                <w:bCs w:val="1"/>
                <w:color w:val="auto"/>
              </w:rPr>
              <w:t>Weighted Payout:</w:t>
            </w:r>
          </w:p>
        </w:tc>
        <w:tc>
          <w:tcPr>
            <w:tcW w:w="800" w:type="dxa"/>
            <w:vAlign w:val="bottom"/>
            <w:tcBorders>
              <w:bottom w:val="single" w:sz="8" w:color="7F7F7F"/>
            </w:tcBorders>
          </w:tcPr>
          <w:p>
            <w:pPr>
              <w:jc w:val="right"/>
              <w:ind w:right="46"/>
              <w:spacing w:after="0"/>
              <w:rPr>
                <w:sz w:val="20"/>
                <w:szCs w:val="20"/>
                <w:color w:val="auto"/>
              </w:rPr>
            </w:pPr>
            <w:r>
              <w:rPr>
                <w:rFonts w:ascii="Arial" w:cs="Arial" w:eastAsia="Arial" w:hAnsi="Arial"/>
                <w:sz w:val="16"/>
                <w:szCs w:val="16"/>
                <w:b w:val="1"/>
                <w:bCs w:val="1"/>
                <w:color w:val="auto"/>
              </w:rPr>
              <w:t>50.00%</w:t>
            </w:r>
          </w:p>
        </w:tc>
      </w:tr>
    </w:tbl>
    <w:p>
      <w:pPr>
        <w:spacing w:after="0" w:line="99" w:lineRule="exact"/>
        <w:rPr>
          <w:sz w:val="20"/>
          <w:szCs w:val="20"/>
          <w:color w:val="auto"/>
        </w:rPr>
      </w:pPr>
    </w:p>
    <w:p>
      <w:pPr>
        <w:ind w:left="620" w:hanging="304"/>
        <w:spacing w:after="0"/>
        <w:tabs>
          <w:tab w:leader="none" w:pos="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2023 performance amount includes adjustments for restructuring and divestiture costs and other considerations approved by the Committee.</w:t>
      </w:r>
    </w:p>
    <w:p>
      <w:pPr>
        <w:spacing w:after="0" w:line="206" w:lineRule="exact"/>
        <w:rPr>
          <w:sz w:val="20"/>
          <w:szCs w:val="20"/>
          <w:color w:val="auto"/>
        </w:rPr>
      </w:pPr>
    </w:p>
    <w:p>
      <w:pPr>
        <w:ind w:left="320" w:right="120"/>
        <w:spacing w:after="0" w:line="265" w:lineRule="auto"/>
        <w:rPr>
          <w:sz w:val="20"/>
          <w:szCs w:val="20"/>
          <w:color w:val="auto"/>
        </w:rPr>
      </w:pPr>
      <w:r>
        <w:rPr>
          <w:rFonts w:ascii="Arial" w:cs="Arial" w:eastAsia="Arial" w:hAnsi="Arial"/>
          <w:sz w:val="16"/>
          <w:szCs w:val="16"/>
          <w:color w:val="auto"/>
        </w:rPr>
        <w:t>As a result of the above level of achievement for each of the performance measures for year 2 of the 2022-2024 LTI award, the Committee approved the following number of earned performance shares for each named executive officer.</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0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0A9E50"/>
                <w:w w:val="98"/>
              </w:rPr>
              <w:t>Financial Measure:</w:t>
            </w:r>
          </w:p>
        </w:tc>
        <w:tc>
          <w:tcPr>
            <w:tcW w:w="2520" w:type="dxa"/>
            <w:vAlign w:val="bottom"/>
            <w:gridSpan w:val="2"/>
          </w:tcPr>
          <w:p>
            <w:pPr>
              <w:jc w:val="center"/>
              <w:spacing w:after="0"/>
              <w:rPr>
                <w:sz w:val="20"/>
                <w:szCs w:val="20"/>
                <w:color w:val="auto"/>
              </w:rPr>
            </w:pPr>
            <w:r>
              <w:rPr>
                <w:rFonts w:ascii="Arial" w:cs="Arial" w:eastAsia="Arial" w:hAnsi="Arial"/>
                <w:sz w:val="14"/>
                <w:szCs w:val="14"/>
                <w:b w:val="1"/>
                <w:bCs w:val="1"/>
                <w:color w:val="0A9E50"/>
                <w:w w:val="98"/>
              </w:rPr>
              <w:t>Financial Measure:</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40" w:type="dxa"/>
            <w:vAlign w:val="bottom"/>
          </w:tcPr>
          <w:p>
            <w:pPr>
              <w:spacing w:after="0"/>
              <w:rPr>
                <w:sz w:val="14"/>
                <w:szCs w:val="14"/>
                <w:color w:val="auto"/>
              </w:rPr>
            </w:pP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A9E50"/>
                <w:w w:val="98"/>
              </w:rPr>
              <w:t>Revenue Growth</w:t>
            </w:r>
          </w:p>
        </w:tc>
        <w:tc>
          <w:tcPr>
            <w:tcW w:w="540" w:type="dxa"/>
            <w:vAlign w:val="bottom"/>
          </w:tcPr>
          <w:p>
            <w:pPr>
              <w:spacing w:after="0"/>
              <w:rPr>
                <w:sz w:val="14"/>
                <w:szCs w:val="14"/>
                <w:color w:val="auto"/>
              </w:rPr>
            </w:pPr>
          </w:p>
        </w:tc>
        <w:tc>
          <w:tcPr>
            <w:tcW w:w="2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A9E50"/>
                <w:w w:val="98"/>
              </w:rPr>
              <w:t>EBITDA Margin</w:t>
            </w:r>
          </w:p>
        </w:tc>
        <w:tc>
          <w:tcPr>
            <w:tcW w:w="1520" w:type="dxa"/>
            <w:vAlign w:val="bottom"/>
            <w:vMerge w:val="restart"/>
          </w:tcPr>
          <w:p>
            <w:pPr>
              <w:jc w:val="center"/>
              <w:ind w:left="446"/>
              <w:spacing w:after="0"/>
              <w:rPr>
                <w:sz w:val="20"/>
                <w:szCs w:val="20"/>
                <w:color w:val="auto"/>
              </w:rPr>
            </w:pPr>
            <w:r>
              <w:rPr>
                <w:rFonts w:ascii="Arial" w:cs="Arial" w:eastAsia="Arial" w:hAnsi="Arial"/>
                <w:sz w:val="14"/>
                <w:szCs w:val="14"/>
                <w:b w:val="1"/>
                <w:bCs w:val="1"/>
                <w:color w:val="0A9E50"/>
                <w:w w:val="96"/>
              </w:rPr>
              <w:t>Total # of</w:t>
            </w:r>
          </w:p>
        </w:tc>
        <w:tc>
          <w:tcPr>
            <w:tcW w:w="0" w:type="dxa"/>
            <w:vAlign w:val="bottom"/>
          </w:tcPr>
          <w:p>
            <w:pPr>
              <w:spacing w:after="0"/>
              <w:rPr>
                <w:sz w:val="1"/>
                <w:szCs w:val="1"/>
                <w:color w:val="auto"/>
              </w:rPr>
            </w:pPr>
          </w:p>
        </w:tc>
      </w:tr>
      <w:tr>
        <w:trPr>
          <w:trHeight w:val="49"/>
        </w:trPr>
        <w:tc>
          <w:tcPr>
            <w:tcW w:w="3540" w:type="dxa"/>
            <w:vAlign w:val="bottom"/>
          </w:tcPr>
          <w:p>
            <w:pPr>
              <w:spacing w:after="0"/>
              <w:rPr>
                <w:sz w:val="4"/>
                <w:szCs w:val="4"/>
                <w:color w:val="auto"/>
              </w:rPr>
            </w:pPr>
          </w:p>
        </w:tc>
        <w:tc>
          <w:tcPr>
            <w:tcW w:w="25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0A9E50"/>
                <w:w w:val="98"/>
              </w:rPr>
              <w:t>Payout as % of Target: 0.00%</w:t>
            </w:r>
          </w:p>
        </w:tc>
        <w:tc>
          <w:tcPr>
            <w:tcW w:w="540" w:type="dxa"/>
            <w:vAlign w:val="bottom"/>
            <w:vMerge w:val="restart"/>
          </w:tcPr>
          <w:p>
            <w:pPr>
              <w:spacing w:after="0"/>
              <w:rPr>
                <w:sz w:val="4"/>
                <w:szCs w:val="4"/>
                <w:color w:val="auto"/>
              </w:rPr>
            </w:pPr>
          </w:p>
        </w:tc>
        <w:tc>
          <w:tcPr>
            <w:tcW w:w="25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0A9E50"/>
                <w:w w:val="98"/>
              </w:rPr>
              <w:t>Payout as % of Target: 100.00%</w:t>
            </w: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3540" w:type="dxa"/>
            <w:vAlign w:val="bottom"/>
          </w:tcPr>
          <w:p>
            <w:pPr>
              <w:spacing w:after="0"/>
              <w:rPr>
                <w:sz w:val="8"/>
                <w:szCs w:val="8"/>
                <w:color w:val="auto"/>
              </w:rPr>
            </w:pPr>
          </w:p>
        </w:tc>
        <w:tc>
          <w:tcPr>
            <w:tcW w:w="2500" w:type="dxa"/>
            <w:vAlign w:val="bottom"/>
            <w:tcBorders>
              <w:bottom w:val="single" w:sz="8" w:color="auto"/>
            </w:tcBorders>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2520" w:type="dxa"/>
            <w:vAlign w:val="bottom"/>
            <w:tcBorders>
              <w:bottom w:val="single" w:sz="8" w:color="auto"/>
            </w:tcBorders>
            <w:gridSpan w:val="2"/>
            <w:vMerge w:val="continue"/>
          </w:tcPr>
          <w:p>
            <w:pPr>
              <w:spacing w:after="0"/>
              <w:rPr>
                <w:sz w:val="8"/>
                <w:szCs w:val="8"/>
                <w:color w:val="auto"/>
              </w:rPr>
            </w:pPr>
          </w:p>
        </w:tc>
        <w:tc>
          <w:tcPr>
            <w:tcW w:w="1520" w:type="dxa"/>
            <w:vAlign w:val="bottom"/>
            <w:vMerge w:val="restart"/>
          </w:tcPr>
          <w:p>
            <w:pPr>
              <w:jc w:val="center"/>
              <w:ind w:left="446"/>
              <w:spacing w:after="0" w:line="156" w:lineRule="exact"/>
              <w:rPr>
                <w:sz w:val="20"/>
                <w:szCs w:val="20"/>
                <w:color w:val="auto"/>
              </w:rPr>
            </w:pPr>
            <w:r>
              <w:rPr>
                <w:rFonts w:ascii="Arial" w:cs="Arial" w:eastAsia="Arial" w:hAnsi="Arial"/>
                <w:sz w:val="14"/>
                <w:szCs w:val="14"/>
                <w:b w:val="1"/>
                <w:bCs w:val="1"/>
                <w:color w:val="0A9E50"/>
                <w:w w:val="95"/>
              </w:rPr>
              <w:t>Year 2</w:t>
            </w:r>
          </w:p>
        </w:tc>
        <w:tc>
          <w:tcPr>
            <w:tcW w:w="0" w:type="dxa"/>
            <w:vAlign w:val="bottom"/>
          </w:tcPr>
          <w:p>
            <w:pPr>
              <w:spacing w:after="0"/>
              <w:rPr>
                <w:sz w:val="1"/>
                <w:szCs w:val="1"/>
                <w:color w:val="auto"/>
              </w:rPr>
            </w:pPr>
          </w:p>
        </w:tc>
      </w:tr>
      <w:tr>
        <w:trPr>
          <w:trHeight w:val="36"/>
        </w:trPr>
        <w:tc>
          <w:tcPr>
            <w:tcW w:w="3540" w:type="dxa"/>
            <w:vAlign w:val="bottom"/>
          </w:tcPr>
          <w:p>
            <w:pPr>
              <w:spacing w:after="0"/>
              <w:rPr>
                <w:sz w:val="3"/>
                <w:szCs w:val="3"/>
                <w:color w:val="auto"/>
              </w:rPr>
            </w:pPr>
          </w:p>
        </w:tc>
        <w:tc>
          <w:tcPr>
            <w:tcW w:w="1260" w:type="dxa"/>
            <w:vAlign w:val="bottom"/>
            <w:vMerge w:val="restart"/>
          </w:tcPr>
          <w:p>
            <w:pPr>
              <w:jc w:val="right"/>
              <w:ind w:right="186"/>
              <w:spacing w:after="0" w:line="140" w:lineRule="exact"/>
              <w:rPr>
                <w:sz w:val="20"/>
                <w:szCs w:val="20"/>
                <w:color w:val="auto"/>
              </w:rPr>
            </w:pPr>
            <w:r>
              <w:rPr>
                <w:rFonts w:ascii="Arial" w:cs="Arial" w:eastAsia="Arial" w:hAnsi="Arial"/>
                <w:sz w:val="14"/>
                <w:szCs w:val="14"/>
                <w:b w:val="1"/>
                <w:bCs w:val="1"/>
                <w:color w:val="0A9E50"/>
                <w:w w:val="97"/>
              </w:rPr>
              <w:t>Year 2 Target #</w:t>
            </w:r>
          </w:p>
        </w:tc>
        <w:tc>
          <w:tcPr>
            <w:tcW w:w="1780" w:type="dxa"/>
            <w:vAlign w:val="bottom"/>
            <w:gridSpan w:val="2"/>
            <w:vMerge w:val="restart"/>
          </w:tcPr>
          <w:p>
            <w:pPr>
              <w:jc w:val="center"/>
              <w:ind w:right="260"/>
              <w:spacing w:after="0" w:line="140" w:lineRule="exact"/>
              <w:rPr>
                <w:sz w:val="20"/>
                <w:szCs w:val="20"/>
                <w:color w:val="auto"/>
              </w:rPr>
            </w:pPr>
            <w:r>
              <w:rPr>
                <w:rFonts w:ascii="Arial" w:cs="Arial" w:eastAsia="Arial" w:hAnsi="Arial"/>
                <w:sz w:val="14"/>
                <w:szCs w:val="14"/>
                <w:b w:val="1"/>
                <w:bCs w:val="1"/>
                <w:color w:val="0A9E50"/>
                <w:w w:val="95"/>
              </w:rPr>
              <w:t>Year 2 # of</w:t>
            </w:r>
          </w:p>
        </w:tc>
        <w:tc>
          <w:tcPr>
            <w:tcW w:w="1280" w:type="dxa"/>
            <w:vAlign w:val="bottom"/>
            <w:vMerge w:val="restart"/>
          </w:tcPr>
          <w:p>
            <w:pPr>
              <w:jc w:val="right"/>
              <w:ind w:right="206"/>
              <w:spacing w:after="0" w:line="140" w:lineRule="exact"/>
              <w:rPr>
                <w:sz w:val="20"/>
                <w:szCs w:val="20"/>
                <w:color w:val="auto"/>
              </w:rPr>
            </w:pPr>
            <w:r>
              <w:rPr>
                <w:rFonts w:ascii="Arial" w:cs="Arial" w:eastAsia="Arial" w:hAnsi="Arial"/>
                <w:sz w:val="14"/>
                <w:szCs w:val="14"/>
                <w:b w:val="1"/>
                <w:bCs w:val="1"/>
                <w:color w:val="0A9E50"/>
                <w:w w:val="97"/>
              </w:rPr>
              <w:t>Year 2 Target #</w:t>
            </w:r>
          </w:p>
        </w:tc>
        <w:tc>
          <w:tcPr>
            <w:tcW w:w="1240" w:type="dxa"/>
            <w:vAlign w:val="bottom"/>
            <w:vMerge w:val="restart"/>
          </w:tcPr>
          <w:p>
            <w:pPr>
              <w:jc w:val="right"/>
              <w:ind w:right="64"/>
              <w:spacing w:after="0" w:line="140" w:lineRule="exact"/>
              <w:rPr>
                <w:sz w:val="20"/>
                <w:szCs w:val="20"/>
                <w:color w:val="auto"/>
              </w:rPr>
            </w:pPr>
            <w:r>
              <w:rPr>
                <w:rFonts w:ascii="Arial" w:cs="Arial" w:eastAsia="Arial" w:hAnsi="Arial"/>
                <w:sz w:val="14"/>
                <w:szCs w:val="14"/>
                <w:b w:val="1"/>
                <w:bCs w:val="1"/>
                <w:color w:val="0A9E50"/>
              </w:rPr>
              <w:t>Year 2 # of</w:t>
            </w: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4"/>
        </w:trPr>
        <w:tc>
          <w:tcPr>
            <w:tcW w:w="35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520" w:type="dxa"/>
            <w:vAlign w:val="bottom"/>
            <w:vMerge w:val="restart"/>
          </w:tcPr>
          <w:p>
            <w:pPr>
              <w:jc w:val="center"/>
              <w:ind w:left="446"/>
              <w:spacing w:after="0" w:line="156" w:lineRule="exact"/>
              <w:rPr>
                <w:sz w:val="20"/>
                <w:szCs w:val="20"/>
                <w:color w:val="auto"/>
              </w:rPr>
            </w:pPr>
            <w:r>
              <w:rPr>
                <w:rFonts w:ascii="Arial" w:cs="Arial" w:eastAsia="Arial" w:hAnsi="Arial"/>
                <w:sz w:val="14"/>
                <w:szCs w:val="14"/>
                <w:b w:val="1"/>
                <w:bCs w:val="1"/>
                <w:color w:val="0A9E50"/>
                <w:w w:val="98"/>
              </w:rPr>
              <w:t>Performance</w:t>
            </w:r>
          </w:p>
        </w:tc>
        <w:tc>
          <w:tcPr>
            <w:tcW w:w="0" w:type="dxa"/>
            <w:vAlign w:val="bottom"/>
          </w:tcPr>
          <w:p>
            <w:pPr>
              <w:spacing w:after="0"/>
              <w:rPr>
                <w:sz w:val="1"/>
                <w:szCs w:val="1"/>
                <w:color w:val="auto"/>
              </w:rPr>
            </w:pPr>
          </w:p>
        </w:tc>
      </w:tr>
      <w:tr>
        <w:trPr>
          <w:trHeight w:val="52"/>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0A9E50"/>
              </w:rPr>
              <w:t>  Name</w:t>
            </w:r>
          </w:p>
        </w:tc>
        <w:tc>
          <w:tcPr>
            <w:tcW w:w="1260" w:type="dxa"/>
            <w:vAlign w:val="bottom"/>
            <w:vMerge w:val="restart"/>
          </w:tcPr>
          <w:p>
            <w:pPr>
              <w:jc w:val="right"/>
              <w:ind w:right="366"/>
              <w:spacing w:after="0"/>
              <w:rPr>
                <w:sz w:val="20"/>
                <w:szCs w:val="20"/>
                <w:color w:val="auto"/>
              </w:rPr>
            </w:pPr>
            <w:r>
              <w:rPr>
                <w:rFonts w:ascii="Arial" w:cs="Arial" w:eastAsia="Arial" w:hAnsi="Arial"/>
                <w:sz w:val="14"/>
                <w:szCs w:val="14"/>
                <w:b w:val="1"/>
                <w:bCs w:val="1"/>
                <w:color w:val="0A9E50"/>
              </w:rPr>
              <w:t>of Shares</w:t>
            </w: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0A9E50"/>
                <w:w w:val="97"/>
              </w:rPr>
              <w:t>Shares Earned</w:t>
            </w:r>
          </w:p>
        </w:tc>
        <w:tc>
          <w:tcPr>
            <w:tcW w:w="1280" w:type="dxa"/>
            <w:vAlign w:val="bottom"/>
            <w:vMerge w:val="restart"/>
          </w:tcPr>
          <w:p>
            <w:pPr>
              <w:jc w:val="right"/>
              <w:ind w:right="386"/>
              <w:spacing w:after="0"/>
              <w:rPr>
                <w:sz w:val="20"/>
                <w:szCs w:val="20"/>
                <w:color w:val="auto"/>
              </w:rPr>
            </w:pPr>
            <w:r>
              <w:rPr>
                <w:rFonts w:ascii="Arial" w:cs="Arial" w:eastAsia="Arial" w:hAnsi="Arial"/>
                <w:sz w:val="14"/>
                <w:szCs w:val="14"/>
                <w:b w:val="1"/>
                <w:bCs w:val="1"/>
                <w:color w:val="0A9E50"/>
              </w:rPr>
              <w:t>of Shares</w:t>
            </w: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0A9E50"/>
              </w:rPr>
              <w:t>Shares Earned</w:t>
            </w: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54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780" w:type="dxa"/>
            <w:vAlign w:val="bottom"/>
            <w:tcBorders>
              <w:bottom w:val="single" w:sz="8" w:color="auto"/>
            </w:tcBorders>
            <w:gridSpan w:val="2"/>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520" w:type="dxa"/>
            <w:vAlign w:val="bottom"/>
            <w:tcBorders>
              <w:bottom w:val="single" w:sz="8" w:color="auto"/>
            </w:tcBorders>
          </w:tcPr>
          <w:p>
            <w:pPr>
              <w:jc w:val="center"/>
              <w:ind w:left="446"/>
              <w:spacing w:after="0"/>
              <w:rPr>
                <w:sz w:val="20"/>
                <w:szCs w:val="20"/>
                <w:color w:val="auto"/>
              </w:rPr>
            </w:pPr>
            <w:r>
              <w:rPr>
                <w:rFonts w:ascii="Arial" w:cs="Arial" w:eastAsia="Arial" w:hAnsi="Arial"/>
                <w:sz w:val="14"/>
                <w:szCs w:val="14"/>
                <w:b w:val="1"/>
                <w:bCs w:val="1"/>
                <w:color w:val="0A9E50"/>
                <w:w w:val="97"/>
              </w:rPr>
              <w:t>Shares Earned</w:t>
            </w: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Arial" w:cs="Arial" w:eastAsia="Arial" w:hAnsi="Arial"/>
                <w:sz w:val="16"/>
                <w:szCs w:val="16"/>
                <w:b w:val="1"/>
                <w:bCs w:val="1"/>
                <w:color w:val="auto"/>
              </w:rPr>
              <w:t>  Peter W. Quigley</w:t>
            </w: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10,611</w:t>
            </w:r>
          </w:p>
        </w:tc>
        <w:tc>
          <w:tcPr>
            <w:tcW w:w="124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40" w:type="dxa"/>
            <w:vAlign w:val="bottom"/>
          </w:tcPr>
          <w:p>
            <w:pPr>
              <w:spacing w:after="0"/>
              <w:rPr>
                <w:sz w:val="18"/>
                <w:szCs w:val="18"/>
                <w:color w:val="auto"/>
              </w:rPr>
            </w:pPr>
          </w:p>
        </w:tc>
        <w:tc>
          <w:tcPr>
            <w:tcW w:w="1280" w:type="dxa"/>
            <w:vAlign w:val="bottom"/>
          </w:tcPr>
          <w:p>
            <w:pPr>
              <w:jc w:val="right"/>
              <w:ind w:right="326"/>
              <w:spacing w:after="0"/>
              <w:rPr>
                <w:sz w:val="20"/>
                <w:szCs w:val="20"/>
                <w:color w:val="auto"/>
              </w:rPr>
            </w:pPr>
            <w:r>
              <w:rPr>
                <w:rFonts w:ascii="Arial" w:cs="Arial" w:eastAsia="Arial" w:hAnsi="Arial"/>
                <w:sz w:val="16"/>
                <w:szCs w:val="16"/>
                <w:color w:val="auto"/>
              </w:rPr>
              <w:t>10,611</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10,611</w:t>
            </w:r>
          </w:p>
        </w:tc>
        <w:tc>
          <w:tcPr>
            <w:tcW w:w="1520" w:type="dxa"/>
            <w:vAlign w:val="bottom"/>
          </w:tcPr>
          <w:p>
            <w:pPr>
              <w:jc w:val="right"/>
              <w:spacing w:after="0"/>
              <w:rPr>
                <w:sz w:val="20"/>
                <w:szCs w:val="20"/>
                <w:color w:val="auto"/>
              </w:rPr>
            </w:pPr>
            <w:r>
              <w:rPr>
                <w:rFonts w:ascii="Arial" w:cs="Arial" w:eastAsia="Arial" w:hAnsi="Arial"/>
                <w:sz w:val="16"/>
                <w:szCs w:val="16"/>
                <w:color w:val="auto"/>
              </w:rPr>
              <w:t>10,611</w:t>
            </w:r>
          </w:p>
        </w:tc>
        <w:tc>
          <w:tcPr>
            <w:tcW w:w="0" w:type="dxa"/>
            <w:vAlign w:val="bottom"/>
          </w:tcPr>
          <w:p>
            <w:pPr>
              <w:spacing w:after="0"/>
              <w:rPr>
                <w:sz w:val="1"/>
                <w:szCs w:val="1"/>
                <w:color w:val="auto"/>
              </w:rPr>
            </w:pPr>
          </w:p>
        </w:tc>
      </w:tr>
      <w:tr>
        <w:trPr>
          <w:trHeight w:val="45"/>
        </w:trPr>
        <w:tc>
          <w:tcPr>
            <w:tcW w:w="354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5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Arial" w:cs="Arial" w:eastAsia="Arial" w:hAnsi="Arial"/>
                <w:sz w:val="16"/>
                <w:szCs w:val="16"/>
                <w:b w:val="1"/>
                <w:bCs w:val="1"/>
                <w:color w:val="auto"/>
              </w:rPr>
              <w:t>  Olivier G. Thirot</w:t>
            </w: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5,064</w:t>
            </w:r>
          </w:p>
        </w:tc>
        <w:tc>
          <w:tcPr>
            <w:tcW w:w="124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40" w:type="dxa"/>
            <w:vAlign w:val="bottom"/>
          </w:tcPr>
          <w:p>
            <w:pPr>
              <w:spacing w:after="0"/>
              <w:rPr>
                <w:sz w:val="18"/>
                <w:szCs w:val="18"/>
                <w:color w:val="auto"/>
              </w:rPr>
            </w:pPr>
          </w:p>
        </w:tc>
        <w:tc>
          <w:tcPr>
            <w:tcW w:w="1280" w:type="dxa"/>
            <w:vAlign w:val="bottom"/>
          </w:tcPr>
          <w:p>
            <w:pPr>
              <w:jc w:val="right"/>
              <w:ind w:right="326"/>
              <w:spacing w:after="0"/>
              <w:rPr>
                <w:sz w:val="20"/>
                <w:szCs w:val="20"/>
                <w:color w:val="auto"/>
              </w:rPr>
            </w:pPr>
            <w:r>
              <w:rPr>
                <w:rFonts w:ascii="Arial" w:cs="Arial" w:eastAsia="Arial" w:hAnsi="Arial"/>
                <w:sz w:val="16"/>
                <w:szCs w:val="16"/>
                <w:color w:val="auto"/>
              </w:rPr>
              <w:t>5,064</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5,064</w:t>
            </w:r>
          </w:p>
        </w:tc>
        <w:tc>
          <w:tcPr>
            <w:tcW w:w="1520" w:type="dxa"/>
            <w:vAlign w:val="bottom"/>
          </w:tcPr>
          <w:p>
            <w:pPr>
              <w:jc w:val="right"/>
              <w:spacing w:after="0"/>
              <w:rPr>
                <w:sz w:val="20"/>
                <w:szCs w:val="20"/>
                <w:color w:val="auto"/>
              </w:rPr>
            </w:pPr>
            <w:r>
              <w:rPr>
                <w:rFonts w:ascii="Arial" w:cs="Arial" w:eastAsia="Arial" w:hAnsi="Arial"/>
                <w:sz w:val="16"/>
                <w:szCs w:val="16"/>
                <w:color w:val="auto"/>
              </w:rPr>
              <w:t>5,064</w:t>
            </w:r>
          </w:p>
        </w:tc>
        <w:tc>
          <w:tcPr>
            <w:tcW w:w="0" w:type="dxa"/>
            <w:vAlign w:val="bottom"/>
          </w:tcPr>
          <w:p>
            <w:pPr>
              <w:spacing w:after="0"/>
              <w:rPr>
                <w:sz w:val="1"/>
                <w:szCs w:val="1"/>
                <w:color w:val="auto"/>
              </w:rPr>
            </w:pPr>
          </w:p>
        </w:tc>
      </w:tr>
      <w:tr>
        <w:trPr>
          <w:trHeight w:val="45"/>
        </w:trPr>
        <w:tc>
          <w:tcPr>
            <w:tcW w:w="354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5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Arial" w:cs="Arial" w:eastAsia="Arial" w:hAnsi="Arial"/>
                <w:sz w:val="16"/>
                <w:szCs w:val="16"/>
                <w:b w:val="1"/>
                <w:bCs w:val="1"/>
                <w:color w:val="auto"/>
              </w:rPr>
              <w:t>  Daniel H. Malan</w:t>
            </w: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1,728</w:t>
            </w:r>
          </w:p>
        </w:tc>
        <w:tc>
          <w:tcPr>
            <w:tcW w:w="124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40" w:type="dxa"/>
            <w:vAlign w:val="bottom"/>
          </w:tcPr>
          <w:p>
            <w:pPr>
              <w:spacing w:after="0"/>
              <w:rPr>
                <w:sz w:val="18"/>
                <w:szCs w:val="18"/>
                <w:color w:val="auto"/>
              </w:rPr>
            </w:pPr>
          </w:p>
        </w:tc>
        <w:tc>
          <w:tcPr>
            <w:tcW w:w="1280" w:type="dxa"/>
            <w:vAlign w:val="bottom"/>
          </w:tcPr>
          <w:p>
            <w:pPr>
              <w:jc w:val="right"/>
              <w:ind w:right="326"/>
              <w:spacing w:after="0"/>
              <w:rPr>
                <w:sz w:val="20"/>
                <w:szCs w:val="20"/>
                <w:color w:val="auto"/>
              </w:rPr>
            </w:pPr>
            <w:r>
              <w:rPr>
                <w:rFonts w:ascii="Arial" w:cs="Arial" w:eastAsia="Arial" w:hAnsi="Arial"/>
                <w:sz w:val="16"/>
                <w:szCs w:val="16"/>
                <w:color w:val="auto"/>
              </w:rPr>
              <w:t>1,728</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1,728</w:t>
            </w:r>
          </w:p>
        </w:tc>
        <w:tc>
          <w:tcPr>
            <w:tcW w:w="1520" w:type="dxa"/>
            <w:vAlign w:val="bottom"/>
          </w:tcPr>
          <w:p>
            <w:pPr>
              <w:jc w:val="right"/>
              <w:spacing w:after="0"/>
              <w:rPr>
                <w:sz w:val="20"/>
                <w:szCs w:val="20"/>
                <w:color w:val="auto"/>
              </w:rPr>
            </w:pPr>
            <w:r>
              <w:rPr>
                <w:rFonts w:ascii="Arial" w:cs="Arial" w:eastAsia="Arial" w:hAnsi="Arial"/>
                <w:sz w:val="16"/>
                <w:szCs w:val="16"/>
                <w:color w:val="auto"/>
              </w:rPr>
              <w:t>1,728</w:t>
            </w:r>
          </w:p>
        </w:tc>
        <w:tc>
          <w:tcPr>
            <w:tcW w:w="0" w:type="dxa"/>
            <w:vAlign w:val="bottom"/>
          </w:tcPr>
          <w:p>
            <w:pPr>
              <w:spacing w:after="0"/>
              <w:rPr>
                <w:sz w:val="1"/>
                <w:szCs w:val="1"/>
                <w:color w:val="auto"/>
              </w:rPr>
            </w:pPr>
          </w:p>
        </w:tc>
      </w:tr>
      <w:tr>
        <w:trPr>
          <w:trHeight w:val="45"/>
        </w:trPr>
        <w:tc>
          <w:tcPr>
            <w:tcW w:w="354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5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Arial" w:cs="Arial" w:eastAsia="Arial" w:hAnsi="Arial"/>
                <w:sz w:val="16"/>
                <w:szCs w:val="16"/>
                <w:b w:val="1"/>
                <w:bCs w:val="1"/>
                <w:color w:val="auto"/>
              </w:rPr>
              <w:t>  Vanessa P. Williams</w:t>
            </w: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2,377</w:t>
            </w:r>
          </w:p>
        </w:tc>
        <w:tc>
          <w:tcPr>
            <w:tcW w:w="124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40" w:type="dxa"/>
            <w:vAlign w:val="bottom"/>
          </w:tcPr>
          <w:p>
            <w:pPr>
              <w:spacing w:after="0"/>
              <w:rPr>
                <w:sz w:val="18"/>
                <w:szCs w:val="18"/>
                <w:color w:val="auto"/>
              </w:rPr>
            </w:pPr>
          </w:p>
        </w:tc>
        <w:tc>
          <w:tcPr>
            <w:tcW w:w="1280" w:type="dxa"/>
            <w:vAlign w:val="bottom"/>
          </w:tcPr>
          <w:p>
            <w:pPr>
              <w:jc w:val="right"/>
              <w:ind w:right="326"/>
              <w:spacing w:after="0"/>
              <w:rPr>
                <w:sz w:val="20"/>
                <w:szCs w:val="20"/>
                <w:color w:val="auto"/>
              </w:rPr>
            </w:pPr>
            <w:r>
              <w:rPr>
                <w:rFonts w:ascii="Arial" w:cs="Arial" w:eastAsia="Arial" w:hAnsi="Arial"/>
                <w:sz w:val="16"/>
                <w:szCs w:val="16"/>
                <w:color w:val="auto"/>
              </w:rPr>
              <w:t>2,377</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2,377</w:t>
            </w:r>
          </w:p>
        </w:tc>
        <w:tc>
          <w:tcPr>
            <w:tcW w:w="1520" w:type="dxa"/>
            <w:vAlign w:val="bottom"/>
          </w:tcPr>
          <w:p>
            <w:pPr>
              <w:jc w:val="right"/>
              <w:spacing w:after="0"/>
              <w:rPr>
                <w:sz w:val="20"/>
                <w:szCs w:val="20"/>
                <w:color w:val="auto"/>
              </w:rPr>
            </w:pPr>
            <w:r>
              <w:rPr>
                <w:rFonts w:ascii="Arial" w:cs="Arial" w:eastAsia="Arial" w:hAnsi="Arial"/>
                <w:sz w:val="16"/>
                <w:szCs w:val="16"/>
                <w:color w:val="auto"/>
              </w:rPr>
              <w:t>2,377</w:t>
            </w:r>
          </w:p>
        </w:tc>
        <w:tc>
          <w:tcPr>
            <w:tcW w:w="0" w:type="dxa"/>
            <w:vAlign w:val="bottom"/>
          </w:tcPr>
          <w:p>
            <w:pPr>
              <w:spacing w:after="0"/>
              <w:rPr>
                <w:sz w:val="1"/>
                <w:szCs w:val="1"/>
                <w:color w:val="auto"/>
              </w:rPr>
            </w:pPr>
          </w:p>
        </w:tc>
      </w:tr>
      <w:tr>
        <w:trPr>
          <w:trHeight w:val="45"/>
        </w:trPr>
        <w:tc>
          <w:tcPr>
            <w:tcW w:w="354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5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Arial" w:cs="Arial" w:eastAsia="Arial" w:hAnsi="Arial"/>
                <w:sz w:val="16"/>
                <w:szCs w:val="16"/>
                <w:b w:val="1"/>
                <w:bCs w:val="1"/>
                <w:color w:val="auto"/>
              </w:rPr>
              <w:t>  Dinette Koolhaas</w:t>
            </w: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2,159</w:t>
            </w:r>
          </w:p>
        </w:tc>
        <w:tc>
          <w:tcPr>
            <w:tcW w:w="124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40" w:type="dxa"/>
            <w:vAlign w:val="bottom"/>
          </w:tcPr>
          <w:p>
            <w:pPr>
              <w:spacing w:after="0"/>
              <w:rPr>
                <w:sz w:val="18"/>
                <w:szCs w:val="18"/>
                <w:color w:val="auto"/>
              </w:rPr>
            </w:pPr>
          </w:p>
        </w:tc>
        <w:tc>
          <w:tcPr>
            <w:tcW w:w="1280" w:type="dxa"/>
            <w:vAlign w:val="bottom"/>
          </w:tcPr>
          <w:p>
            <w:pPr>
              <w:jc w:val="right"/>
              <w:ind w:right="326"/>
              <w:spacing w:after="0"/>
              <w:rPr>
                <w:sz w:val="20"/>
                <w:szCs w:val="20"/>
                <w:color w:val="auto"/>
              </w:rPr>
            </w:pPr>
            <w:r>
              <w:rPr>
                <w:rFonts w:ascii="Arial" w:cs="Arial" w:eastAsia="Arial" w:hAnsi="Arial"/>
                <w:sz w:val="16"/>
                <w:szCs w:val="16"/>
                <w:color w:val="auto"/>
              </w:rPr>
              <w:t>2,159</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2,159</w:t>
            </w:r>
          </w:p>
        </w:tc>
        <w:tc>
          <w:tcPr>
            <w:tcW w:w="1520" w:type="dxa"/>
            <w:vAlign w:val="bottom"/>
          </w:tcPr>
          <w:p>
            <w:pPr>
              <w:jc w:val="right"/>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45"/>
        </w:trPr>
        <w:tc>
          <w:tcPr>
            <w:tcW w:w="354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5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20"/>
        <w:spacing w:after="0"/>
        <w:rPr>
          <w:sz w:val="20"/>
          <w:szCs w:val="20"/>
          <w:color w:val="auto"/>
        </w:rPr>
      </w:pPr>
      <w:r>
        <w:rPr>
          <w:rFonts w:ascii="Arial" w:cs="Arial" w:eastAsia="Arial" w:hAnsi="Arial"/>
          <w:sz w:val="16"/>
          <w:szCs w:val="16"/>
          <w:i w:val="1"/>
          <w:iCs w:val="1"/>
          <w:u w:val="single" w:color="auto"/>
          <w:color w:val="auto"/>
        </w:rPr>
        <w:t>2023-2025 Long-Term Incentive Performance Results – Year 1</w:t>
      </w:r>
    </w:p>
    <w:p>
      <w:pPr>
        <w:spacing w:after="0" w:line="63" w:lineRule="exact"/>
        <w:rPr>
          <w:sz w:val="20"/>
          <w:szCs w:val="20"/>
          <w:color w:val="auto"/>
        </w:rPr>
      </w:pPr>
    </w:p>
    <w:p>
      <w:pPr>
        <w:ind w:left="320" w:right="160"/>
        <w:spacing w:after="0" w:line="245" w:lineRule="auto"/>
        <w:rPr>
          <w:sz w:val="20"/>
          <w:szCs w:val="20"/>
          <w:color w:val="auto"/>
        </w:rPr>
      </w:pPr>
      <w:r>
        <w:rPr>
          <w:rFonts w:ascii="Arial" w:cs="Arial" w:eastAsia="Arial" w:hAnsi="Arial"/>
          <w:sz w:val="16"/>
          <w:szCs w:val="16"/>
          <w:color w:val="auto"/>
        </w:rPr>
        <w:t>As described above, the 2023-2025 performance shares have two financial measures, revenue growth and EBITDA margin, which have three one-year goals set in the beginning of each performance year. In February 2023, the Committee approved goals at threshold, target, and maximum levels of performance for each of the measures for the 2023 portion of the award opportunity. During its February 13, 2024 meeting, the Committee approved the results for the 2023 performance year.</w:t>
      </w: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-222250</wp:posOffset>
            </wp:positionV>
            <wp:extent cx="8255" cy="2228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37" w:lineRule="exact"/>
        <w:rPr>
          <w:sz w:val="20"/>
          <w:szCs w:val="20"/>
          <w:color w:val="auto"/>
        </w:rPr>
      </w:pPr>
    </w:p>
    <w:p>
      <w:pPr>
        <w:ind w:left="320" w:right="160"/>
        <w:spacing w:after="0" w:line="265" w:lineRule="auto"/>
        <w:rPr>
          <w:sz w:val="20"/>
          <w:szCs w:val="20"/>
          <w:color w:val="auto"/>
        </w:rPr>
      </w:pPr>
      <w:r>
        <w:rPr>
          <w:rFonts w:ascii="Arial" w:cs="Arial" w:eastAsia="Arial" w:hAnsi="Arial"/>
          <w:sz w:val="16"/>
          <w:szCs w:val="16"/>
          <w:color w:val="auto"/>
        </w:rPr>
        <w:t>Earned shares will vest 100% upon the third anniversary of the grant (February 2026). Aggregate funding for all performance measures during the 2023 performance year was 50% of target. The final performance results for the 2023 performance year are provided in the following chart:</w:t>
      </w:r>
    </w:p>
    <w:p>
      <w:pPr>
        <w:spacing w:after="0" w:line="195"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0A9E50"/>
              </w:rPr>
              <w:t>2023 Performance Goals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0A9E50"/>
                <w:w w:val="94"/>
              </w:rPr>
              <w:t>2023 Year</w:t>
            </w:r>
          </w:p>
        </w:tc>
        <w:tc>
          <w:tcPr>
            <w:tcW w:w="800" w:type="dxa"/>
            <w:vAlign w:val="bottom"/>
          </w:tcPr>
          <w:p>
            <w:pPr>
              <w:jc w:val="center"/>
              <w:ind w:right="26"/>
              <w:spacing w:after="0"/>
              <w:rPr>
                <w:sz w:val="20"/>
                <w:szCs w:val="20"/>
                <w:color w:val="auto"/>
              </w:rPr>
            </w:pPr>
            <w:r>
              <w:rPr>
                <w:rFonts w:ascii="Arial" w:cs="Arial" w:eastAsia="Arial" w:hAnsi="Arial"/>
                <w:sz w:val="14"/>
                <w:szCs w:val="14"/>
                <w:b w:val="1"/>
                <w:bCs w:val="1"/>
                <w:color w:val="0A9E50"/>
                <w:w w:val="98"/>
              </w:rPr>
              <w:t>Payout</w:t>
            </w:r>
          </w:p>
        </w:tc>
      </w:tr>
      <w:tr>
        <w:trPr>
          <w:trHeight w:val="123"/>
        </w:trPr>
        <w:tc>
          <w:tcPr>
            <w:tcW w:w="39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960" w:type="dxa"/>
            <w:vAlign w:val="bottom"/>
          </w:tcPr>
          <w:p>
            <w:pPr>
              <w:jc w:val="center"/>
              <w:spacing w:after="0" w:line="123" w:lineRule="exact"/>
              <w:rPr>
                <w:sz w:val="20"/>
                <w:szCs w:val="20"/>
                <w:color w:val="auto"/>
              </w:rPr>
            </w:pPr>
            <w:r>
              <w:rPr>
                <w:rFonts w:ascii="Arial" w:cs="Arial" w:eastAsia="Arial" w:hAnsi="Arial"/>
                <w:sz w:val="14"/>
                <w:szCs w:val="14"/>
                <w:b w:val="1"/>
                <w:bCs w:val="1"/>
                <w:color w:val="0A9E50"/>
                <w:w w:val="97"/>
              </w:rPr>
              <w:t>Threshold</w:t>
            </w:r>
          </w:p>
        </w:tc>
        <w:tc>
          <w:tcPr>
            <w:tcW w:w="900" w:type="dxa"/>
            <w:vAlign w:val="bottom"/>
          </w:tcPr>
          <w:p>
            <w:pPr>
              <w:jc w:val="center"/>
              <w:spacing w:after="0" w:line="123" w:lineRule="exact"/>
              <w:rPr>
                <w:sz w:val="20"/>
                <w:szCs w:val="20"/>
                <w:color w:val="auto"/>
              </w:rPr>
            </w:pPr>
            <w:r>
              <w:rPr>
                <w:rFonts w:ascii="Arial" w:cs="Arial" w:eastAsia="Arial" w:hAnsi="Arial"/>
                <w:sz w:val="14"/>
                <w:szCs w:val="14"/>
                <w:b w:val="1"/>
                <w:bCs w:val="1"/>
                <w:color w:val="0A9E50"/>
                <w:w w:val="93"/>
              </w:rPr>
              <w:t>Target</w:t>
            </w:r>
          </w:p>
        </w:tc>
        <w:tc>
          <w:tcPr>
            <w:tcW w:w="780" w:type="dxa"/>
            <w:vAlign w:val="bottom"/>
          </w:tcPr>
          <w:p>
            <w:pPr>
              <w:ind w:left="100"/>
              <w:spacing w:after="0" w:line="123" w:lineRule="exact"/>
              <w:rPr>
                <w:sz w:val="20"/>
                <w:szCs w:val="20"/>
                <w:color w:val="auto"/>
              </w:rPr>
            </w:pPr>
            <w:r>
              <w:rPr>
                <w:rFonts w:ascii="Arial" w:cs="Arial" w:eastAsia="Arial" w:hAnsi="Arial"/>
                <w:sz w:val="14"/>
                <w:szCs w:val="14"/>
                <w:b w:val="1"/>
                <w:bCs w:val="1"/>
                <w:color w:val="0A9E50"/>
              </w:rPr>
              <w:t>Maximum</w:t>
            </w:r>
          </w:p>
        </w:tc>
        <w:tc>
          <w:tcPr>
            <w:tcW w:w="880" w:type="dxa"/>
            <w:vAlign w:val="bottom"/>
          </w:tcPr>
          <w:p>
            <w:pPr>
              <w:jc w:val="center"/>
              <w:spacing w:after="0" w:line="123" w:lineRule="exact"/>
              <w:rPr>
                <w:sz w:val="20"/>
                <w:szCs w:val="20"/>
                <w:color w:val="auto"/>
              </w:rPr>
            </w:pPr>
            <w:r>
              <w:rPr>
                <w:rFonts w:ascii="Arial" w:cs="Arial" w:eastAsia="Arial" w:hAnsi="Arial"/>
                <w:sz w:val="14"/>
                <w:szCs w:val="14"/>
                <w:b w:val="1"/>
                <w:bCs w:val="1"/>
                <w:color w:val="0A9E50"/>
                <w:w w:val="99"/>
              </w:rPr>
              <w:t>1 Actual</w:t>
            </w:r>
          </w:p>
        </w:tc>
        <w:tc>
          <w:tcPr>
            <w:tcW w:w="800" w:type="dxa"/>
            <w:vAlign w:val="bottom"/>
          </w:tcPr>
          <w:p>
            <w:pPr>
              <w:jc w:val="center"/>
              <w:ind w:right="26"/>
              <w:spacing w:after="0" w:line="123" w:lineRule="exact"/>
              <w:rPr>
                <w:sz w:val="20"/>
                <w:szCs w:val="20"/>
                <w:color w:val="auto"/>
              </w:rPr>
            </w:pPr>
            <w:r>
              <w:rPr>
                <w:rFonts w:ascii="Arial" w:cs="Arial" w:eastAsia="Arial" w:hAnsi="Arial"/>
                <w:sz w:val="14"/>
                <w:szCs w:val="14"/>
                <w:b w:val="1"/>
                <w:bCs w:val="1"/>
                <w:color w:val="0A9E50"/>
              </w:rPr>
              <w:t>as % of</w:t>
            </w:r>
          </w:p>
        </w:tc>
      </w:tr>
      <w:tr>
        <w:trPr>
          <w:trHeight w:val="208"/>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Financial Performance Measures</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A9E50"/>
              </w:rPr>
              <w:t>Weighting</w:t>
            </w:r>
          </w:p>
        </w:tc>
        <w:tc>
          <w:tcPr>
            <w:tcW w:w="96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0A9E50"/>
              </w:rPr>
              <w:t>50%</w:t>
            </w:r>
          </w:p>
        </w:tc>
        <w:tc>
          <w:tcPr>
            <w:tcW w:w="90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0A9E50"/>
              </w:rPr>
              <w:t>100%</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rPr>
              <w:t>200%</w:t>
            </w:r>
          </w:p>
        </w:tc>
        <w:tc>
          <w:tcPr>
            <w:tcW w:w="880" w:type="dxa"/>
            <w:vAlign w:val="bottom"/>
            <w:tcBorders>
              <w:bottom w:val="single" w:sz="8" w:color="auto"/>
            </w:tcBorders>
          </w:tcPr>
          <w:p>
            <w:pPr>
              <w:jc w:val="center"/>
              <w:spacing w:after="0" w:line="208" w:lineRule="exact"/>
              <w:rPr>
                <w:sz w:val="20"/>
                <w:szCs w:val="20"/>
                <w:color w:val="auto"/>
              </w:rPr>
            </w:pPr>
            <w:r>
              <w:rPr>
                <w:rFonts w:ascii="Arial" w:cs="Arial" w:eastAsia="Arial" w:hAnsi="Arial"/>
                <w:sz w:val="14"/>
                <w:szCs w:val="14"/>
                <w:b w:val="1"/>
                <w:bCs w:val="1"/>
                <w:color w:val="0A9E50"/>
                <w:w w:val="92"/>
              </w:rPr>
              <w:t>Results</w:t>
            </w:r>
            <w:r>
              <w:rPr>
                <w:rFonts w:ascii="Arial" w:cs="Arial" w:eastAsia="Arial" w:hAnsi="Arial"/>
                <w:sz w:val="20"/>
                <w:szCs w:val="20"/>
                <w:b w:val="1"/>
                <w:bCs w:val="1"/>
                <w:color w:val="0A9E50"/>
                <w:w w:val="92"/>
                <w:vertAlign w:val="superscript"/>
              </w:rPr>
              <w:t>(1)</w:t>
            </w: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0A9E50"/>
                <w:w w:val="98"/>
              </w:rPr>
              <w:t>Target</w:t>
            </w:r>
          </w:p>
        </w:tc>
      </w:tr>
      <w:tr>
        <w:trPr>
          <w:trHeight w:val="199"/>
        </w:trPr>
        <w:tc>
          <w:tcPr>
            <w:tcW w:w="3900" w:type="dxa"/>
            <w:vAlign w:val="bottom"/>
          </w:tcPr>
          <w:p>
            <w:pPr>
              <w:spacing w:after="0"/>
              <w:rPr>
                <w:sz w:val="20"/>
                <w:szCs w:val="20"/>
                <w:color w:val="auto"/>
              </w:rPr>
            </w:pPr>
            <w:r>
              <w:rPr>
                <w:rFonts w:ascii="Arial" w:cs="Arial" w:eastAsia="Arial" w:hAnsi="Arial"/>
                <w:sz w:val="16"/>
                <w:szCs w:val="16"/>
                <w:color w:val="auto"/>
              </w:rPr>
              <w:t>  Revenue Growth</w:t>
            </w:r>
          </w:p>
        </w:tc>
        <w:tc>
          <w:tcPr>
            <w:tcW w:w="2400" w:type="dxa"/>
            <w:vAlign w:val="bottom"/>
          </w:tcPr>
          <w:p>
            <w:pPr>
              <w:jc w:val="right"/>
              <w:ind w:right="65"/>
              <w:spacing w:after="0"/>
              <w:rPr>
                <w:sz w:val="20"/>
                <w:szCs w:val="20"/>
                <w:color w:val="auto"/>
              </w:rPr>
            </w:pPr>
            <w:r>
              <w:rPr>
                <w:rFonts w:ascii="Arial" w:cs="Arial" w:eastAsia="Arial" w:hAnsi="Arial"/>
                <w:sz w:val="16"/>
                <w:szCs w:val="16"/>
                <w:color w:val="auto"/>
              </w:rPr>
              <w:t>50.0%</w:t>
            </w:r>
          </w:p>
        </w:tc>
        <w:tc>
          <w:tcPr>
            <w:tcW w:w="960" w:type="dxa"/>
            <w:vAlign w:val="bottom"/>
          </w:tcPr>
          <w:p>
            <w:pPr>
              <w:jc w:val="right"/>
              <w:ind w:right="27"/>
              <w:spacing w:after="0"/>
              <w:rPr>
                <w:sz w:val="20"/>
                <w:szCs w:val="20"/>
                <w:color w:val="auto"/>
              </w:rPr>
            </w:pPr>
            <w:r>
              <w:rPr>
                <w:rFonts w:ascii="Arial" w:cs="Arial" w:eastAsia="Arial" w:hAnsi="Arial"/>
                <w:sz w:val="16"/>
                <w:szCs w:val="16"/>
                <w:color w:val="auto"/>
              </w:rPr>
              <w:t>$4,822.56</w:t>
            </w:r>
          </w:p>
        </w:tc>
        <w:tc>
          <w:tcPr>
            <w:tcW w:w="900" w:type="dxa"/>
            <w:vAlign w:val="bottom"/>
          </w:tcPr>
          <w:p>
            <w:pPr>
              <w:jc w:val="right"/>
              <w:ind w:right="6"/>
              <w:spacing w:after="0"/>
              <w:rPr>
                <w:sz w:val="20"/>
                <w:szCs w:val="20"/>
                <w:color w:val="auto"/>
              </w:rPr>
            </w:pPr>
            <w:r>
              <w:rPr>
                <w:rFonts w:ascii="Arial" w:cs="Arial" w:eastAsia="Arial" w:hAnsi="Arial"/>
                <w:sz w:val="16"/>
                <w:szCs w:val="16"/>
                <w:color w:val="auto"/>
              </w:rPr>
              <w:t>$5,076.38</w:t>
            </w: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$5,518.03</w:t>
            </w:r>
          </w:p>
        </w:tc>
        <w:tc>
          <w:tcPr>
            <w:tcW w:w="880" w:type="dxa"/>
            <w:vAlign w:val="bottom"/>
          </w:tcPr>
          <w:p>
            <w:pPr>
              <w:jc w:val="right"/>
              <w:ind w:right="7"/>
              <w:spacing w:after="0"/>
              <w:rPr>
                <w:sz w:val="20"/>
                <w:szCs w:val="20"/>
                <w:color w:val="auto"/>
              </w:rPr>
            </w:pPr>
            <w:r>
              <w:rPr>
                <w:rFonts w:ascii="Arial" w:cs="Arial" w:eastAsia="Arial" w:hAnsi="Arial"/>
                <w:sz w:val="16"/>
                <w:szCs w:val="16"/>
                <w:color w:val="auto"/>
              </w:rPr>
              <w:t>$4,771.91</w:t>
            </w:r>
          </w:p>
        </w:tc>
        <w:tc>
          <w:tcPr>
            <w:tcW w:w="800" w:type="dxa"/>
            <w:vAlign w:val="bottom"/>
          </w:tcPr>
          <w:p>
            <w:pPr>
              <w:jc w:val="right"/>
              <w:ind w:right="46"/>
              <w:spacing w:after="0"/>
              <w:rPr>
                <w:sz w:val="20"/>
                <w:szCs w:val="20"/>
                <w:color w:val="auto"/>
              </w:rPr>
            </w:pPr>
            <w:r>
              <w:rPr>
                <w:rFonts w:ascii="Arial" w:cs="Arial" w:eastAsia="Arial" w:hAnsi="Arial"/>
                <w:sz w:val="16"/>
                <w:szCs w:val="16"/>
                <w:color w:val="auto"/>
              </w:rPr>
              <w:t>0.00%</w:t>
            </w:r>
          </w:p>
        </w:tc>
      </w:tr>
      <w:tr>
        <w:trPr>
          <w:trHeight w:val="54"/>
        </w:trPr>
        <w:tc>
          <w:tcPr>
            <w:tcW w:w="3900" w:type="dxa"/>
            <w:vAlign w:val="bottom"/>
            <w:tcBorders>
              <w:bottom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r>
      <w:tr>
        <w:trPr>
          <w:trHeight w:val="199"/>
        </w:trPr>
        <w:tc>
          <w:tcPr>
            <w:tcW w:w="3900" w:type="dxa"/>
            <w:vAlign w:val="bottom"/>
          </w:tcPr>
          <w:p>
            <w:pPr>
              <w:spacing w:after="0"/>
              <w:rPr>
                <w:sz w:val="20"/>
                <w:szCs w:val="20"/>
                <w:color w:val="auto"/>
              </w:rPr>
            </w:pPr>
            <w:r>
              <w:rPr>
                <w:rFonts w:ascii="Arial" w:cs="Arial" w:eastAsia="Arial" w:hAnsi="Arial"/>
                <w:sz w:val="16"/>
                <w:szCs w:val="16"/>
                <w:color w:val="auto"/>
              </w:rPr>
              <w:t>  EBITDA Margin</w:t>
            </w:r>
          </w:p>
        </w:tc>
        <w:tc>
          <w:tcPr>
            <w:tcW w:w="2400" w:type="dxa"/>
            <w:vAlign w:val="bottom"/>
          </w:tcPr>
          <w:p>
            <w:pPr>
              <w:jc w:val="right"/>
              <w:ind w:right="65"/>
              <w:spacing w:after="0"/>
              <w:rPr>
                <w:sz w:val="20"/>
                <w:szCs w:val="20"/>
                <w:color w:val="auto"/>
              </w:rPr>
            </w:pPr>
            <w:r>
              <w:rPr>
                <w:rFonts w:ascii="Arial" w:cs="Arial" w:eastAsia="Arial" w:hAnsi="Arial"/>
                <w:sz w:val="16"/>
                <w:szCs w:val="16"/>
                <w:color w:val="auto"/>
              </w:rPr>
              <w:t>50.0%</w:t>
            </w:r>
          </w:p>
        </w:tc>
        <w:tc>
          <w:tcPr>
            <w:tcW w:w="960" w:type="dxa"/>
            <w:vAlign w:val="bottom"/>
          </w:tcPr>
          <w:p>
            <w:pPr>
              <w:jc w:val="right"/>
              <w:ind w:right="147"/>
              <w:spacing w:after="0"/>
              <w:rPr>
                <w:sz w:val="20"/>
                <w:szCs w:val="20"/>
                <w:color w:val="auto"/>
              </w:rPr>
            </w:pPr>
            <w:r>
              <w:rPr>
                <w:rFonts w:ascii="Arial" w:cs="Arial" w:eastAsia="Arial" w:hAnsi="Arial"/>
                <w:sz w:val="16"/>
                <w:szCs w:val="16"/>
                <w:color w:val="auto"/>
              </w:rPr>
              <w:t>1.65%</w:t>
            </w:r>
          </w:p>
        </w:tc>
        <w:tc>
          <w:tcPr>
            <w:tcW w:w="900" w:type="dxa"/>
            <w:vAlign w:val="bottom"/>
          </w:tcPr>
          <w:p>
            <w:pPr>
              <w:jc w:val="right"/>
              <w:ind w:right="146"/>
              <w:spacing w:after="0"/>
              <w:rPr>
                <w:sz w:val="20"/>
                <w:szCs w:val="20"/>
                <w:color w:val="auto"/>
              </w:rPr>
            </w:pPr>
            <w:r>
              <w:rPr>
                <w:rFonts w:ascii="Arial" w:cs="Arial" w:eastAsia="Arial" w:hAnsi="Arial"/>
                <w:sz w:val="16"/>
                <w:szCs w:val="16"/>
                <w:color w:val="auto"/>
              </w:rPr>
              <w:t>2.25%</w:t>
            </w:r>
          </w:p>
        </w:tc>
        <w:tc>
          <w:tcPr>
            <w:tcW w:w="780" w:type="dxa"/>
            <w:vAlign w:val="bottom"/>
          </w:tcPr>
          <w:p>
            <w:pPr>
              <w:jc w:val="center"/>
              <w:spacing w:after="0"/>
              <w:rPr>
                <w:sz w:val="20"/>
                <w:szCs w:val="20"/>
                <w:color w:val="auto"/>
              </w:rPr>
            </w:pPr>
            <w:r>
              <w:rPr>
                <w:rFonts w:ascii="Arial" w:cs="Arial" w:eastAsia="Arial" w:hAnsi="Arial"/>
                <w:sz w:val="16"/>
                <w:szCs w:val="16"/>
                <w:color w:val="auto"/>
                <w:w w:val="96"/>
              </w:rPr>
              <w:t>2.77%</w:t>
            </w:r>
          </w:p>
        </w:tc>
        <w:tc>
          <w:tcPr>
            <w:tcW w:w="880" w:type="dxa"/>
            <w:vAlign w:val="bottom"/>
          </w:tcPr>
          <w:p>
            <w:pPr>
              <w:jc w:val="right"/>
              <w:ind w:right="127"/>
              <w:spacing w:after="0"/>
              <w:rPr>
                <w:sz w:val="20"/>
                <w:szCs w:val="20"/>
                <w:color w:val="auto"/>
              </w:rPr>
            </w:pPr>
            <w:r>
              <w:rPr>
                <w:rFonts w:ascii="Arial" w:cs="Arial" w:eastAsia="Arial" w:hAnsi="Arial"/>
                <w:sz w:val="16"/>
                <w:szCs w:val="16"/>
                <w:color w:val="auto"/>
              </w:rPr>
              <w:t>2.25%</w:t>
            </w:r>
          </w:p>
        </w:tc>
        <w:tc>
          <w:tcPr>
            <w:tcW w:w="800" w:type="dxa"/>
            <w:vAlign w:val="bottom"/>
          </w:tcPr>
          <w:p>
            <w:pPr>
              <w:jc w:val="right"/>
              <w:ind w:right="46"/>
              <w:spacing w:after="0"/>
              <w:rPr>
                <w:sz w:val="20"/>
                <w:szCs w:val="20"/>
                <w:color w:val="auto"/>
              </w:rPr>
            </w:pPr>
            <w:r>
              <w:rPr>
                <w:rFonts w:ascii="Arial" w:cs="Arial" w:eastAsia="Arial" w:hAnsi="Arial"/>
                <w:sz w:val="16"/>
                <w:szCs w:val="16"/>
                <w:color w:val="auto"/>
              </w:rPr>
              <w:t>100.00%</w:t>
            </w:r>
          </w:p>
        </w:tc>
      </w:tr>
      <w:tr>
        <w:trPr>
          <w:trHeight w:val="54"/>
        </w:trPr>
        <w:tc>
          <w:tcPr>
            <w:tcW w:w="3900" w:type="dxa"/>
            <w:vAlign w:val="bottom"/>
            <w:tcBorders>
              <w:bottom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1660" w:type="dxa"/>
            <w:vAlign w:val="bottom"/>
            <w:tcBorders>
              <w:bottom w:val="single" w:sz="8" w:color="7F7F7F"/>
            </w:tcBorders>
            <w:gridSpan w:val="2"/>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r>
      <w:tr>
        <w:trPr>
          <w:trHeight w:val="211"/>
        </w:trPr>
        <w:tc>
          <w:tcPr>
            <w:tcW w:w="39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 in millions</w:t>
            </w:r>
          </w:p>
        </w:tc>
        <w:tc>
          <w:tcPr>
            <w:tcW w:w="2400" w:type="dxa"/>
            <w:vAlign w:val="bottom"/>
            <w:tcBorders>
              <w:bottom w:val="single" w:sz="8" w:color="7F7F7F"/>
            </w:tcBorders>
          </w:tcPr>
          <w:p>
            <w:pPr>
              <w:spacing w:after="0"/>
              <w:rPr>
                <w:sz w:val="18"/>
                <w:szCs w:val="18"/>
                <w:color w:val="auto"/>
              </w:rPr>
            </w:pPr>
          </w:p>
        </w:tc>
        <w:tc>
          <w:tcPr>
            <w:tcW w:w="96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spacing w:after="0"/>
              <w:rPr>
                <w:sz w:val="18"/>
                <w:szCs w:val="18"/>
                <w:color w:val="auto"/>
              </w:rPr>
            </w:pPr>
          </w:p>
        </w:tc>
        <w:tc>
          <w:tcPr>
            <w:tcW w:w="1660" w:type="dxa"/>
            <w:vAlign w:val="bottom"/>
            <w:tcBorders>
              <w:bottom w:val="single" w:sz="8" w:color="7F7F7F"/>
            </w:tcBorders>
            <w:gridSpan w:val="2"/>
          </w:tcPr>
          <w:p>
            <w:pPr>
              <w:ind w:left="260"/>
              <w:spacing w:after="0"/>
              <w:rPr>
                <w:sz w:val="20"/>
                <w:szCs w:val="20"/>
                <w:color w:val="auto"/>
              </w:rPr>
            </w:pPr>
            <w:r>
              <w:rPr>
                <w:rFonts w:ascii="Arial" w:cs="Arial" w:eastAsia="Arial" w:hAnsi="Arial"/>
                <w:sz w:val="16"/>
                <w:szCs w:val="16"/>
                <w:b w:val="1"/>
                <w:bCs w:val="1"/>
                <w:color w:val="auto"/>
              </w:rPr>
              <w:t>Weighted Payout:</w:t>
            </w:r>
          </w:p>
        </w:tc>
        <w:tc>
          <w:tcPr>
            <w:tcW w:w="800" w:type="dxa"/>
            <w:vAlign w:val="bottom"/>
            <w:tcBorders>
              <w:bottom w:val="single" w:sz="8" w:color="7F7F7F"/>
            </w:tcBorders>
          </w:tcPr>
          <w:p>
            <w:pPr>
              <w:jc w:val="right"/>
              <w:ind w:right="46"/>
              <w:spacing w:after="0"/>
              <w:rPr>
                <w:sz w:val="20"/>
                <w:szCs w:val="20"/>
                <w:color w:val="auto"/>
              </w:rPr>
            </w:pPr>
            <w:r>
              <w:rPr>
                <w:rFonts w:ascii="Arial" w:cs="Arial" w:eastAsia="Arial" w:hAnsi="Arial"/>
                <w:sz w:val="16"/>
                <w:szCs w:val="16"/>
                <w:b w:val="1"/>
                <w:bCs w:val="1"/>
                <w:color w:val="auto"/>
              </w:rPr>
              <w:t>50.00%</w:t>
            </w:r>
          </w:p>
        </w:tc>
      </w:tr>
    </w:tbl>
    <w:p>
      <w:pPr>
        <w:spacing w:after="0" w:line="99" w:lineRule="exact"/>
        <w:rPr>
          <w:sz w:val="20"/>
          <w:szCs w:val="20"/>
          <w:color w:val="auto"/>
        </w:rPr>
      </w:pPr>
    </w:p>
    <w:p>
      <w:pPr>
        <w:ind w:left="620" w:hanging="304"/>
        <w:spacing w:after="0"/>
        <w:tabs>
          <w:tab w:leader="none" w:pos="6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2023 performance amount includes adjustments for restructuring and divestiture costs and other considerations approved by the Committee.</w:t>
      </w:r>
    </w:p>
    <w:p>
      <w:pPr>
        <w:spacing w:after="0" w:line="76" w:lineRule="exact"/>
        <w:rPr>
          <w:sz w:val="20"/>
          <w:szCs w:val="20"/>
          <w:color w:val="auto"/>
        </w:rPr>
      </w:pPr>
    </w:p>
    <w:p>
      <w:pPr>
        <w:ind w:left="320" w:right="120"/>
        <w:spacing w:after="0" w:line="265" w:lineRule="auto"/>
        <w:rPr>
          <w:sz w:val="20"/>
          <w:szCs w:val="20"/>
          <w:color w:val="auto"/>
        </w:rPr>
      </w:pPr>
      <w:r>
        <w:rPr>
          <w:rFonts w:ascii="Arial" w:cs="Arial" w:eastAsia="Arial" w:hAnsi="Arial"/>
          <w:sz w:val="16"/>
          <w:szCs w:val="16"/>
          <w:color w:val="auto"/>
        </w:rPr>
        <w:t>As a result of the above level of achievement for each of the performance measures for year 1 of the 2023-2025 LTI award, the Committee approved the following number of earned performance shares for each named executive officer.</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9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0A9E50"/>
                <w:w w:val="99"/>
              </w:rPr>
              <w:t>Financial Measure:</w:t>
            </w:r>
          </w:p>
        </w:tc>
        <w:tc>
          <w:tcPr>
            <w:tcW w:w="2480" w:type="dxa"/>
            <w:vAlign w:val="bottom"/>
            <w:gridSpan w:val="2"/>
          </w:tcPr>
          <w:p>
            <w:pPr>
              <w:jc w:val="center"/>
              <w:spacing w:after="0"/>
              <w:rPr>
                <w:sz w:val="20"/>
                <w:szCs w:val="20"/>
                <w:color w:val="auto"/>
              </w:rPr>
            </w:pPr>
            <w:r>
              <w:rPr>
                <w:rFonts w:ascii="Arial" w:cs="Arial" w:eastAsia="Arial" w:hAnsi="Arial"/>
                <w:sz w:val="14"/>
                <w:szCs w:val="14"/>
                <w:b w:val="1"/>
                <w:bCs w:val="1"/>
                <w:color w:val="0A9E50"/>
                <w:w w:val="98"/>
              </w:rPr>
              <w:t>Financial Measure:</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00" w:type="dxa"/>
            <w:vAlign w:val="bottom"/>
          </w:tcPr>
          <w:p>
            <w:pPr>
              <w:spacing w:after="0"/>
              <w:rPr>
                <w:sz w:val="14"/>
                <w:szCs w:val="14"/>
                <w:color w:val="auto"/>
              </w:rPr>
            </w:pPr>
          </w:p>
        </w:tc>
        <w:tc>
          <w:tcPr>
            <w:tcW w:w="2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A9E50"/>
                <w:w w:val="98"/>
              </w:rPr>
              <w:t>Revenue Growth</w:t>
            </w:r>
          </w:p>
        </w:tc>
        <w:tc>
          <w:tcPr>
            <w:tcW w:w="500" w:type="dxa"/>
            <w:vAlign w:val="bottom"/>
          </w:tcPr>
          <w:p>
            <w:pPr>
              <w:spacing w:after="0"/>
              <w:rPr>
                <w:sz w:val="14"/>
                <w:szCs w:val="14"/>
                <w:color w:val="auto"/>
              </w:rPr>
            </w:pPr>
          </w:p>
        </w:tc>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A9E50"/>
                <w:w w:val="98"/>
              </w:rPr>
              <w:t>EBITDA Margin</w:t>
            </w:r>
          </w:p>
        </w:tc>
        <w:tc>
          <w:tcPr>
            <w:tcW w:w="1480" w:type="dxa"/>
            <w:vAlign w:val="bottom"/>
            <w:vMerge w:val="restart"/>
          </w:tcPr>
          <w:p>
            <w:pPr>
              <w:jc w:val="center"/>
              <w:ind w:left="406"/>
              <w:spacing w:after="0"/>
              <w:rPr>
                <w:sz w:val="20"/>
                <w:szCs w:val="20"/>
                <w:color w:val="auto"/>
              </w:rPr>
            </w:pPr>
            <w:r>
              <w:rPr>
                <w:rFonts w:ascii="Arial" w:cs="Arial" w:eastAsia="Arial" w:hAnsi="Arial"/>
                <w:sz w:val="14"/>
                <w:szCs w:val="14"/>
                <w:b w:val="1"/>
                <w:bCs w:val="1"/>
                <w:color w:val="0A9E50"/>
                <w:w w:val="96"/>
              </w:rPr>
              <w:t>Total # of</w:t>
            </w:r>
          </w:p>
        </w:tc>
        <w:tc>
          <w:tcPr>
            <w:tcW w:w="0" w:type="dxa"/>
            <w:vAlign w:val="bottom"/>
          </w:tcPr>
          <w:p>
            <w:pPr>
              <w:spacing w:after="0"/>
              <w:rPr>
                <w:sz w:val="1"/>
                <w:szCs w:val="1"/>
                <w:color w:val="auto"/>
              </w:rPr>
            </w:pPr>
          </w:p>
        </w:tc>
      </w:tr>
      <w:tr>
        <w:trPr>
          <w:trHeight w:val="49"/>
        </w:trPr>
        <w:tc>
          <w:tcPr>
            <w:tcW w:w="3700" w:type="dxa"/>
            <w:vAlign w:val="bottom"/>
          </w:tcPr>
          <w:p>
            <w:pPr>
              <w:spacing w:after="0"/>
              <w:rPr>
                <w:sz w:val="4"/>
                <w:szCs w:val="4"/>
                <w:color w:val="auto"/>
              </w:rPr>
            </w:pPr>
          </w:p>
        </w:tc>
        <w:tc>
          <w:tcPr>
            <w:tcW w:w="24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0A9E50"/>
                <w:w w:val="98"/>
              </w:rPr>
              <w:t>Payout as % of Target: 0.00%</w:t>
            </w:r>
          </w:p>
        </w:tc>
        <w:tc>
          <w:tcPr>
            <w:tcW w:w="500" w:type="dxa"/>
            <w:vAlign w:val="bottom"/>
            <w:vMerge w:val="restart"/>
          </w:tcPr>
          <w:p>
            <w:pPr>
              <w:spacing w:after="0"/>
              <w:rPr>
                <w:sz w:val="4"/>
                <w:szCs w:val="4"/>
                <w:color w:val="auto"/>
              </w:rPr>
            </w:pPr>
          </w:p>
        </w:tc>
        <w:tc>
          <w:tcPr>
            <w:tcW w:w="24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0A9E50"/>
                <w:w w:val="98"/>
              </w:rPr>
              <w:t>Payout as % of Target: 100.00%</w:t>
            </w: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3700" w:type="dxa"/>
            <w:vAlign w:val="bottom"/>
          </w:tcPr>
          <w:p>
            <w:pPr>
              <w:spacing w:after="0"/>
              <w:rPr>
                <w:sz w:val="8"/>
                <w:szCs w:val="8"/>
                <w:color w:val="auto"/>
              </w:rPr>
            </w:pPr>
          </w:p>
        </w:tc>
        <w:tc>
          <w:tcPr>
            <w:tcW w:w="2460" w:type="dxa"/>
            <w:vAlign w:val="bottom"/>
            <w:tcBorders>
              <w:bottom w:val="single" w:sz="8" w:color="auto"/>
            </w:tcBorders>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480" w:type="dxa"/>
            <w:vAlign w:val="bottom"/>
            <w:tcBorders>
              <w:bottom w:val="single" w:sz="8" w:color="auto"/>
            </w:tcBorders>
            <w:gridSpan w:val="2"/>
            <w:vMerge w:val="continue"/>
          </w:tcPr>
          <w:p>
            <w:pPr>
              <w:spacing w:after="0"/>
              <w:rPr>
                <w:sz w:val="8"/>
                <w:szCs w:val="8"/>
                <w:color w:val="auto"/>
              </w:rPr>
            </w:pPr>
          </w:p>
        </w:tc>
        <w:tc>
          <w:tcPr>
            <w:tcW w:w="1480" w:type="dxa"/>
            <w:vAlign w:val="bottom"/>
            <w:vMerge w:val="restart"/>
          </w:tcPr>
          <w:p>
            <w:pPr>
              <w:jc w:val="center"/>
              <w:ind w:left="406"/>
              <w:spacing w:after="0" w:line="156" w:lineRule="exact"/>
              <w:rPr>
                <w:sz w:val="20"/>
                <w:szCs w:val="20"/>
                <w:color w:val="auto"/>
              </w:rPr>
            </w:pPr>
            <w:r>
              <w:rPr>
                <w:rFonts w:ascii="Arial" w:cs="Arial" w:eastAsia="Arial" w:hAnsi="Arial"/>
                <w:sz w:val="14"/>
                <w:szCs w:val="14"/>
                <w:b w:val="1"/>
                <w:bCs w:val="1"/>
                <w:color w:val="0A9E50"/>
                <w:w w:val="95"/>
              </w:rPr>
              <w:t>Year 1</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1240" w:type="dxa"/>
            <w:vAlign w:val="bottom"/>
            <w:vMerge w:val="restart"/>
          </w:tcPr>
          <w:p>
            <w:pPr>
              <w:jc w:val="right"/>
              <w:ind w:right="186"/>
              <w:spacing w:after="0" w:line="140" w:lineRule="exact"/>
              <w:rPr>
                <w:sz w:val="20"/>
                <w:szCs w:val="20"/>
                <w:color w:val="auto"/>
              </w:rPr>
            </w:pPr>
            <w:r>
              <w:rPr>
                <w:rFonts w:ascii="Arial" w:cs="Arial" w:eastAsia="Arial" w:hAnsi="Arial"/>
                <w:sz w:val="14"/>
                <w:szCs w:val="14"/>
                <w:b w:val="1"/>
                <w:bCs w:val="1"/>
                <w:color w:val="0A9E50"/>
                <w:w w:val="95"/>
              </w:rPr>
              <w:t>Year 1 Target #</w:t>
            </w:r>
          </w:p>
        </w:tc>
        <w:tc>
          <w:tcPr>
            <w:tcW w:w="1720" w:type="dxa"/>
            <w:vAlign w:val="bottom"/>
            <w:gridSpan w:val="2"/>
            <w:vMerge w:val="restart"/>
          </w:tcPr>
          <w:p>
            <w:pPr>
              <w:jc w:val="center"/>
              <w:ind w:right="260"/>
              <w:spacing w:after="0" w:line="140" w:lineRule="exact"/>
              <w:rPr>
                <w:sz w:val="20"/>
                <w:szCs w:val="20"/>
                <w:color w:val="auto"/>
              </w:rPr>
            </w:pPr>
            <w:r>
              <w:rPr>
                <w:rFonts w:ascii="Arial" w:cs="Arial" w:eastAsia="Arial" w:hAnsi="Arial"/>
                <w:sz w:val="14"/>
                <w:szCs w:val="14"/>
                <w:b w:val="1"/>
                <w:bCs w:val="1"/>
                <w:color w:val="0A9E50"/>
                <w:w w:val="98"/>
              </w:rPr>
              <w:t>Year 1 # of</w:t>
            </w:r>
          </w:p>
        </w:tc>
        <w:tc>
          <w:tcPr>
            <w:tcW w:w="1260" w:type="dxa"/>
            <w:vAlign w:val="bottom"/>
            <w:vMerge w:val="restart"/>
          </w:tcPr>
          <w:p>
            <w:pPr>
              <w:jc w:val="right"/>
              <w:ind w:right="186"/>
              <w:spacing w:after="0" w:line="140" w:lineRule="exact"/>
              <w:rPr>
                <w:sz w:val="20"/>
                <w:szCs w:val="20"/>
                <w:color w:val="auto"/>
              </w:rPr>
            </w:pPr>
            <w:r>
              <w:rPr>
                <w:rFonts w:ascii="Arial" w:cs="Arial" w:eastAsia="Arial" w:hAnsi="Arial"/>
                <w:sz w:val="14"/>
                <w:szCs w:val="14"/>
                <w:b w:val="1"/>
                <w:bCs w:val="1"/>
                <w:color w:val="0A9E50"/>
                <w:w w:val="97"/>
              </w:rPr>
              <w:t>Year 1 Target #</w:t>
            </w:r>
          </w:p>
        </w:tc>
        <w:tc>
          <w:tcPr>
            <w:tcW w:w="1220" w:type="dxa"/>
            <w:vAlign w:val="bottom"/>
            <w:vMerge w:val="restart"/>
          </w:tcPr>
          <w:p>
            <w:pPr>
              <w:jc w:val="right"/>
              <w:ind w:right="64"/>
              <w:spacing w:after="0" w:line="140" w:lineRule="exact"/>
              <w:rPr>
                <w:sz w:val="20"/>
                <w:szCs w:val="20"/>
                <w:color w:val="auto"/>
              </w:rPr>
            </w:pPr>
            <w:r>
              <w:rPr>
                <w:rFonts w:ascii="Arial" w:cs="Arial" w:eastAsia="Arial" w:hAnsi="Arial"/>
                <w:sz w:val="14"/>
                <w:szCs w:val="14"/>
                <w:b w:val="1"/>
                <w:bCs w:val="1"/>
                <w:color w:val="0A9E50"/>
              </w:rPr>
              <w:t>Year 1 # of</w:t>
            </w:r>
          </w:p>
        </w:tc>
        <w:tc>
          <w:tcPr>
            <w:tcW w:w="14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4"/>
        </w:trPr>
        <w:tc>
          <w:tcPr>
            <w:tcW w:w="37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480" w:type="dxa"/>
            <w:vAlign w:val="bottom"/>
            <w:vMerge w:val="restart"/>
          </w:tcPr>
          <w:p>
            <w:pPr>
              <w:jc w:val="center"/>
              <w:ind w:left="406"/>
              <w:spacing w:after="0" w:line="156" w:lineRule="exact"/>
              <w:rPr>
                <w:sz w:val="20"/>
                <w:szCs w:val="20"/>
                <w:color w:val="auto"/>
              </w:rPr>
            </w:pPr>
            <w:r>
              <w:rPr>
                <w:rFonts w:ascii="Arial" w:cs="Arial" w:eastAsia="Arial" w:hAnsi="Arial"/>
                <w:sz w:val="14"/>
                <w:szCs w:val="14"/>
                <w:b w:val="1"/>
                <w:bCs w:val="1"/>
                <w:color w:val="0A9E50"/>
                <w:w w:val="98"/>
              </w:rPr>
              <w:t>Performance</w:t>
            </w:r>
          </w:p>
        </w:tc>
        <w:tc>
          <w:tcPr>
            <w:tcW w:w="0" w:type="dxa"/>
            <w:vAlign w:val="bottom"/>
          </w:tcPr>
          <w:p>
            <w:pPr>
              <w:spacing w:after="0"/>
              <w:rPr>
                <w:sz w:val="1"/>
                <w:szCs w:val="1"/>
                <w:color w:val="auto"/>
              </w:rPr>
            </w:pPr>
          </w:p>
        </w:tc>
      </w:tr>
      <w:tr>
        <w:trPr>
          <w:trHeight w:val="52"/>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0A9E50"/>
              </w:rPr>
              <w:t>  Name</w:t>
            </w:r>
          </w:p>
        </w:tc>
        <w:tc>
          <w:tcPr>
            <w:tcW w:w="1240" w:type="dxa"/>
            <w:vAlign w:val="bottom"/>
            <w:vMerge w:val="restart"/>
          </w:tcPr>
          <w:p>
            <w:pPr>
              <w:jc w:val="right"/>
              <w:ind w:right="346"/>
              <w:spacing w:after="0"/>
              <w:rPr>
                <w:sz w:val="20"/>
                <w:szCs w:val="20"/>
                <w:color w:val="auto"/>
              </w:rPr>
            </w:pPr>
            <w:r>
              <w:rPr>
                <w:rFonts w:ascii="Arial" w:cs="Arial" w:eastAsia="Arial" w:hAnsi="Arial"/>
                <w:sz w:val="14"/>
                <w:szCs w:val="14"/>
                <w:b w:val="1"/>
                <w:bCs w:val="1"/>
                <w:color w:val="0A9E50"/>
              </w:rPr>
              <w:t>of Shares</w:t>
            </w: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0A9E50"/>
                <w:w w:val="99"/>
              </w:rPr>
              <w:t>Shares Earned</w:t>
            </w:r>
          </w:p>
        </w:tc>
        <w:tc>
          <w:tcPr>
            <w:tcW w:w="1260" w:type="dxa"/>
            <w:vAlign w:val="bottom"/>
            <w:vMerge w:val="restart"/>
          </w:tcPr>
          <w:p>
            <w:pPr>
              <w:jc w:val="right"/>
              <w:ind w:right="366"/>
              <w:spacing w:after="0"/>
              <w:rPr>
                <w:sz w:val="20"/>
                <w:szCs w:val="20"/>
                <w:color w:val="auto"/>
              </w:rPr>
            </w:pPr>
            <w:r>
              <w:rPr>
                <w:rFonts w:ascii="Arial" w:cs="Arial" w:eastAsia="Arial" w:hAnsi="Arial"/>
                <w:sz w:val="14"/>
                <w:szCs w:val="14"/>
                <w:b w:val="1"/>
                <w:bCs w:val="1"/>
                <w:color w:val="0A9E50"/>
              </w:rPr>
              <w:t>of Shares</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0A9E50"/>
              </w:rPr>
              <w:t>Shares Earned</w:t>
            </w: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70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720" w:type="dxa"/>
            <w:vAlign w:val="bottom"/>
            <w:tcBorders>
              <w:bottom w:val="single" w:sz="8" w:color="auto"/>
            </w:tcBorders>
            <w:gridSpan w:val="2"/>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480" w:type="dxa"/>
            <w:vAlign w:val="bottom"/>
            <w:tcBorders>
              <w:bottom w:val="single" w:sz="8" w:color="auto"/>
            </w:tcBorders>
          </w:tcPr>
          <w:p>
            <w:pPr>
              <w:jc w:val="center"/>
              <w:ind w:left="406"/>
              <w:spacing w:after="0"/>
              <w:rPr>
                <w:sz w:val="20"/>
                <w:szCs w:val="20"/>
                <w:color w:val="auto"/>
              </w:rPr>
            </w:pPr>
            <w:r>
              <w:rPr>
                <w:rFonts w:ascii="Arial" w:cs="Arial" w:eastAsia="Arial" w:hAnsi="Arial"/>
                <w:sz w:val="14"/>
                <w:szCs w:val="14"/>
                <w:b w:val="1"/>
                <w:bCs w:val="1"/>
                <w:color w:val="0A9E50"/>
                <w:w w:val="97"/>
              </w:rPr>
              <w:t>Shares Earned</w:t>
            </w:r>
          </w:p>
        </w:tc>
        <w:tc>
          <w:tcPr>
            <w:tcW w:w="0" w:type="dxa"/>
            <w:vAlign w:val="bottom"/>
          </w:tcPr>
          <w:p>
            <w:pPr>
              <w:spacing w:after="0"/>
              <w:rPr>
                <w:sz w:val="1"/>
                <w:szCs w:val="1"/>
                <w:color w:val="auto"/>
              </w:rPr>
            </w:pPr>
          </w:p>
        </w:tc>
      </w:tr>
      <w:tr>
        <w:trPr>
          <w:trHeight w:val="208"/>
        </w:trPr>
        <w:tc>
          <w:tcPr>
            <w:tcW w:w="3700" w:type="dxa"/>
            <w:vAlign w:val="bottom"/>
          </w:tcPr>
          <w:p>
            <w:pPr>
              <w:spacing w:after="0"/>
              <w:rPr>
                <w:sz w:val="20"/>
                <w:szCs w:val="20"/>
                <w:color w:val="auto"/>
              </w:rPr>
            </w:pPr>
            <w:r>
              <w:rPr>
                <w:rFonts w:ascii="Arial" w:cs="Arial" w:eastAsia="Arial" w:hAnsi="Arial"/>
                <w:sz w:val="16"/>
                <w:szCs w:val="16"/>
                <w:b w:val="1"/>
                <w:bCs w:val="1"/>
                <w:color w:val="auto"/>
              </w:rPr>
              <w:t>  Peter W. Quigley</w:t>
            </w:r>
          </w:p>
        </w:tc>
        <w:tc>
          <w:tcPr>
            <w:tcW w:w="1240" w:type="dxa"/>
            <w:vAlign w:val="bottom"/>
          </w:tcPr>
          <w:p>
            <w:pPr>
              <w:jc w:val="right"/>
              <w:ind w:right="266"/>
              <w:spacing w:after="0"/>
              <w:rPr>
                <w:sz w:val="20"/>
                <w:szCs w:val="20"/>
                <w:color w:val="auto"/>
              </w:rPr>
            </w:pPr>
            <w:r>
              <w:rPr>
                <w:rFonts w:ascii="Arial" w:cs="Arial" w:eastAsia="Arial" w:hAnsi="Arial"/>
                <w:sz w:val="16"/>
                <w:szCs w:val="16"/>
                <w:color w:val="auto"/>
              </w:rPr>
              <w:t>17,545</w:t>
            </w:r>
          </w:p>
        </w:tc>
        <w:tc>
          <w:tcPr>
            <w:tcW w:w="122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8"/>
                <w:szCs w:val="18"/>
                <w:color w:val="auto"/>
              </w:rPr>
            </w:pP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17,545</w:t>
            </w:r>
          </w:p>
        </w:tc>
        <w:tc>
          <w:tcPr>
            <w:tcW w:w="1220" w:type="dxa"/>
            <w:vAlign w:val="bottom"/>
          </w:tcPr>
          <w:p>
            <w:pPr>
              <w:jc w:val="right"/>
              <w:spacing w:after="0"/>
              <w:rPr>
                <w:sz w:val="20"/>
                <w:szCs w:val="20"/>
                <w:color w:val="auto"/>
              </w:rPr>
            </w:pPr>
            <w:r>
              <w:rPr>
                <w:rFonts w:ascii="Arial" w:cs="Arial" w:eastAsia="Arial" w:hAnsi="Arial"/>
                <w:sz w:val="16"/>
                <w:szCs w:val="16"/>
                <w:color w:val="auto"/>
              </w:rPr>
              <w:t>17,545</w:t>
            </w:r>
          </w:p>
        </w:tc>
        <w:tc>
          <w:tcPr>
            <w:tcW w:w="1480" w:type="dxa"/>
            <w:vAlign w:val="bottom"/>
          </w:tcPr>
          <w:p>
            <w:pPr>
              <w:jc w:val="right"/>
              <w:spacing w:after="0"/>
              <w:rPr>
                <w:sz w:val="20"/>
                <w:szCs w:val="20"/>
                <w:color w:val="auto"/>
              </w:rPr>
            </w:pPr>
            <w:r>
              <w:rPr>
                <w:rFonts w:ascii="Arial" w:cs="Arial" w:eastAsia="Arial" w:hAnsi="Arial"/>
                <w:sz w:val="16"/>
                <w:szCs w:val="16"/>
                <w:color w:val="auto"/>
              </w:rPr>
              <w:t>17,545</w:t>
            </w:r>
          </w:p>
        </w:tc>
        <w:tc>
          <w:tcPr>
            <w:tcW w:w="0" w:type="dxa"/>
            <w:vAlign w:val="bottom"/>
          </w:tcPr>
          <w:p>
            <w:pPr>
              <w:spacing w:after="0"/>
              <w:rPr>
                <w:sz w:val="1"/>
                <w:szCs w:val="1"/>
                <w:color w:val="auto"/>
              </w:rPr>
            </w:pPr>
          </w:p>
        </w:tc>
      </w:tr>
      <w:tr>
        <w:trPr>
          <w:trHeight w:val="45"/>
        </w:trPr>
        <w:tc>
          <w:tcPr>
            <w:tcW w:w="370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14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00" w:type="dxa"/>
            <w:vAlign w:val="bottom"/>
          </w:tcPr>
          <w:p>
            <w:pPr>
              <w:spacing w:after="0"/>
              <w:rPr>
                <w:sz w:val="20"/>
                <w:szCs w:val="20"/>
                <w:color w:val="auto"/>
              </w:rPr>
            </w:pPr>
            <w:r>
              <w:rPr>
                <w:rFonts w:ascii="Arial" w:cs="Arial" w:eastAsia="Arial" w:hAnsi="Arial"/>
                <w:sz w:val="16"/>
                <w:szCs w:val="16"/>
                <w:b w:val="1"/>
                <w:bCs w:val="1"/>
                <w:color w:val="auto"/>
              </w:rPr>
              <w:t>  Olivier G. Thirot</w:t>
            </w:r>
          </w:p>
        </w:tc>
        <w:tc>
          <w:tcPr>
            <w:tcW w:w="1240" w:type="dxa"/>
            <w:vAlign w:val="bottom"/>
          </w:tcPr>
          <w:p>
            <w:pPr>
              <w:jc w:val="right"/>
              <w:ind w:right="266"/>
              <w:spacing w:after="0"/>
              <w:rPr>
                <w:sz w:val="20"/>
                <w:szCs w:val="20"/>
                <w:color w:val="auto"/>
              </w:rPr>
            </w:pPr>
            <w:r>
              <w:rPr>
                <w:rFonts w:ascii="Arial" w:cs="Arial" w:eastAsia="Arial" w:hAnsi="Arial"/>
                <w:sz w:val="16"/>
                <w:szCs w:val="16"/>
                <w:color w:val="auto"/>
              </w:rPr>
              <w:t>5,784</w:t>
            </w:r>
          </w:p>
        </w:tc>
        <w:tc>
          <w:tcPr>
            <w:tcW w:w="122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8"/>
                <w:szCs w:val="18"/>
                <w:color w:val="auto"/>
              </w:rPr>
            </w:pP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5,784</w:t>
            </w:r>
          </w:p>
        </w:tc>
        <w:tc>
          <w:tcPr>
            <w:tcW w:w="1220" w:type="dxa"/>
            <w:vAlign w:val="bottom"/>
          </w:tcPr>
          <w:p>
            <w:pPr>
              <w:jc w:val="right"/>
              <w:spacing w:after="0"/>
              <w:rPr>
                <w:sz w:val="20"/>
                <w:szCs w:val="20"/>
                <w:color w:val="auto"/>
              </w:rPr>
            </w:pPr>
            <w:r>
              <w:rPr>
                <w:rFonts w:ascii="Arial" w:cs="Arial" w:eastAsia="Arial" w:hAnsi="Arial"/>
                <w:sz w:val="16"/>
                <w:szCs w:val="16"/>
                <w:color w:val="auto"/>
              </w:rPr>
              <w:t>5,784</w:t>
            </w:r>
          </w:p>
        </w:tc>
        <w:tc>
          <w:tcPr>
            <w:tcW w:w="1480" w:type="dxa"/>
            <w:vAlign w:val="bottom"/>
          </w:tcPr>
          <w:p>
            <w:pPr>
              <w:jc w:val="right"/>
              <w:spacing w:after="0"/>
              <w:rPr>
                <w:sz w:val="20"/>
                <w:szCs w:val="20"/>
                <w:color w:val="auto"/>
              </w:rPr>
            </w:pPr>
            <w:r>
              <w:rPr>
                <w:rFonts w:ascii="Arial" w:cs="Arial" w:eastAsia="Arial" w:hAnsi="Arial"/>
                <w:sz w:val="16"/>
                <w:szCs w:val="16"/>
                <w:color w:val="auto"/>
              </w:rPr>
              <w:t>5,784</w:t>
            </w:r>
          </w:p>
        </w:tc>
        <w:tc>
          <w:tcPr>
            <w:tcW w:w="0" w:type="dxa"/>
            <w:vAlign w:val="bottom"/>
          </w:tcPr>
          <w:p>
            <w:pPr>
              <w:spacing w:after="0"/>
              <w:rPr>
                <w:sz w:val="1"/>
                <w:szCs w:val="1"/>
                <w:color w:val="auto"/>
              </w:rPr>
            </w:pPr>
          </w:p>
        </w:tc>
      </w:tr>
      <w:tr>
        <w:trPr>
          <w:trHeight w:val="45"/>
        </w:trPr>
        <w:tc>
          <w:tcPr>
            <w:tcW w:w="370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14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00" w:type="dxa"/>
            <w:vAlign w:val="bottom"/>
          </w:tcPr>
          <w:p>
            <w:pPr>
              <w:spacing w:after="0"/>
              <w:rPr>
                <w:sz w:val="20"/>
                <w:szCs w:val="20"/>
                <w:color w:val="auto"/>
              </w:rPr>
            </w:pPr>
            <w:r>
              <w:rPr>
                <w:rFonts w:ascii="Arial" w:cs="Arial" w:eastAsia="Arial" w:hAnsi="Arial"/>
                <w:sz w:val="16"/>
                <w:szCs w:val="16"/>
                <w:b w:val="1"/>
                <w:bCs w:val="1"/>
                <w:color w:val="auto"/>
              </w:rPr>
              <w:t>  Daniel H. Malan</w:t>
            </w:r>
          </w:p>
        </w:tc>
        <w:tc>
          <w:tcPr>
            <w:tcW w:w="1240" w:type="dxa"/>
            <w:vAlign w:val="bottom"/>
          </w:tcPr>
          <w:p>
            <w:pPr>
              <w:jc w:val="right"/>
              <w:ind w:right="266"/>
              <w:spacing w:after="0"/>
              <w:rPr>
                <w:sz w:val="20"/>
                <w:szCs w:val="20"/>
                <w:color w:val="auto"/>
              </w:rPr>
            </w:pPr>
            <w:r>
              <w:rPr>
                <w:rFonts w:ascii="Arial" w:cs="Arial" w:eastAsia="Arial" w:hAnsi="Arial"/>
                <w:sz w:val="16"/>
                <w:szCs w:val="16"/>
                <w:color w:val="auto"/>
              </w:rPr>
              <w:t>2,072</w:t>
            </w:r>
          </w:p>
        </w:tc>
        <w:tc>
          <w:tcPr>
            <w:tcW w:w="122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8"/>
                <w:szCs w:val="18"/>
                <w:color w:val="auto"/>
              </w:rPr>
            </w:pP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2,072</w:t>
            </w:r>
          </w:p>
        </w:tc>
        <w:tc>
          <w:tcPr>
            <w:tcW w:w="1220" w:type="dxa"/>
            <w:vAlign w:val="bottom"/>
          </w:tcPr>
          <w:p>
            <w:pPr>
              <w:jc w:val="right"/>
              <w:spacing w:after="0"/>
              <w:rPr>
                <w:sz w:val="20"/>
                <w:szCs w:val="20"/>
                <w:color w:val="auto"/>
              </w:rPr>
            </w:pPr>
            <w:r>
              <w:rPr>
                <w:rFonts w:ascii="Arial" w:cs="Arial" w:eastAsia="Arial" w:hAnsi="Arial"/>
                <w:sz w:val="16"/>
                <w:szCs w:val="16"/>
                <w:color w:val="auto"/>
              </w:rPr>
              <w:t>2,072</w:t>
            </w:r>
          </w:p>
        </w:tc>
        <w:tc>
          <w:tcPr>
            <w:tcW w:w="1480" w:type="dxa"/>
            <w:vAlign w:val="bottom"/>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45"/>
        </w:trPr>
        <w:tc>
          <w:tcPr>
            <w:tcW w:w="370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14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00" w:type="dxa"/>
            <w:vAlign w:val="bottom"/>
          </w:tcPr>
          <w:p>
            <w:pPr>
              <w:spacing w:after="0"/>
              <w:rPr>
                <w:sz w:val="20"/>
                <w:szCs w:val="20"/>
                <w:color w:val="auto"/>
              </w:rPr>
            </w:pPr>
            <w:r>
              <w:rPr>
                <w:rFonts w:ascii="Arial" w:cs="Arial" w:eastAsia="Arial" w:hAnsi="Arial"/>
                <w:sz w:val="16"/>
                <w:szCs w:val="16"/>
                <w:b w:val="1"/>
                <w:bCs w:val="1"/>
                <w:color w:val="auto"/>
              </w:rPr>
              <w:t>  Vanessa P. Williams</w:t>
            </w:r>
          </w:p>
        </w:tc>
        <w:tc>
          <w:tcPr>
            <w:tcW w:w="1240" w:type="dxa"/>
            <w:vAlign w:val="bottom"/>
          </w:tcPr>
          <w:p>
            <w:pPr>
              <w:jc w:val="right"/>
              <w:ind w:right="266"/>
              <w:spacing w:after="0"/>
              <w:rPr>
                <w:sz w:val="20"/>
                <w:szCs w:val="20"/>
                <w:color w:val="auto"/>
              </w:rPr>
            </w:pPr>
            <w:r>
              <w:rPr>
                <w:rFonts w:ascii="Arial" w:cs="Arial" w:eastAsia="Arial" w:hAnsi="Arial"/>
                <w:sz w:val="16"/>
                <w:szCs w:val="16"/>
                <w:color w:val="auto"/>
              </w:rPr>
              <w:t>2,582</w:t>
            </w:r>
          </w:p>
        </w:tc>
        <w:tc>
          <w:tcPr>
            <w:tcW w:w="122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8"/>
                <w:szCs w:val="18"/>
                <w:color w:val="auto"/>
              </w:rPr>
            </w:pP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2,582</w:t>
            </w:r>
          </w:p>
        </w:tc>
        <w:tc>
          <w:tcPr>
            <w:tcW w:w="1220" w:type="dxa"/>
            <w:vAlign w:val="bottom"/>
          </w:tcPr>
          <w:p>
            <w:pPr>
              <w:jc w:val="right"/>
              <w:spacing w:after="0"/>
              <w:rPr>
                <w:sz w:val="20"/>
                <w:szCs w:val="20"/>
                <w:color w:val="auto"/>
              </w:rPr>
            </w:pPr>
            <w:r>
              <w:rPr>
                <w:rFonts w:ascii="Arial" w:cs="Arial" w:eastAsia="Arial" w:hAnsi="Arial"/>
                <w:sz w:val="16"/>
                <w:szCs w:val="16"/>
                <w:color w:val="auto"/>
              </w:rPr>
              <w:t>2,582</w:t>
            </w:r>
          </w:p>
        </w:tc>
        <w:tc>
          <w:tcPr>
            <w:tcW w:w="1480" w:type="dxa"/>
            <w:vAlign w:val="bottom"/>
          </w:tcPr>
          <w:p>
            <w:pPr>
              <w:jc w:val="right"/>
              <w:spacing w:after="0"/>
              <w:rPr>
                <w:sz w:val="20"/>
                <w:szCs w:val="20"/>
                <w:color w:val="auto"/>
              </w:rPr>
            </w:pPr>
            <w:r>
              <w:rPr>
                <w:rFonts w:ascii="Arial" w:cs="Arial" w:eastAsia="Arial" w:hAnsi="Arial"/>
                <w:sz w:val="16"/>
                <w:szCs w:val="16"/>
                <w:color w:val="auto"/>
              </w:rPr>
              <w:t>2,582</w:t>
            </w:r>
          </w:p>
        </w:tc>
        <w:tc>
          <w:tcPr>
            <w:tcW w:w="0" w:type="dxa"/>
            <w:vAlign w:val="bottom"/>
          </w:tcPr>
          <w:p>
            <w:pPr>
              <w:spacing w:after="0"/>
              <w:rPr>
                <w:sz w:val="1"/>
                <w:szCs w:val="1"/>
                <w:color w:val="auto"/>
              </w:rPr>
            </w:pPr>
          </w:p>
        </w:tc>
      </w:tr>
      <w:tr>
        <w:trPr>
          <w:trHeight w:val="45"/>
        </w:trPr>
        <w:tc>
          <w:tcPr>
            <w:tcW w:w="370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14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00" w:type="dxa"/>
            <w:vAlign w:val="bottom"/>
          </w:tcPr>
          <w:p>
            <w:pPr>
              <w:spacing w:after="0"/>
              <w:rPr>
                <w:sz w:val="20"/>
                <w:szCs w:val="20"/>
                <w:color w:val="auto"/>
              </w:rPr>
            </w:pPr>
            <w:r>
              <w:rPr>
                <w:rFonts w:ascii="Arial" w:cs="Arial" w:eastAsia="Arial" w:hAnsi="Arial"/>
                <w:sz w:val="16"/>
                <w:szCs w:val="16"/>
                <w:b w:val="1"/>
                <w:bCs w:val="1"/>
                <w:color w:val="auto"/>
              </w:rPr>
              <w:t>  Dinette Koolhaas</w:t>
            </w:r>
          </w:p>
        </w:tc>
        <w:tc>
          <w:tcPr>
            <w:tcW w:w="1240" w:type="dxa"/>
            <w:vAlign w:val="bottom"/>
          </w:tcPr>
          <w:p>
            <w:pPr>
              <w:jc w:val="right"/>
              <w:ind w:right="266"/>
              <w:spacing w:after="0"/>
              <w:rPr>
                <w:sz w:val="20"/>
                <w:szCs w:val="20"/>
                <w:color w:val="auto"/>
              </w:rPr>
            </w:pPr>
            <w:r>
              <w:rPr>
                <w:rFonts w:ascii="Arial" w:cs="Arial" w:eastAsia="Arial" w:hAnsi="Arial"/>
                <w:sz w:val="16"/>
                <w:szCs w:val="16"/>
                <w:color w:val="auto"/>
              </w:rPr>
              <w:t>2,256</w:t>
            </w:r>
          </w:p>
        </w:tc>
        <w:tc>
          <w:tcPr>
            <w:tcW w:w="122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8"/>
                <w:szCs w:val="18"/>
                <w:color w:val="auto"/>
              </w:rPr>
            </w:pP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2,256</w:t>
            </w:r>
          </w:p>
        </w:tc>
        <w:tc>
          <w:tcPr>
            <w:tcW w:w="1220" w:type="dxa"/>
            <w:vAlign w:val="bottom"/>
          </w:tcPr>
          <w:p>
            <w:pPr>
              <w:jc w:val="right"/>
              <w:spacing w:after="0"/>
              <w:rPr>
                <w:sz w:val="20"/>
                <w:szCs w:val="20"/>
                <w:color w:val="auto"/>
              </w:rPr>
            </w:pPr>
            <w:r>
              <w:rPr>
                <w:rFonts w:ascii="Arial" w:cs="Arial" w:eastAsia="Arial" w:hAnsi="Arial"/>
                <w:sz w:val="16"/>
                <w:szCs w:val="16"/>
                <w:color w:val="auto"/>
              </w:rPr>
              <w:t>2,256</w:t>
            </w:r>
          </w:p>
        </w:tc>
        <w:tc>
          <w:tcPr>
            <w:tcW w:w="1480" w:type="dxa"/>
            <w:vAlign w:val="bottom"/>
          </w:tcPr>
          <w:p>
            <w:pPr>
              <w:jc w:val="right"/>
              <w:spacing w:after="0"/>
              <w:rPr>
                <w:sz w:val="20"/>
                <w:szCs w:val="20"/>
                <w:color w:val="auto"/>
              </w:rPr>
            </w:pPr>
            <w:r>
              <w:rPr>
                <w:rFonts w:ascii="Arial" w:cs="Arial" w:eastAsia="Arial" w:hAnsi="Arial"/>
                <w:sz w:val="16"/>
                <w:szCs w:val="16"/>
                <w:color w:val="auto"/>
              </w:rPr>
              <w:t>2,256</w:t>
            </w:r>
          </w:p>
        </w:tc>
        <w:tc>
          <w:tcPr>
            <w:tcW w:w="0" w:type="dxa"/>
            <w:vAlign w:val="bottom"/>
          </w:tcPr>
          <w:p>
            <w:pPr>
              <w:spacing w:after="0"/>
              <w:rPr>
                <w:sz w:val="1"/>
                <w:szCs w:val="1"/>
                <w:color w:val="auto"/>
              </w:rPr>
            </w:pPr>
          </w:p>
        </w:tc>
      </w:tr>
      <w:tr>
        <w:trPr>
          <w:trHeight w:val="45"/>
        </w:trPr>
        <w:tc>
          <w:tcPr>
            <w:tcW w:w="370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14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20"/>
        <w:spacing w:after="0"/>
        <w:rPr>
          <w:sz w:val="20"/>
          <w:szCs w:val="20"/>
          <w:color w:val="auto"/>
        </w:rPr>
      </w:pPr>
      <w:r>
        <w:rPr>
          <w:rFonts w:ascii="Arial" w:cs="Arial" w:eastAsia="Arial" w:hAnsi="Arial"/>
          <w:sz w:val="16"/>
          <w:szCs w:val="16"/>
          <w:i w:val="1"/>
          <w:iCs w:val="1"/>
          <w:u w:val="single" w:color="auto"/>
          <w:color w:val="auto"/>
        </w:rPr>
        <w:t>Restricted Stock</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Committee considers restricted stock to be an effective vehicle to support the Company’s long-term compensation objectives:</w:t>
      </w:r>
    </w:p>
    <w:p>
      <w:pPr>
        <w:spacing w:after="0" w:line="5" w:lineRule="exact"/>
        <w:rPr>
          <w:sz w:val="20"/>
          <w:szCs w:val="20"/>
          <w:color w:val="auto"/>
        </w:rPr>
      </w:pPr>
    </w:p>
    <w:p>
      <w:pPr>
        <w:ind w:left="520" w:hanging="204"/>
        <w:spacing w:after="0"/>
        <w:tabs>
          <w:tab w:leader="none" w:pos="520" w:val="left"/>
        </w:tabs>
        <w:numPr>
          <w:ilvl w:val="0"/>
          <w:numId w:val="38"/>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alignment with shareholder interests;</w:t>
      </w:r>
    </w:p>
    <w:p>
      <w:pPr>
        <w:spacing w:after="0" w:line="68" w:lineRule="exact"/>
        <w:rPr>
          <w:rFonts w:ascii="Times New Roman" w:cs="Times New Roman" w:eastAsia="Times New Roman" w:hAnsi="Times New Roman"/>
          <w:sz w:val="24"/>
          <w:szCs w:val="24"/>
          <w:color w:val="0A9E50"/>
          <w:vertAlign w:val="superscript"/>
        </w:rPr>
      </w:pPr>
    </w:p>
    <w:p>
      <w:pPr>
        <w:ind w:left="520" w:hanging="204"/>
        <w:spacing w:after="0" w:line="181" w:lineRule="auto"/>
        <w:tabs>
          <w:tab w:leader="none" w:pos="520" w:val="left"/>
        </w:tabs>
        <w:numPr>
          <w:ilvl w:val="0"/>
          <w:numId w:val="38"/>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facilitate retention through an extended pro rata vesting structure; and</w:t>
      </w:r>
    </w:p>
    <w:p>
      <w:pPr>
        <w:spacing w:after="0" w:line="69" w:lineRule="exact"/>
        <w:rPr>
          <w:rFonts w:ascii="Times New Roman" w:cs="Times New Roman" w:eastAsia="Times New Roman" w:hAnsi="Times New Roman"/>
          <w:sz w:val="22"/>
          <w:szCs w:val="22"/>
          <w:color w:val="0A9E50"/>
          <w:vertAlign w:val="superscript"/>
        </w:rPr>
      </w:pPr>
    </w:p>
    <w:p>
      <w:pPr>
        <w:ind w:left="520" w:hanging="204"/>
        <w:spacing w:after="0" w:line="181" w:lineRule="auto"/>
        <w:tabs>
          <w:tab w:leader="none" w:pos="520" w:val="left"/>
        </w:tabs>
        <w:numPr>
          <w:ilvl w:val="0"/>
          <w:numId w:val="38"/>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support meaningful stock ownership.</w:t>
      </w:r>
    </w:p>
    <w:p>
      <w:pPr>
        <w:spacing w:after="0" w:line="56" w:lineRule="exact"/>
        <w:rPr>
          <w:sz w:val="20"/>
          <w:szCs w:val="20"/>
          <w:color w:val="auto"/>
        </w:rPr>
      </w:pPr>
    </w:p>
    <w:p>
      <w:pPr>
        <w:ind w:left="320" w:right="120"/>
        <w:spacing w:after="0" w:line="239" w:lineRule="auto"/>
        <w:rPr>
          <w:sz w:val="20"/>
          <w:szCs w:val="20"/>
          <w:color w:val="auto"/>
        </w:rPr>
      </w:pPr>
      <w:r>
        <w:rPr>
          <w:rFonts w:ascii="Arial" w:cs="Arial" w:eastAsia="Arial" w:hAnsi="Arial"/>
          <w:sz w:val="16"/>
          <w:szCs w:val="16"/>
          <w:color w:val="auto"/>
        </w:rPr>
        <w:t>At its March 21, 2023 meeting, the Committee approved restricted stock grants for senior officers, including the named executive officers, which vest ratably over three years, as detailed in the Summary Compensation Table and the Grants of Plan Based Awards Table. This grant of restricted shares represents 25% for the CEO and 40% for all other senior officers’ target long-term incentive grant. The Company believes that restricted stock is an important component of total compensation for our named executive officers and the three-year, pro rata vesting feature supports the Company’s retention objective. Any remaining unvested portion of restricted stock awards is forfeited upon voluntary termination, normal retirement, and involuntary termination for cause or not for cause, unless termination not for cause is in connection with a change in control. In the case of termination not for cause in connection with a change in control, all restricted stock shares or units vest immediately. Restricted stock is prorated in the event of termination due to death or disability.</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6"/>
          <w:szCs w:val="16"/>
          <w:i w:val="1"/>
          <w:iCs w:val="1"/>
          <w:u w:val="single" w:color="auto"/>
          <w:color w:val="auto"/>
        </w:rPr>
        <w:t>Special Awards</w:t>
      </w:r>
    </w:p>
    <w:p>
      <w:pPr>
        <w:spacing w:after="0" w:line="63" w:lineRule="exact"/>
        <w:rPr>
          <w:sz w:val="20"/>
          <w:szCs w:val="20"/>
          <w:color w:val="auto"/>
        </w:rPr>
      </w:pPr>
    </w:p>
    <w:p>
      <w:pPr>
        <w:ind w:left="320" w:right="20"/>
        <w:spacing w:after="0" w:line="243" w:lineRule="auto"/>
        <w:rPr>
          <w:sz w:val="20"/>
          <w:szCs w:val="20"/>
          <w:color w:val="auto"/>
        </w:rPr>
      </w:pPr>
      <w:r>
        <w:rPr>
          <w:rFonts w:ascii="Arial" w:cs="Arial" w:eastAsia="Arial" w:hAnsi="Arial"/>
          <w:sz w:val="16"/>
          <w:szCs w:val="16"/>
          <w:color w:val="auto"/>
        </w:rPr>
        <w:t>In December 2021, the Committee approved performance contingent restricted stock grants (KEEP Awards) for senior officers, including the named executive officers, and certain other senior leaders. These grants of restricted stock units had three financial measure hurdles that had to be achieved in order for shares to become earned and eligible for vesting. In January 2023, the Committee approved an adjustment in the vesting for the Company gross profit portion of this award to 50% upon certification and the remaining 50% six months after certification; there was no change to the goal. In 2022 the gross profit goal was achieved and shares vested during 2023. In 2023 the specialty gross profit goal was achieved and as a result during its August 9, 2023 meeting, the Committee approved an adjustment in the vesting for the specialty gross profit</w:t>
      </w:r>
    </w:p>
    <w:p>
      <w:pPr>
        <w:spacing w:after="0" w:line="55"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60 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846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37" w:lineRule="exact"/>
        <w:rPr>
          <w:sz w:val="20"/>
          <w:szCs w:val="20"/>
          <w:color w:val="auto"/>
        </w:rPr>
      </w:pPr>
    </w:p>
    <w:p>
      <w:pPr>
        <w:ind w:left="320" w:right="420"/>
        <w:spacing w:after="0" w:line="265" w:lineRule="auto"/>
        <w:rPr>
          <w:sz w:val="20"/>
          <w:szCs w:val="20"/>
          <w:color w:val="auto"/>
        </w:rPr>
      </w:pPr>
      <w:r>
        <w:rPr>
          <w:rFonts w:ascii="Arial" w:cs="Arial" w:eastAsia="Arial" w:hAnsi="Arial"/>
          <w:sz w:val="16"/>
          <w:szCs w:val="16"/>
          <w:color w:val="auto"/>
        </w:rPr>
        <w:t>portion of this award to 50% upon certification and the remaining 50% six months after certification; there was no change to this goal. The third goal, conversion rate, continues to have the potential to be earned during the first half of 2024.</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5280" w:type="dxa"/>
            <w:vAlign w:val="bottom"/>
          </w:tcPr>
          <w:p>
            <w:pPr>
              <w:jc w:val="center"/>
              <w:ind w:left="3485"/>
              <w:spacing w:after="0"/>
              <w:rPr>
                <w:sz w:val="20"/>
                <w:szCs w:val="20"/>
                <w:color w:val="auto"/>
              </w:rPr>
            </w:pPr>
            <w:r>
              <w:rPr>
                <w:rFonts w:ascii="Arial" w:cs="Arial" w:eastAsia="Arial" w:hAnsi="Arial"/>
                <w:sz w:val="14"/>
                <w:szCs w:val="14"/>
                <w:b w:val="1"/>
                <w:bCs w:val="1"/>
                <w:color w:val="0A9E50"/>
                <w:w w:val="98"/>
              </w:rPr>
              <w:t>Financial Measure:</w:t>
            </w:r>
          </w:p>
        </w:tc>
      </w:tr>
      <w:tr>
        <w:trPr>
          <w:trHeight w:val="156"/>
        </w:trPr>
        <w:tc>
          <w:tcPr>
            <w:tcW w:w="5340" w:type="dxa"/>
            <w:vAlign w:val="bottom"/>
          </w:tcPr>
          <w:p>
            <w:pPr>
              <w:spacing w:after="0"/>
              <w:rPr>
                <w:sz w:val="13"/>
                <w:szCs w:val="13"/>
                <w:color w:val="auto"/>
              </w:rPr>
            </w:pPr>
          </w:p>
        </w:tc>
        <w:tc>
          <w:tcPr>
            <w:tcW w:w="5280" w:type="dxa"/>
            <w:vAlign w:val="bottom"/>
          </w:tcPr>
          <w:p>
            <w:pPr>
              <w:jc w:val="center"/>
              <w:ind w:left="3485"/>
              <w:spacing w:after="0" w:line="156" w:lineRule="exact"/>
              <w:rPr>
                <w:sz w:val="20"/>
                <w:szCs w:val="20"/>
                <w:color w:val="auto"/>
              </w:rPr>
            </w:pPr>
            <w:r>
              <w:rPr>
                <w:rFonts w:ascii="Arial" w:cs="Arial" w:eastAsia="Arial" w:hAnsi="Arial"/>
                <w:sz w:val="14"/>
                <w:szCs w:val="14"/>
                <w:b w:val="1"/>
                <w:bCs w:val="1"/>
                <w:color w:val="0A9E50"/>
              </w:rPr>
              <w:t>Conversion Rate</w:t>
            </w:r>
          </w:p>
        </w:tc>
      </w:tr>
      <w:tr>
        <w:trPr>
          <w:trHeight w:val="192"/>
        </w:trPr>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Name</w:t>
            </w:r>
          </w:p>
        </w:tc>
        <w:tc>
          <w:tcPr>
            <w:tcW w:w="5280" w:type="dxa"/>
            <w:vAlign w:val="bottom"/>
            <w:tcBorders>
              <w:bottom w:val="single" w:sz="8" w:color="auto"/>
            </w:tcBorders>
          </w:tcPr>
          <w:p>
            <w:pPr>
              <w:jc w:val="center"/>
              <w:ind w:left="3485"/>
              <w:spacing w:after="0"/>
              <w:rPr>
                <w:sz w:val="20"/>
                <w:szCs w:val="20"/>
                <w:color w:val="auto"/>
              </w:rPr>
            </w:pPr>
            <w:r>
              <w:rPr>
                <w:rFonts w:ascii="Arial" w:cs="Arial" w:eastAsia="Arial" w:hAnsi="Arial"/>
                <w:sz w:val="14"/>
                <w:szCs w:val="14"/>
                <w:b w:val="1"/>
                <w:bCs w:val="1"/>
                <w:color w:val="0A9E50"/>
                <w:w w:val="98"/>
              </w:rPr>
              <w:t>Target # of Shares</w:t>
            </w:r>
          </w:p>
        </w:tc>
      </w:tr>
      <w:tr>
        <w:trPr>
          <w:trHeight w:val="208"/>
        </w:trPr>
        <w:tc>
          <w:tcPr>
            <w:tcW w:w="5340" w:type="dxa"/>
            <w:vAlign w:val="bottom"/>
          </w:tcPr>
          <w:p>
            <w:pPr>
              <w:spacing w:after="0"/>
              <w:rPr>
                <w:sz w:val="20"/>
                <w:szCs w:val="20"/>
                <w:color w:val="auto"/>
              </w:rPr>
            </w:pPr>
            <w:r>
              <w:rPr>
                <w:rFonts w:ascii="Arial" w:cs="Arial" w:eastAsia="Arial" w:hAnsi="Arial"/>
                <w:sz w:val="16"/>
                <w:szCs w:val="16"/>
                <w:b w:val="1"/>
                <w:bCs w:val="1"/>
                <w:color w:val="auto"/>
              </w:rPr>
              <w:t>  Peter W. Quigley</w:t>
            </w:r>
          </w:p>
        </w:tc>
        <w:tc>
          <w:tcPr>
            <w:tcW w:w="5280" w:type="dxa"/>
            <w:vAlign w:val="bottom"/>
          </w:tcPr>
          <w:p>
            <w:pPr>
              <w:jc w:val="right"/>
              <w:ind w:right="525"/>
              <w:spacing w:after="0"/>
              <w:rPr>
                <w:sz w:val="20"/>
                <w:szCs w:val="20"/>
                <w:color w:val="auto"/>
              </w:rPr>
            </w:pPr>
            <w:r>
              <w:rPr>
                <w:rFonts w:ascii="Arial" w:cs="Arial" w:eastAsia="Arial" w:hAnsi="Arial"/>
                <w:sz w:val="16"/>
                <w:szCs w:val="16"/>
                <w:color w:val="auto"/>
              </w:rPr>
              <w:t>21,857</w:t>
            </w:r>
          </w:p>
        </w:tc>
      </w:tr>
      <w:tr>
        <w:trPr>
          <w:trHeight w:val="45"/>
        </w:trPr>
        <w:tc>
          <w:tcPr>
            <w:tcW w:w="5340" w:type="dxa"/>
            <w:vAlign w:val="bottom"/>
            <w:tcBorders>
              <w:bottom w:val="single" w:sz="8" w:color="7F7F7F"/>
            </w:tcBorders>
          </w:tcPr>
          <w:p>
            <w:pPr>
              <w:spacing w:after="0"/>
              <w:rPr>
                <w:sz w:val="3"/>
                <w:szCs w:val="3"/>
                <w:color w:val="auto"/>
              </w:rPr>
            </w:pPr>
          </w:p>
        </w:tc>
        <w:tc>
          <w:tcPr>
            <w:tcW w:w="5280" w:type="dxa"/>
            <w:vAlign w:val="bottom"/>
            <w:tcBorders>
              <w:bottom w:val="single" w:sz="8" w:color="7F7F7F"/>
            </w:tcBorders>
          </w:tcPr>
          <w:p>
            <w:pPr>
              <w:spacing w:after="0"/>
              <w:rPr>
                <w:sz w:val="3"/>
                <w:szCs w:val="3"/>
                <w:color w:val="auto"/>
              </w:rPr>
            </w:pPr>
          </w:p>
        </w:tc>
      </w:tr>
      <w:tr>
        <w:trPr>
          <w:trHeight w:val="208"/>
        </w:trPr>
        <w:tc>
          <w:tcPr>
            <w:tcW w:w="5340" w:type="dxa"/>
            <w:vAlign w:val="bottom"/>
          </w:tcPr>
          <w:p>
            <w:pPr>
              <w:spacing w:after="0"/>
              <w:rPr>
                <w:sz w:val="20"/>
                <w:szCs w:val="20"/>
                <w:color w:val="auto"/>
              </w:rPr>
            </w:pPr>
            <w:r>
              <w:rPr>
                <w:rFonts w:ascii="Arial" w:cs="Arial" w:eastAsia="Arial" w:hAnsi="Arial"/>
                <w:sz w:val="16"/>
                <w:szCs w:val="16"/>
                <w:b w:val="1"/>
                <w:bCs w:val="1"/>
                <w:color w:val="auto"/>
              </w:rPr>
              <w:t>  Olivier G. Thirot</w:t>
            </w:r>
          </w:p>
        </w:tc>
        <w:tc>
          <w:tcPr>
            <w:tcW w:w="5280" w:type="dxa"/>
            <w:vAlign w:val="bottom"/>
          </w:tcPr>
          <w:p>
            <w:pPr>
              <w:jc w:val="right"/>
              <w:ind w:right="525"/>
              <w:spacing w:after="0"/>
              <w:rPr>
                <w:sz w:val="20"/>
                <w:szCs w:val="20"/>
                <w:color w:val="auto"/>
              </w:rPr>
            </w:pPr>
            <w:r>
              <w:rPr>
                <w:rFonts w:ascii="Arial" w:cs="Arial" w:eastAsia="Arial" w:hAnsi="Arial"/>
                <w:sz w:val="16"/>
                <w:szCs w:val="16"/>
                <w:color w:val="auto"/>
              </w:rPr>
              <w:t>17,971</w:t>
            </w:r>
          </w:p>
        </w:tc>
      </w:tr>
      <w:tr>
        <w:trPr>
          <w:trHeight w:val="45"/>
        </w:trPr>
        <w:tc>
          <w:tcPr>
            <w:tcW w:w="5340" w:type="dxa"/>
            <w:vAlign w:val="bottom"/>
            <w:tcBorders>
              <w:bottom w:val="single" w:sz="8" w:color="7F7F7F"/>
            </w:tcBorders>
          </w:tcPr>
          <w:p>
            <w:pPr>
              <w:spacing w:after="0"/>
              <w:rPr>
                <w:sz w:val="3"/>
                <w:szCs w:val="3"/>
                <w:color w:val="auto"/>
              </w:rPr>
            </w:pPr>
          </w:p>
        </w:tc>
        <w:tc>
          <w:tcPr>
            <w:tcW w:w="5280" w:type="dxa"/>
            <w:vAlign w:val="bottom"/>
            <w:tcBorders>
              <w:bottom w:val="single" w:sz="8" w:color="7F7F7F"/>
            </w:tcBorders>
          </w:tcPr>
          <w:p>
            <w:pPr>
              <w:spacing w:after="0"/>
              <w:rPr>
                <w:sz w:val="3"/>
                <w:szCs w:val="3"/>
                <w:color w:val="auto"/>
              </w:rPr>
            </w:pPr>
          </w:p>
        </w:tc>
      </w:tr>
      <w:tr>
        <w:trPr>
          <w:trHeight w:val="208"/>
        </w:trPr>
        <w:tc>
          <w:tcPr>
            <w:tcW w:w="5340" w:type="dxa"/>
            <w:vAlign w:val="bottom"/>
          </w:tcPr>
          <w:p>
            <w:pPr>
              <w:spacing w:after="0"/>
              <w:rPr>
                <w:sz w:val="20"/>
                <w:szCs w:val="20"/>
                <w:color w:val="auto"/>
              </w:rPr>
            </w:pPr>
            <w:r>
              <w:rPr>
                <w:rFonts w:ascii="Arial" w:cs="Arial" w:eastAsia="Arial" w:hAnsi="Arial"/>
                <w:sz w:val="16"/>
                <w:szCs w:val="16"/>
                <w:b w:val="1"/>
                <w:bCs w:val="1"/>
                <w:color w:val="auto"/>
              </w:rPr>
              <w:t>  Daniel H. Malan</w:t>
            </w:r>
          </w:p>
        </w:tc>
        <w:tc>
          <w:tcPr>
            <w:tcW w:w="5280" w:type="dxa"/>
            <w:vAlign w:val="bottom"/>
          </w:tcPr>
          <w:p>
            <w:pPr>
              <w:jc w:val="right"/>
              <w:ind w:right="525"/>
              <w:spacing w:after="0"/>
              <w:rPr>
                <w:sz w:val="20"/>
                <w:szCs w:val="20"/>
                <w:color w:val="auto"/>
              </w:rPr>
            </w:pPr>
            <w:r>
              <w:rPr>
                <w:rFonts w:ascii="Arial" w:cs="Arial" w:eastAsia="Arial" w:hAnsi="Arial"/>
                <w:sz w:val="16"/>
                <w:szCs w:val="16"/>
                <w:color w:val="auto"/>
              </w:rPr>
              <w:t>7,286</w:t>
            </w:r>
          </w:p>
        </w:tc>
      </w:tr>
      <w:tr>
        <w:trPr>
          <w:trHeight w:val="45"/>
        </w:trPr>
        <w:tc>
          <w:tcPr>
            <w:tcW w:w="5340" w:type="dxa"/>
            <w:vAlign w:val="bottom"/>
            <w:tcBorders>
              <w:bottom w:val="single" w:sz="8" w:color="7F7F7F"/>
            </w:tcBorders>
          </w:tcPr>
          <w:p>
            <w:pPr>
              <w:spacing w:after="0"/>
              <w:rPr>
                <w:sz w:val="3"/>
                <w:szCs w:val="3"/>
                <w:color w:val="auto"/>
              </w:rPr>
            </w:pPr>
          </w:p>
        </w:tc>
        <w:tc>
          <w:tcPr>
            <w:tcW w:w="5280" w:type="dxa"/>
            <w:vAlign w:val="bottom"/>
            <w:tcBorders>
              <w:bottom w:val="single" w:sz="8" w:color="7F7F7F"/>
            </w:tcBorders>
          </w:tcPr>
          <w:p>
            <w:pPr>
              <w:spacing w:after="0"/>
              <w:rPr>
                <w:sz w:val="3"/>
                <w:szCs w:val="3"/>
                <w:color w:val="auto"/>
              </w:rPr>
            </w:pPr>
          </w:p>
        </w:tc>
      </w:tr>
      <w:tr>
        <w:trPr>
          <w:trHeight w:val="208"/>
        </w:trPr>
        <w:tc>
          <w:tcPr>
            <w:tcW w:w="5340" w:type="dxa"/>
            <w:vAlign w:val="bottom"/>
          </w:tcPr>
          <w:p>
            <w:pPr>
              <w:spacing w:after="0"/>
              <w:rPr>
                <w:sz w:val="20"/>
                <w:szCs w:val="20"/>
                <w:color w:val="auto"/>
              </w:rPr>
            </w:pPr>
            <w:r>
              <w:rPr>
                <w:rFonts w:ascii="Arial" w:cs="Arial" w:eastAsia="Arial" w:hAnsi="Arial"/>
                <w:sz w:val="16"/>
                <w:szCs w:val="16"/>
                <w:b w:val="1"/>
                <w:bCs w:val="1"/>
                <w:color w:val="auto"/>
              </w:rPr>
              <w:t>  Vanessa P. Williams</w:t>
            </w:r>
          </w:p>
        </w:tc>
        <w:tc>
          <w:tcPr>
            <w:tcW w:w="5280" w:type="dxa"/>
            <w:vAlign w:val="bottom"/>
          </w:tcPr>
          <w:p>
            <w:pPr>
              <w:jc w:val="right"/>
              <w:ind w:right="525"/>
              <w:spacing w:after="0"/>
              <w:rPr>
                <w:sz w:val="20"/>
                <w:szCs w:val="20"/>
                <w:color w:val="auto"/>
              </w:rPr>
            </w:pPr>
            <w:r>
              <w:rPr>
                <w:rFonts w:ascii="Arial" w:cs="Arial" w:eastAsia="Arial" w:hAnsi="Arial"/>
                <w:sz w:val="16"/>
                <w:szCs w:val="16"/>
                <w:color w:val="auto"/>
              </w:rPr>
              <w:t>5,343</w:t>
            </w:r>
          </w:p>
        </w:tc>
      </w:tr>
      <w:tr>
        <w:trPr>
          <w:trHeight w:val="45"/>
        </w:trPr>
        <w:tc>
          <w:tcPr>
            <w:tcW w:w="5340" w:type="dxa"/>
            <w:vAlign w:val="bottom"/>
            <w:tcBorders>
              <w:bottom w:val="single" w:sz="8" w:color="7F7F7F"/>
            </w:tcBorders>
          </w:tcPr>
          <w:p>
            <w:pPr>
              <w:spacing w:after="0"/>
              <w:rPr>
                <w:sz w:val="3"/>
                <w:szCs w:val="3"/>
                <w:color w:val="auto"/>
              </w:rPr>
            </w:pPr>
          </w:p>
        </w:tc>
        <w:tc>
          <w:tcPr>
            <w:tcW w:w="5280" w:type="dxa"/>
            <w:vAlign w:val="bottom"/>
            <w:tcBorders>
              <w:bottom w:val="single" w:sz="8" w:color="7F7F7F"/>
            </w:tcBorders>
          </w:tcPr>
          <w:p>
            <w:pPr>
              <w:spacing w:after="0"/>
              <w:rPr>
                <w:sz w:val="3"/>
                <w:szCs w:val="3"/>
                <w:color w:val="auto"/>
              </w:rPr>
            </w:pPr>
          </w:p>
        </w:tc>
      </w:tr>
      <w:tr>
        <w:trPr>
          <w:trHeight w:val="208"/>
        </w:trPr>
        <w:tc>
          <w:tcPr>
            <w:tcW w:w="5340" w:type="dxa"/>
            <w:vAlign w:val="bottom"/>
          </w:tcPr>
          <w:p>
            <w:pPr>
              <w:spacing w:after="0"/>
              <w:rPr>
                <w:sz w:val="20"/>
                <w:szCs w:val="20"/>
                <w:color w:val="auto"/>
              </w:rPr>
            </w:pPr>
            <w:r>
              <w:rPr>
                <w:rFonts w:ascii="Arial" w:cs="Arial" w:eastAsia="Arial" w:hAnsi="Arial"/>
                <w:sz w:val="16"/>
                <w:szCs w:val="16"/>
                <w:b w:val="1"/>
                <w:bCs w:val="1"/>
                <w:color w:val="auto"/>
              </w:rPr>
              <w:t>  Dinette Koolhaas</w:t>
            </w:r>
          </w:p>
        </w:tc>
        <w:tc>
          <w:tcPr>
            <w:tcW w:w="5280" w:type="dxa"/>
            <w:vAlign w:val="bottom"/>
          </w:tcPr>
          <w:p>
            <w:pPr>
              <w:jc w:val="right"/>
              <w:ind w:right="525"/>
              <w:spacing w:after="0"/>
              <w:rPr>
                <w:sz w:val="20"/>
                <w:szCs w:val="20"/>
                <w:color w:val="auto"/>
              </w:rPr>
            </w:pPr>
            <w:r>
              <w:rPr>
                <w:rFonts w:ascii="Arial" w:cs="Arial" w:eastAsia="Arial" w:hAnsi="Arial"/>
                <w:sz w:val="16"/>
                <w:szCs w:val="16"/>
                <w:color w:val="auto"/>
              </w:rPr>
              <w:t>4,856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28575</wp:posOffset>
            </wp:positionV>
            <wp:extent cx="67405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04" w:lineRule="exact"/>
        <w:rPr>
          <w:sz w:val="20"/>
          <w:szCs w:val="20"/>
          <w:color w:val="auto"/>
        </w:rPr>
      </w:pPr>
    </w:p>
    <w:p>
      <w:pPr>
        <w:ind w:left="320" w:right="100"/>
        <w:spacing w:after="0" w:line="251" w:lineRule="auto"/>
        <w:rPr>
          <w:sz w:val="20"/>
          <w:szCs w:val="20"/>
          <w:color w:val="auto"/>
        </w:rPr>
      </w:pPr>
      <w:r>
        <w:rPr>
          <w:rFonts w:ascii="Arial" w:cs="Arial" w:eastAsia="Arial" w:hAnsi="Arial"/>
          <w:sz w:val="16"/>
          <w:szCs w:val="16"/>
          <w:color w:val="auto"/>
        </w:rPr>
        <w:t>In 2023, there was a special recognition grant made to Mr. Malan. The Committee approved a grant of restricted stock valued at approximately $250,000 for Mr. Malan as noted in the Grants of Plan-Based Awards Table. These shares will cliff vest on the second anniversary date of the grant, which was made on February 14, 2023.</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Retirement Benefits</w:t>
      </w:r>
    </w:p>
    <w:p>
      <w:pPr>
        <w:spacing w:after="0" w:line="63" w:lineRule="exact"/>
        <w:rPr>
          <w:sz w:val="20"/>
          <w:szCs w:val="20"/>
          <w:color w:val="auto"/>
        </w:rPr>
      </w:pPr>
    </w:p>
    <w:p>
      <w:pPr>
        <w:ind w:left="320" w:right="80"/>
        <w:spacing w:after="0"/>
        <w:rPr>
          <w:sz w:val="20"/>
          <w:szCs w:val="20"/>
          <w:color w:val="auto"/>
        </w:rPr>
      </w:pPr>
      <w:r>
        <w:rPr>
          <w:rFonts w:ascii="Arial" w:cs="Arial" w:eastAsia="Arial" w:hAnsi="Arial"/>
          <w:sz w:val="16"/>
          <w:szCs w:val="16"/>
          <w:color w:val="auto"/>
        </w:rPr>
        <w:t>Highly compensated employees in the U.S. are not eligible to participate in the Company’s qualified 401(k) plan. In order to provide a competitive total compensation package, the Company has established the Management Retirement Plan (the “MRP”). The MRP is a U.S. nonqualified defined contribution/deferred compensation plan available to all highly compensated employees, including the named executive officers, as outlined by Section 414(q)(1)(B)(i) of the Code. Employees who are working in the U.S. while on an international assignment are not eligible to participate in the MRP. All participants in the MRP can elect to defer from 2% to 25% of their annual base earnings and 2% to 50% of their annual cash incentive earnings. Matching contributions by the Company equal 50% of the first 10% of base salary and annual cash incentives deferred by a participant. Other than the MRP, there are no other retirement income plans available to the Company’s highly compensated employees in the U.S. The MRP provides all participants, including the named executive officers, with a tax gross-up of Medicare taxes incurred on contributions to the plan. The Medicare tax gross-up provides for parity with other employees who are eligible to participate in the Company’s tax-qualified 401(k) plan and therefore do not pay Medicare tax on Company contributions.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6"/>
          <w:szCs w:val="16"/>
          <w:i w:val="1"/>
          <w:iCs w:val="1"/>
          <w:u w:val="single" w:color="auto"/>
          <w:color w:val="auto"/>
        </w:rPr>
        <w:t>Mr. Thirot’s Retirement Benefits</w:t>
      </w:r>
    </w:p>
    <w:p>
      <w:pPr>
        <w:spacing w:after="0" w:line="63" w:lineRule="exact"/>
        <w:rPr>
          <w:sz w:val="20"/>
          <w:szCs w:val="20"/>
          <w:color w:val="auto"/>
        </w:rPr>
      </w:pPr>
    </w:p>
    <w:p>
      <w:pPr>
        <w:ind w:left="320" w:right="40"/>
        <w:spacing w:after="0" w:line="246" w:lineRule="auto"/>
        <w:rPr>
          <w:sz w:val="20"/>
          <w:szCs w:val="20"/>
          <w:color w:val="auto"/>
        </w:rPr>
      </w:pPr>
      <w:r>
        <w:rPr>
          <w:rFonts w:ascii="Arial" w:cs="Arial" w:eastAsia="Arial" w:hAnsi="Arial"/>
          <w:sz w:val="16"/>
          <w:szCs w:val="16"/>
          <w:color w:val="auto"/>
        </w:rPr>
        <w:t>As a resident of Switzerland, Mr. Thirot participates in the Swiss Social Insurance System (“Swiss System”) that provides retirement, disability, and death benefits. His Swiss retirement benefit includes contributions that he makes to the fund, as well as Company contributions that are made to the fund on his behalf. Mr. Thirot participated in the MRP during the period 2017-2021 while he was a resident of the U.S. and retains a benefit from both his contributions and contributions the Company made on his behalf to that plan.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i w:val="1"/>
          <w:iCs w:val="1"/>
          <w:u w:val="single" w:color="auto"/>
          <w:color w:val="auto"/>
        </w:rPr>
        <w:t>Ms. Koolhaas’ Retirement Benefits</w:t>
      </w:r>
    </w:p>
    <w:p>
      <w:pPr>
        <w:spacing w:after="0" w:line="76" w:lineRule="exact"/>
        <w:rPr>
          <w:sz w:val="20"/>
          <w:szCs w:val="20"/>
          <w:color w:val="auto"/>
        </w:rPr>
      </w:pPr>
    </w:p>
    <w:p>
      <w:pPr>
        <w:jc w:val="both"/>
        <w:ind w:left="320" w:right="160"/>
        <w:spacing w:after="0" w:line="251" w:lineRule="auto"/>
        <w:rPr>
          <w:sz w:val="20"/>
          <w:szCs w:val="20"/>
          <w:color w:val="auto"/>
        </w:rPr>
      </w:pPr>
      <w:r>
        <w:rPr>
          <w:rFonts w:ascii="Arial" w:cs="Arial" w:eastAsia="Arial" w:hAnsi="Arial"/>
          <w:sz w:val="16"/>
          <w:szCs w:val="16"/>
          <w:color w:val="auto"/>
        </w:rPr>
        <w:t>As a resident of Switzerland, Ms. Koolhaas also participates in the Swiss System that provides retirement, disability, and death benefits. Her retirement benefit includes contributions that she makes to the fund, as well as Company contributions that are made to the fund on her behalf. Ms. Koolhaas does not participate in any U.S.- based retirement plans.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6"/>
          <w:szCs w:val="16"/>
          <w:i w:val="1"/>
          <w:iCs w:val="1"/>
          <w:u w:val="single" w:color="auto"/>
          <w:color w:val="auto"/>
        </w:rPr>
        <w:t>Mr. Thirot’s Health and Welfare Benefits</w:t>
      </w:r>
    </w:p>
    <w:p>
      <w:pPr>
        <w:spacing w:after="0" w:line="63" w:lineRule="exact"/>
        <w:rPr>
          <w:sz w:val="20"/>
          <w:szCs w:val="20"/>
          <w:color w:val="auto"/>
        </w:rPr>
      </w:pPr>
    </w:p>
    <w:p>
      <w:pPr>
        <w:ind w:left="320" w:right="220"/>
        <w:spacing w:after="0" w:line="251" w:lineRule="auto"/>
        <w:rPr>
          <w:sz w:val="20"/>
          <w:szCs w:val="20"/>
          <w:color w:val="auto"/>
        </w:rPr>
      </w:pPr>
      <w:r>
        <w:rPr>
          <w:rFonts w:ascii="Arial" w:cs="Arial" w:eastAsia="Arial" w:hAnsi="Arial"/>
          <w:sz w:val="16"/>
          <w:szCs w:val="16"/>
          <w:color w:val="auto"/>
        </w:rPr>
        <w:t>Mr. Thirot is required by Swiss law to carry health care coverage. However, the Company’s Swiss entity does not provide health care coverage to its employees, nor do we provide Mr. Thirot with a health care allowance. Under the Swiss System, Mr. Thirot’s spouse is eligible to receive benefits in the event of his death from sickness or accident. He no longer participates in any U.S. health and welfare benefit programs.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6"/>
          <w:szCs w:val="16"/>
          <w:i w:val="1"/>
          <w:iCs w:val="1"/>
          <w:u w:val="single" w:color="auto"/>
          <w:color w:val="auto"/>
        </w:rPr>
        <w:t>Ms. Koolhaas’ Health and Welfare Benefits</w:t>
      </w:r>
    </w:p>
    <w:p>
      <w:pPr>
        <w:spacing w:after="0" w:line="63" w:lineRule="exact"/>
        <w:rPr>
          <w:sz w:val="20"/>
          <w:szCs w:val="20"/>
          <w:color w:val="auto"/>
        </w:rPr>
      </w:pPr>
    </w:p>
    <w:p>
      <w:pPr>
        <w:ind w:left="320" w:right="380"/>
        <w:spacing w:after="0" w:line="247" w:lineRule="auto"/>
        <w:rPr>
          <w:sz w:val="20"/>
          <w:szCs w:val="20"/>
          <w:color w:val="auto"/>
        </w:rPr>
      </w:pPr>
      <w:r>
        <w:rPr>
          <w:rFonts w:ascii="Arial" w:cs="Arial" w:eastAsia="Arial" w:hAnsi="Arial"/>
          <w:sz w:val="16"/>
          <w:szCs w:val="16"/>
          <w:color w:val="auto"/>
        </w:rPr>
        <w:t>Ms. Koolhaas receives a health care allowance as part of her Swiss compensation that is intended to help defray the cost of obtaining health care coverage for herself and her family in Switzerland. Residents in Switzerland are required to carry health care coverage, however it is not common for Swiss companies to provide this benefit to their employees. The Company’s</w:t>
      </w:r>
    </w:p>
    <w:p>
      <w:pPr>
        <w:spacing w:after="0" w:line="1" w:lineRule="exact"/>
        <w:rPr>
          <w:sz w:val="20"/>
          <w:szCs w:val="20"/>
          <w:color w:val="auto"/>
        </w:rPr>
      </w:pP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-222250</wp:posOffset>
            </wp:positionV>
            <wp:extent cx="8255" cy="2228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37" w:lineRule="exact"/>
        <w:rPr>
          <w:sz w:val="20"/>
          <w:szCs w:val="20"/>
          <w:color w:val="auto"/>
        </w:rPr>
      </w:pPr>
    </w:p>
    <w:p>
      <w:pPr>
        <w:ind w:left="320" w:right="100"/>
        <w:spacing w:after="0" w:line="265" w:lineRule="auto"/>
        <w:rPr>
          <w:sz w:val="20"/>
          <w:szCs w:val="20"/>
          <w:color w:val="auto"/>
        </w:rPr>
      </w:pPr>
      <w:r>
        <w:rPr>
          <w:rFonts w:ascii="Arial" w:cs="Arial" w:eastAsia="Arial" w:hAnsi="Arial"/>
          <w:sz w:val="16"/>
          <w:szCs w:val="16"/>
          <w:color w:val="auto"/>
        </w:rPr>
        <w:t>Swiss entity does not provide health care coverage to its employees. Under the Swiss System, Ms. Koolhaas’ spouse is eligible to receive benefits in the event of her death from sickness or accident. She is not a participant in any U.S. health and welfare benefit programs.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Perquisites</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 modest level of perquisites is available to named executive officers:</w:t>
      </w:r>
    </w:p>
    <w:p>
      <w:pPr>
        <w:spacing w:after="0" w:line="235" w:lineRule="exact"/>
        <w:rPr>
          <w:sz w:val="20"/>
          <w:szCs w:val="20"/>
          <w:color w:val="auto"/>
        </w:rPr>
      </w:pPr>
    </w:p>
    <w:p>
      <w:pPr>
        <w:ind w:left="380"/>
        <w:spacing w:after="0"/>
        <w:tabs>
          <w:tab w:leader="none" w:pos="4740" w:val="left"/>
          <w:tab w:leader="none" w:pos="9020" w:val="left"/>
        </w:tabs>
        <w:rPr>
          <w:sz w:val="20"/>
          <w:szCs w:val="20"/>
          <w:color w:val="auto"/>
        </w:rPr>
      </w:pPr>
      <w:r>
        <w:rPr>
          <w:rFonts w:ascii="Arial" w:cs="Arial" w:eastAsia="Arial" w:hAnsi="Arial"/>
          <w:sz w:val="14"/>
          <w:szCs w:val="14"/>
          <w:b w:val="1"/>
          <w:bCs w:val="1"/>
          <w:color w:val="0A9E50"/>
        </w:rPr>
        <w:t>Perquisite</w:t>
      </w:r>
      <w:r>
        <w:rPr>
          <w:sz w:val="20"/>
          <w:szCs w:val="20"/>
          <w:color w:val="auto"/>
        </w:rPr>
        <w:tab/>
      </w:r>
      <w:r>
        <w:rPr>
          <w:rFonts w:ascii="Arial" w:cs="Arial" w:eastAsia="Arial" w:hAnsi="Arial"/>
          <w:sz w:val="14"/>
          <w:szCs w:val="14"/>
          <w:b w:val="1"/>
          <w:bCs w:val="1"/>
          <w:color w:val="0A9E50"/>
        </w:rPr>
        <w:t>Benefit</w:t>
      </w:r>
      <w:r>
        <w:rPr>
          <w:sz w:val="20"/>
          <w:szCs w:val="20"/>
          <w:color w:val="auto"/>
        </w:rPr>
        <w:tab/>
      </w:r>
      <w:r>
        <w:rPr>
          <w:rFonts w:ascii="Arial" w:cs="Arial" w:eastAsia="Arial" w:hAnsi="Arial"/>
          <w:sz w:val="13"/>
          <w:szCs w:val="13"/>
          <w:b w:val="1"/>
          <w:bCs w:val="1"/>
          <w:color w:val="0A9E50"/>
        </w:rPr>
        <w:t>Usage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19685</wp:posOffset>
            </wp:positionV>
            <wp:extent cx="67405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305" w:lineRule="exact"/>
        <w:rPr>
          <w:sz w:val="20"/>
          <w:szCs w:val="20"/>
          <w:color w:val="auto"/>
        </w:rPr>
      </w:pPr>
    </w:p>
    <w:p>
      <w:pPr>
        <w:ind w:left="400" w:hanging="84"/>
        <w:spacing w:after="0"/>
        <w:tabs>
          <w:tab w:leader="none" w:pos="40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Executive</w:t>
      </w:r>
    </w:p>
    <w:p>
      <w:pPr>
        <w:spacing w:after="0" w:line="35" w:lineRule="exact"/>
        <w:rPr>
          <w:rFonts w:ascii="Arial" w:cs="Arial" w:eastAsia="Arial" w:hAnsi="Arial"/>
          <w:sz w:val="14"/>
          <w:szCs w:val="14"/>
          <w:i w:val="1"/>
          <w:iCs w:val="1"/>
          <w:color w:val="auto"/>
        </w:rPr>
      </w:pPr>
    </w:p>
    <w:p>
      <w:pPr>
        <w:ind w:left="400" w:hanging="84"/>
        <w:spacing w:after="0"/>
        <w:tabs>
          <w:tab w:leader="none" w:pos="40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Physical</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To ensure senior officers monitor their health and general well-being, an annual physical examination is provided at the Company’s expense. Senior officers may also use their own physician to perform the required tests and evaluations, in lieu of using the selected facilities. For those senior officers, expenses were processed through their employee health care coverage and not through the executive physical program.</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Two named executive officers utilized the formal executive physical program in 2023.</w:t>
      </w:r>
    </w:p>
    <w:p>
      <w:pPr>
        <w:spacing w:after="0" w:line="194" w:lineRule="exact"/>
        <w:rPr>
          <w:sz w:val="20"/>
          <w:szCs w:val="20"/>
          <w:color w:val="auto"/>
        </w:rPr>
      </w:pPr>
    </w:p>
    <w:p>
      <w:pPr>
        <w:sectPr>
          <w:pgSz w:w="11900" w:h="16838" w:orient="portrait"/>
          <w:cols w:equalWidth="0" w:num="3">
            <w:col w:w="1320" w:space="720"/>
            <w:col w:w="5900" w:space="120"/>
            <w:col w:w="2880"/>
          </w:cols>
          <w:pgMar w:left="320" w:top="471" w:right="639" w:bottom="1440" w:gutter="0" w:footer="0" w:header="0"/>
          <w:type w:val="continuous"/>
        </w:sectPr>
      </w:pPr>
    </w:p>
    <w:tbl>
      <w:tblPr>
        <w:tblLayout w:type="fixed"/>
        <w:tblInd w:w="320" w:type="dxa"/>
        <w:tblCellMar>
          <w:top w:w="0" w:type="dxa"/>
          <w:left w:w="0" w:type="dxa"/>
          <w:bottom w:w="0" w:type="dxa"/>
          <w:right w:w="0" w:type="dxa"/>
        </w:tblCellMar>
      </w:tblPr>
      <w:tr>
        <w:trPr>
          <w:trHeight w:val="172"/>
        </w:trPr>
        <w:tc>
          <w:tcPr>
            <w:tcW w:w="1200" w:type="dxa"/>
            <w:vAlign w:val="bottom"/>
            <w:tcBorders>
              <w:top w:val="single" w:sz="8" w:color="7F7F7F"/>
            </w:tcBorders>
          </w:tcPr>
          <w:p>
            <w:pPr>
              <w:spacing w:after="0" w:line="172" w:lineRule="exact"/>
              <w:rPr>
                <w:sz w:val="20"/>
                <w:szCs w:val="20"/>
                <w:color w:val="auto"/>
              </w:rPr>
            </w:pPr>
            <w:r>
              <w:rPr>
                <w:rFonts w:ascii="Arial" w:cs="Arial" w:eastAsia="Arial" w:hAnsi="Arial"/>
                <w:sz w:val="16"/>
                <w:szCs w:val="16"/>
                <w:i w:val="1"/>
                <w:iCs w:val="1"/>
                <w:color w:val="auto"/>
              </w:rPr>
              <w:t>  Vacation</w:t>
            </w:r>
          </w:p>
        </w:tc>
        <w:tc>
          <w:tcPr>
            <w:tcW w:w="6340" w:type="dxa"/>
            <w:vAlign w:val="bottom"/>
            <w:tcBorders>
              <w:top w:val="single" w:sz="8" w:color="7F7F7F"/>
            </w:tcBorders>
          </w:tcPr>
          <w:p>
            <w:pPr>
              <w:ind w:left="520"/>
              <w:spacing w:after="0" w:line="172" w:lineRule="exact"/>
              <w:rPr>
                <w:sz w:val="20"/>
                <w:szCs w:val="20"/>
                <w:color w:val="auto"/>
              </w:rPr>
            </w:pPr>
            <w:r>
              <w:rPr>
                <w:rFonts w:ascii="Arial" w:cs="Arial" w:eastAsia="Arial" w:hAnsi="Arial"/>
                <w:sz w:val="16"/>
                <w:szCs w:val="16"/>
                <w:color w:val="auto"/>
              </w:rPr>
              <w:t>Company-owned condominium is available on a limited basis to employees at the</w:t>
            </w:r>
          </w:p>
        </w:tc>
        <w:tc>
          <w:tcPr>
            <w:tcW w:w="3080" w:type="dxa"/>
            <w:vAlign w:val="bottom"/>
            <w:tcBorders>
              <w:top w:val="single" w:sz="8" w:color="7F7F7F"/>
            </w:tcBorders>
          </w:tcPr>
          <w:p>
            <w:pPr>
              <w:ind w:left="200"/>
              <w:spacing w:after="0" w:line="172" w:lineRule="exact"/>
              <w:rPr>
                <w:sz w:val="20"/>
                <w:szCs w:val="20"/>
                <w:color w:val="auto"/>
              </w:rPr>
            </w:pPr>
            <w:r>
              <w:rPr>
                <w:rFonts w:ascii="Arial" w:cs="Arial" w:eastAsia="Arial" w:hAnsi="Arial"/>
                <w:sz w:val="16"/>
                <w:szCs w:val="16"/>
                <w:color w:val="auto"/>
              </w:rPr>
              <w:t>One named executive officer used the</w:t>
            </w:r>
          </w:p>
        </w:tc>
      </w:tr>
      <w:tr>
        <w:trPr>
          <w:trHeight w:val="205"/>
        </w:trPr>
        <w:tc>
          <w:tcPr>
            <w:tcW w:w="1200" w:type="dxa"/>
            <w:vAlign w:val="bottom"/>
          </w:tcPr>
          <w:p>
            <w:pPr>
              <w:spacing w:after="0"/>
              <w:rPr>
                <w:sz w:val="20"/>
                <w:szCs w:val="20"/>
                <w:color w:val="auto"/>
              </w:rPr>
            </w:pPr>
            <w:r>
              <w:rPr>
                <w:rFonts w:ascii="Arial" w:cs="Arial" w:eastAsia="Arial" w:hAnsi="Arial"/>
                <w:sz w:val="16"/>
                <w:szCs w:val="16"/>
                <w:i w:val="1"/>
                <w:iCs w:val="1"/>
                <w:color w:val="auto"/>
              </w:rPr>
              <w:t>  Facility</w:t>
            </w:r>
          </w:p>
        </w:tc>
        <w:tc>
          <w:tcPr>
            <w:tcW w:w="6340" w:type="dxa"/>
            <w:vAlign w:val="bottom"/>
          </w:tcPr>
          <w:p>
            <w:pPr>
              <w:ind w:left="520"/>
              <w:spacing w:after="0"/>
              <w:rPr>
                <w:sz w:val="20"/>
                <w:szCs w:val="20"/>
                <w:color w:val="auto"/>
              </w:rPr>
            </w:pPr>
            <w:r>
              <w:rPr>
                <w:rFonts w:ascii="Arial" w:cs="Arial" w:eastAsia="Arial" w:hAnsi="Arial"/>
                <w:sz w:val="16"/>
                <w:szCs w:val="16"/>
                <w:color w:val="auto"/>
              </w:rPr>
              <w:t>Vice President level and above.</w:t>
            </w:r>
          </w:p>
        </w:tc>
        <w:tc>
          <w:tcPr>
            <w:tcW w:w="3080" w:type="dxa"/>
            <w:vAlign w:val="bottom"/>
          </w:tcPr>
          <w:p>
            <w:pPr>
              <w:ind w:left="200"/>
              <w:spacing w:after="0"/>
              <w:rPr>
                <w:sz w:val="20"/>
                <w:szCs w:val="20"/>
                <w:color w:val="auto"/>
              </w:rPr>
            </w:pPr>
            <w:r>
              <w:rPr>
                <w:rFonts w:ascii="Arial" w:cs="Arial" w:eastAsia="Arial" w:hAnsi="Arial"/>
                <w:sz w:val="16"/>
                <w:szCs w:val="16"/>
                <w:color w:val="auto"/>
              </w:rPr>
              <w:t>vacation facility in 2023.</w:t>
            </w:r>
          </w:p>
        </w:tc>
      </w:tr>
      <w:tr>
        <w:trPr>
          <w:trHeight w:val="28"/>
        </w:trPr>
        <w:tc>
          <w:tcPr>
            <w:tcW w:w="1200" w:type="dxa"/>
            <w:vAlign w:val="bottom"/>
            <w:tcBorders>
              <w:bottom w:val="single" w:sz="8" w:color="7F7F7F"/>
            </w:tcBorders>
          </w:tcPr>
          <w:p>
            <w:pPr>
              <w:spacing w:after="0"/>
              <w:rPr>
                <w:sz w:val="2"/>
                <w:szCs w:val="2"/>
                <w:color w:val="auto"/>
              </w:rPr>
            </w:pPr>
          </w:p>
        </w:tc>
        <w:tc>
          <w:tcPr>
            <w:tcW w:w="6340" w:type="dxa"/>
            <w:vAlign w:val="bottom"/>
            <w:tcBorders>
              <w:bottom w:val="single" w:sz="8" w:color="7F7F7F"/>
            </w:tcBorders>
          </w:tcPr>
          <w:p>
            <w:pPr>
              <w:spacing w:after="0"/>
              <w:rPr>
                <w:sz w:val="2"/>
                <w:szCs w:val="2"/>
                <w:color w:val="auto"/>
              </w:rPr>
            </w:pPr>
          </w:p>
        </w:tc>
        <w:tc>
          <w:tcPr>
            <w:tcW w:w="3080" w:type="dxa"/>
            <w:vAlign w:val="bottom"/>
            <w:tcBorders>
              <w:bottom w:val="single" w:sz="8" w:color="7F7F7F"/>
            </w:tcBorders>
          </w:tcPr>
          <w:p>
            <w:pPr>
              <w:spacing w:after="0"/>
              <w:rPr>
                <w:sz w:val="2"/>
                <w:szCs w:val="2"/>
                <w:color w:val="auto"/>
              </w:rPr>
            </w:pPr>
          </w:p>
        </w:tc>
      </w:tr>
    </w:tbl>
    <w:p>
      <w:pPr>
        <w:spacing w:after="0" w:line="53" w:lineRule="exact"/>
        <w:rPr>
          <w:sz w:val="20"/>
          <w:szCs w:val="20"/>
          <w:color w:val="auto"/>
        </w:rPr>
      </w:pPr>
    </w:p>
    <w:p>
      <w:pPr>
        <w:ind w:left="320" w:right="260"/>
        <w:spacing w:after="0" w:line="265" w:lineRule="auto"/>
        <w:rPr>
          <w:sz w:val="20"/>
          <w:szCs w:val="20"/>
          <w:color w:val="auto"/>
        </w:rPr>
      </w:pPr>
      <w:r>
        <w:rPr>
          <w:rFonts w:ascii="Arial" w:cs="Arial" w:eastAsia="Arial" w:hAnsi="Arial"/>
          <w:sz w:val="16"/>
          <w:szCs w:val="16"/>
          <w:color w:val="auto"/>
        </w:rPr>
        <w:t>The aggregate amount of perquisites provided in 2023 for each of the named executive officers, except for Mr. Thirot and Ms. Koolhaas, was less than $10,000 and therefore only the perquisites for Mr. Thirot and Ms. Koolhaas are reported in the Summary Compensation Table.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Senior Executive Severance Plan</w:t>
      </w:r>
    </w:p>
    <w:p>
      <w:pPr>
        <w:spacing w:after="0" w:line="63" w:lineRule="exact"/>
        <w:rPr>
          <w:sz w:val="20"/>
          <w:szCs w:val="20"/>
          <w:color w:val="auto"/>
        </w:rPr>
      </w:pPr>
    </w:p>
    <w:p>
      <w:pPr>
        <w:ind w:left="320" w:right="60"/>
        <w:spacing w:after="0" w:line="243" w:lineRule="auto"/>
        <w:rPr>
          <w:sz w:val="20"/>
          <w:szCs w:val="20"/>
          <w:color w:val="auto"/>
        </w:rPr>
      </w:pPr>
      <w:r>
        <w:rPr>
          <w:rFonts w:ascii="Arial" w:cs="Arial" w:eastAsia="Arial" w:hAnsi="Arial"/>
          <w:sz w:val="16"/>
          <w:szCs w:val="16"/>
          <w:color w:val="auto"/>
        </w:rPr>
        <w:t>To encourage the retention of certain key executives of the Company and thereby promote the stability and continuity of management, the Senior Executive Severance Plan (“Severance Plan”) was established by the Company and approved by the Committee effective March 31, 2017. During its March 23, 2021 meeting, the Committee approved expanding the Severance Plan to include other senior officers. For 2023, the named executive officers participating in the Severance Plan were, Messrs. Quigley and Malan and Ms. Williams. The Severance Plan provides severance benefits in the event a participant’s employment is terminated under certain circumstances as explained and illustrated in Potential Payments Upon Termination or Change in Control (below). The Plan does not provide excise tax gross-ups to participants under Section 280G of the Code.</w:t>
      </w:r>
    </w:p>
    <w:p>
      <w:pPr>
        <w:spacing w:after="0" w:line="53" w:lineRule="exact"/>
        <w:rPr>
          <w:sz w:val="20"/>
          <w:szCs w:val="20"/>
          <w:color w:val="auto"/>
        </w:rPr>
      </w:pPr>
    </w:p>
    <w:p>
      <w:pPr>
        <w:ind w:left="320" w:right="400"/>
        <w:spacing w:after="0" w:line="265" w:lineRule="auto"/>
        <w:rPr>
          <w:sz w:val="20"/>
          <w:szCs w:val="20"/>
          <w:color w:val="auto"/>
        </w:rPr>
      </w:pPr>
      <w:r>
        <w:rPr>
          <w:rFonts w:ascii="Arial" w:cs="Arial" w:eastAsia="Arial" w:hAnsi="Arial"/>
          <w:sz w:val="16"/>
          <w:szCs w:val="16"/>
          <w:color w:val="auto"/>
        </w:rPr>
        <w:t>The Company’s EIP provides for the immediate vesting of restricted stock and performance awards upon a qualified termination in connection with a change in control (e.g., “double trigger”), which is also explained in Potential Payments Upon Termination or Change in Control.</w:t>
      </w:r>
    </w:p>
    <w:p>
      <w:pPr>
        <w:spacing w:after="0" w:line="23" w:lineRule="exact"/>
        <w:rPr>
          <w:sz w:val="20"/>
          <w:szCs w:val="20"/>
          <w:color w:val="auto"/>
        </w:rPr>
      </w:pPr>
    </w:p>
    <w:p>
      <w:pPr>
        <w:ind w:left="320" w:right="120"/>
        <w:spacing w:after="0" w:line="241" w:lineRule="auto"/>
        <w:rPr>
          <w:sz w:val="20"/>
          <w:szCs w:val="20"/>
          <w:color w:val="auto"/>
        </w:rPr>
      </w:pPr>
      <w:r>
        <w:rPr>
          <w:rFonts w:ascii="Arial" w:cs="Arial" w:eastAsia="Arial" w:hAnsi="Arial"/>
          <w:sz w:val="16"/>
          <w:szCs w:val="16"/>
          <w:color w:val="auto"/>
        </w:rPr>
        <w:t>Under the terms of the Severance Plan covering the eligible named executive officers, each would be entitled to severance payments and benefits in the event that he or she experiences a “qualifying termination” (i.e., any termination of the participant by the Company other than for cause, disability, or death, or for good reason by a participant in connection with a change in control as is defined in the Severance Plan). A change in control will not automatically entitle an eligible named executive officer to severance benefits or equity acceleration; instead, the executive must also lose his or her job, or suffer a significant adverse change to employment terms or conditions in order to be eligible for benefits under the Severance Plan. In the event of a termination for any reason, eligible named executive officers would be entitled to any earned compensation owed but not yet paid as of the date of termination. Eligible named executive officers would also be entitled to payment of vested benefits, if any. Details of the Severance Plan are provided in the Potential Payments Upon Termination or Change in Control section of this Proxy Statement.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i w:val="1"/>
          <w:iCs w:val="1"/>
          <w:u w:val="single" w:color="auto"/>
          <w:color w:val="auto"/>
        </w:rPr>
        <w:t>Mr. Thirot’s Severance Benefit</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Under the terms of Mr. Thirot’s Swiss employment agreement he is eligible for similar severance benefits to a Tier 2 participant of the Severance Plan.</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6"/>
          <w:szCs w:val="16"/>
          <w:i w:val="1"/>
          <w:iCs w:val="1"/>
          <w:u w:val="single" w:color="auto"/>
          <w:color w:val="auto"/>
        </w:rPr>
        <w:t>Ms. Koolhaas’ Severance Benefit</w:t>
      </w:r>
    </w:p>
    <w:p>
      <w:pPr>
        <w:spacing w:after="0" w:line="76" w:lineRule="exact"/>
        <w:rPr>
          <w:sz w:val="20"/>
          <w:szCs w:val="20"/>
          <w:color w:val="auto"/>
        </w:rPr>
      </w:pPr>
    </w:p>
    <w:p>
      <w:pPr>
        <w:ind w:left="320" w:right="400"/>
        <w:spacing w:after="0" w:line="265" w:lineRule="auto"/>
        <w:rPr>
          <w:sz w:val="20"/>
          <w:szCs w:val="20"/>
          <w:color w:val="auto"/>
        </w:rPr>
      </w:pPr>
      <w:r>
        <w:rPr>
          <w:rFonts w:ascii="Arial" w:cs="Arial" w:eastAsia="Arial" w:hAnsi="Arial"/>
          <w:sz w:val="16"/>
          <w:szCs w:val="16"/>
          <w:color w:val="auto"/>
        </w:rPr>
        <w:t>Under the terms of Ms. Koolhaas’ Swiss employment agreement she is eligible for similar severance benefits to a Tier 3 participant of the Severance Plan.</w:t>
      </w:r>
    </w:p>
    <w:p>
      <w:pPr>
        <w:spacing w:after="0" w:line="23" w:lineRule="exact"/>
        <w:rPr>
          <w:sz w:val="20"/>
          <w:szCs w:val="20"/>
          <w:color w:val="auto"/>
        </w:rPr>
      </w:pPr>
    </w:p>
    <w:p>
      <w:pPr>
        <w:ind w:left="320" w:right="60"/>
        <w:spacing w:after="0" w:line="265" w:lineRule="auto"/>
        <w:rPr>
          <w:sz w:val="20"/>
          <w:szCs w:val="20"/>
          <w:color w:val="auto"/>
        </w:rPr>
      </w:pPr>
      <w:r>
        <w:rPr>
          <w:rFonts w:ascii="Arial" w:cs="Arial" w:eastAsia="Arial" w:hAnsi="Arial"/>
          <w:sz w:val="16"/>
          <w:szCs w:val="16"/>
          <w:color w:val="auto"/>
        </w:rPr>
        <w:t>As a consequence of the completion of the sale of our EMEA staffing operations, Ms. Koolhaas’ employment terminated March 31, 2024. The termination payments to be made to Ms. Koolhaas are described in the “Potential Payments Upon Termination or Change in Control” section below.</w:t>
      </w:r>
    </w:p>
    <w:p>
      <w:pPr>
        <w:spacing w:after="0" w:line="38"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62 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Governance of Executive Compensation Programs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Executive Stock Ownership and Retention Requirements</w:t>
      </w:r>
    </w:p>
    <w:p>
      <w:pPr>
        <w:spacing w:after="0" w:line="63" w:lineRule="exact"/>
        <w:rPr>
          <w:sz w:val="20"/>
          <w:szCs w:val="20"/>
          <w:color w:val="auto"/>
        </w:rPr>
      </w:pPr>
    </w:p>
    <w:p>
      <w:pPr>
        <w:ind w:left="320" w:right="540"/>
        <w:spacing w:after="0" w:line="293" w:lineRule="auto"/>
        <w:rPr>
          <w:sz w:val="20"/>
          <w:szCs w:val="20"/>
          <w:color w:val="auto"/>
        </w:rPr>
      </w:pPr>
      <w:r>
        <w:rPr>
          <w:rFonts w:ascii="Arial" w:cs="Arial" w:eastAsia="Arial" w:hAnsi="Arial"/>
          <w:sz w:val="14"/>
          <w:szCs w:val="14"/>
          <w:color w:val="auto"/>
        </w:rPr>
        <w:t>The Committee implemented minimum stock ownership and retention requirements to encourage meaningful stock ownership by the Company’s executives that aligns their interests more closely with shareholders’ interests. The Committee periodically reviews the Executive Stock Ownership Requirements to ensure the design is consistent with current market practice and those of our peers, as determined by research performed by the Consultant. The requirements are expressed as a multiple of base salary for each level of senior officer, as shown in the table below.</w:t>
      </w:r>
    </w:p>
    <w:p>
      <w:pPr>
        <w:spacing w:after="0" w:line="179"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0A9E50"/>
        </w:rPr>
        <w:t>2023 Minimum Stock Ownership Requirements</w:t>
      </w:r>
    </w:p>
    <w:p>
      <w:pPr>
        <w:spacing w:after="0" w:line="3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0A9E50"/>
        </w:rPr>
        <w:t>Multiple of Base Salary</w:t>
      </w:r>
    </w:p>
    <w:p>
      <w:pPr>
        <w:spacing w:after="0" w:line="21"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3700" w:type="dxa"/>
            <w:vAlign w:val="bottom"/>
            <w:tcBorders>
              <w:top w:val="single" w:sz="8" w:color="auto"/>
              <w:bottom w:val="single" w:sz="8" w:color="7F7F7F"/>
            </w:tcBorders>
          </w:tcPr>
          <w:p>
            <w:pPr>
              <w:jc w:val="center"/>
              <w:spacing w:after="0" w:line="149" w:lineRule="exact"/>
              <w:rPr>
                <w:sz w:val="20"/>
                <w:szCs w:val="20"/>
                <w:color w:val="auto"/>
              </w:rPr>
            </w:pPr>
            <w:r>
              <w:rPr>
                <w:rFonts w:ascii="Arial" w:cs="Arial" w:eastAsia="Arial" w:hAnsi="Arial"/>
                <w:sz w:val="14"/>
                <w:szCs w:val="14"/>
                <w:b w:val="1"/>
                <w:bCs w:val="1"/>
                <w:color w:val="auto"/>
                <w:w w:val="98"/>
              </w:rPr>
              <w:t>CEO</w:t>
            </w:r>
          </w:p>
        </w:tc>
        <w:tc>
          <w:tcPr>
            <w:tcW w:w="3280" w:type="dxa"/>
            <w:vAlign w:val="bottom"/>
            <w:tcBorders>
              <w:top w:val="single" w:sz="8" w:color="auto"/>
              <w:bottom w:val="single" w:sz="8" w:color="7F7F7F"/>
            </w:tcBorders>
          </w:tcPr>
          <w:p>
            <w:pPr>
              <w:jc w:val="center"/>
              <w:ind w:left="326"/>
              <w:spacing w:after="0" w:line="149" w:lineRule="exact"/>
              <w:rPr>
                <w:sz w:val="20"/>
                <w:szCs w:val="20"/>
                <w:color w:val="auto"/>
              </w:rPr>
            </w:pPr>
            <w:r>
              <w:rPr>
                <w:rFonts w:ascii="Arial" w:cs="Arial" w:eastAsia="Arial" w:hAnsi="Arial"/>
                <w:sz w:val="14"/>
                <w:szCs w:val="14"/>
                <w:b w:val="1"/>
                <w:bCs w:val="1"/>
                <w:color w:val="auto"/>
                <w:w w:val="99"/>
              </w:rPr>
              <w:t>EVP</w:t>
            </w:r>
          </w:p>
        </w:tc>
        <w:tc>
          <w:tcPr>
            <w:tcW w:w="3640" w:type="dxa"/>
            <w:vAlign w:val="bottom"/>
            <w:tcBorders>
              <w:top w:val="single" w:sz="8" w:color="auto"/>
              <w:bottom w:val="single" w:sz="8" w:color="7F7F7F"/>
            </w:tcBorders>
          </w:tcPr>
          <w:p>
            <w:pPr>
              <w:jc w:val="center"/>
              <w:ind w:left="286"/>
              <w:spacing w:after="0" w:line="149" w:lineRule="exact"/>
              <w:rPr>
                <w:sz w:val="20"/>
                <w:szCs w:val="20"/>
                <w:color w:val="auto"/>
              </w:rPr>
            </w:pPr>
            <w:r>
              <w:rPr>
                <w:rFonts w:ascii="Arial" w:cs="Arial" w:eastAsia="Arial" w:hAnsi="Arial"/>
                <w:sz w:val="14"/>
                <w:szCs w:val="14"/>
                <w:b w:val="1"/>
                <w:bCs w:val="1"/>
                <w:color w:val="auto"/>
                <w:w w:val="98"/>
              </w:rPr>
              <w:t>Other Senior Officers</w:t>
            </w:r>
          </w:p>
        </w:tc>
      </w:tr>
      <w:tr>
        <w:trPr>
          <w:trHeight w:val="175"/>
        </w:trPr>
        <w:tc>
          <w:tcPr>
            <w:tcW w:w="3700" w:type="dxa"/>
            <w:vAlign w:val="bottom"/>
            <w:tcBorders>
              <w:bottom w:val="single" w:sz="8" w:color="7F7F7F"/>
            </w:tcBorders>
          </w:tcPr>
          <w:p>
            <w:pPr>
              <w:jc w:val="center"/>
              <w:spacing w:after="0" w:line="175" w:lineRule="exact"/>
              <w:rPr>
                <w:sz w:val="20"/>
                <w:szCs w:val="20"/>
                <w:color w:val="auto"/>
              </w:rPr>
            </w:pPr>
            <w:r>
              <w:rPr>
                <w:rFonts w:ascii="Arial" w:cs="Arial" w:eastAsia="Arial" w:hAnsi="Arial"/>
                <w:sz w:val="16"/>
                <w:szCs w:val="16"/>
                <w:color w:val="auto"/>
                <w:w w:val="94"/>
              </w:rPr>
              <w:t>6x</w:t>
            </w:r>
          </w:p>
        </w:tc>
        <w:tc>
          <w:tcPr>
            <w:tcW w:w="3280" w:type="dxa"/>
            <w:vAlign w:val="bottom"/>
            <w:tcBorders>
              <w:bottom w:val="single" w:sz="8" w:color="7F7F7F"/>
            </w:tcBorders>
          </w:tcPr>
          <w:p>
            <w:pPr>
              <w:jc w:val="center"/>
              <w:ind w:left="306"/>
              <w:spacing w:after="0" w:line="175" w:lineRule="exact"/>
              <w:rPr>
                <w:sz w:val="20"/>
                <w:szCs w:val="20"/>
                <w:color w:val="auto"/>
              </w:rPr>
            </w:pPr>
            <w:r>
              <w:rPr>
                <w:rFonts w:ascii="Arial" w:cs="Arial" w:eastAsia="Arial" w:hAnsi="Arial"/>
                <w:sz w:val="16"/>
                <w:szCs w:val="16"/>
                <w:color w:val="auto"/>
              </w:rPr>
              <w:t>3x</w:t>
            </w:r>
          </w:p>
        </w:tc>
        <w:tc>
          <w:tcPr>
            <w:tcW w:w="3640" w:type="dxa"/>
            <w:vAlign w:val="bottom"/>
            <w:tcBorders>
              <w:bottom w:val="single" w:sz="8" w:color="7F7F7F"/>
            </w:tcBorders>
          </w:tcPr>
          <w:p>
            <w:pPr>
              <w:jc w:val="center"/>
              <w:ind w:left="266"/>
              <w:spacing w:after="0" w:line="175" w:lineRule="exact"/>
              <w:rPr>
                <w:sz w:val="20"/>
                <w:szCs w:val="20"/>
                <w:color w:val="auto"/>
              </w:rPr>
            </w:pPr>
            <w:r>
              <w:rPr>
                <w:rFonts w:ascii="Arial" w:cs="Arial" w:eastAsia="Arial" w:hAnsi="Arial"/>
                <w:sz w:val="16"/>
                <w:szCs w:val="16"/>
                <w:color w:val="auto"/>
                <w:w w:val="95"/>
              </w:rPr>
              <w:t>1x-1.5x</w:t>
            </w:r>
          </w:p>
        </w:tc>
      </w:tr>
    </w:tbl>
    <w:p>
      <w:pPr>
        <w:spacing w:after="0" w:line="53" w:lineRule="exact"/>
        <w:rPr>
          <w:sz w:val="20"/>
          <w:szCs w:val="20"/>
          <w:color w:val="auto"/>
        </w:rPr>
      </w:pPr>
    </w:p>
    <w:p>
      <w:pPr>
        <w:ind w:left="320" w:right="380"/>
        <w:spacing w:after="0" w:line="251" w:lineRule="auto"/>
        <w:rPr>
          <w:sz w:val="20"/>
          <w:szCs w:val="20"/>
          <w:color w:val="auto"/>
        </w:rPr>
      </w:pPr>
      <w:r>
        <w:rPr>
          <w:rFonts w:ascii="Arial" w:cs="Arial" w:eastAsia="Arial" w:hAnsi="Arial"/>
          <w:sz w:val="16"/>
          <w:szCs w:val="16"/>
          <w:color w:val="auto"/>
        </w:rPr>
        <w:t>During 2023, the Committee reviewed the executive stock ownership requirements to be in line with market practice and continue to focus on the retention of senior officers. Under the ownership requirements, senior officers are required to hold (50%) of the after-tax shares acquired upon equity award vesting until compliance with the stock ownership requirements is achieved.</w:t>
      </w:r>
    </w:p>
    <w:p>
      <w:pPr>
        <w:spacing w:after="0" w:line="47" w:lineRule="exact"/>
        <w:rPr>
          <w:sz w:val="20"/>
          <w:szCs w:val="20"/>
          <w:color w:val="auto"/>
        </w:rPr>
      </w:pPr>
    </w:p>
    <w:p>
      <w:pPr>
        <w:ind w:left="320" w:right="180"/>
        <w:spacing w:after="0" w:line="242" w:lineRule="auto"/>
        <w:rPr>
          <w:sz w:val="20"/>
          <w:szCs w:val="20"/>
          <w:color w:val="auto"/>
        </w:rPr>
      </w:pPr>
      <w:r>
        <w:rPr>
          <w:rFonts w:ascii="Arial" w:cs="Arial" w:eastAsia="Arial" w:hAnsi="Arial"/>
          <w:sz w:val="16"/>
          <w:szCs w:val="16"/>
          <w:color w:val="auto"/>
        </w:rPr>
        <w:t>Shares counted toward achievement of ownership requirements include: directly owned shares, shares held by family or trusts, and 100% of unvested restricted stock awards, restricted stock units, and earned unvested performance shares. Although there is not a fixed compliance period, it is likely that new senior officers will reach the requirements within five years from their start date. The Committee reviews each executive’s progress towards and compliance with the share ownership requirements on an annual basis. If the required level of ownership is not achieved within a reasonable period of time or an executive falls out of compliance with the requirements, the Committee can eliminate or adjust the amount of any future equity awards. Stock ownership levels must be maintained as long as the executive is employed by the Company as a senior officer and is subject to the terms of the Executive Stock Ownership Requirements.</w:t>
      </w:r>
    </w:p>
    <w:p>
      <w:pPr>
        <w:spacing w:after="0" w:line="4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February 13, 2024, all named executive officers have met their stock ownership requirement.</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Incentive Compensation Recovery (“Clawback”) Policy</w:t>
      </w:r>
    </w:p>
    <w:p>
      <w:pPr>
        <w:spacing w:after="0" w:line="69" w:lineRule="exact"/>
        <w:rPr>
          <w:sz w:val="20"/>
          <w:szCs w:val="20"/>
          <w:color w:val="auto"/>
        </w:rPr>
      </w:pPr>
    </w:p>
    <w:p>
      <w:pPr>
        <w:ind w:left="320" w:right="80"/>
        <w:spacing w:after="0" w:line="241" w:lineRule="auto"/>
        <w:rPr>
          <w:sz w:val="20"/>
          <w:szCs w:val="20"/>
          <w:color w:val="auto"/>
        </w:rPr>
      </w:pPr>
      <w:r>
        <w:rPr>
          <w:rFonts w:ascii="Arial" w:cs="Arial" w:eastAsia="Arial" w:hAnsi="Arial"/>
          <w:sz w:val="16"/>
          <w:szCs w:val="16"/>
          <w:color w:val="auto"/>
        </w:rPr>
        <w:t>The Company’s Clawback Policy applies to awards granted under the STIP and EIP on or after January 1, 2011 to officers of the Company who are subject to Section 16 of the Securities Exchange Act of 1934. In early 2019, the application of the Clawback Policy was broadened to include all senior officers. These officers are required to repay or forfeit, to the fullest extent permitted by law and as directed by the Committee, any performance-based annual or long-term incentive compensation, based on the achievement of financial results that were subsequently restated due to the Company’s material non-compliance with the financial disclosure requirements of the federal securities laws, provided the amount of incentive compensation that would have been received or earned would have been lower had the financial results been properly reported. In 2023, the Company modified its policy to comply with the provisions of the new SEC and Nasdaq rules and regulations. The Clawback Policy is included as part of the Company’s updated Insider Trading Policy and Section 16 Compliance Procedures.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Hedging and Pledging of Shares</w:t>
      </w:r>
    </w:p>
    <w:p>
      <w:pPr>
        <w:spacing w:after="0" w:line="76" w:lineRule="exact"/>
        <w:rPr>
          <w:sz w:val="20"/>
          <w:szCs w:val="20"/>
          <w:color w:val="auto"/>
        </w:rPr>
      </w:pPr>
    </w:p>
    <w:p>
      <w:pPr>
        <w:ind w:left="320" w:right="100"/>
        <w:spacing w:after="0" w:line="243" w:lineRule="auto"/>
        <w:rPr>
          <w:sz w:val="20"/>
          <w:szCs w:val="20"/>
          <w:color w:val="auto"/>
        </w:rPr>
      </w:pPr>
      <w:r>
        <w:rPr>
          <w:rFonts w:ascii="Arial" w:cs="Arial" w:eastAsia="Arial" w:hAnsi="Arial"/>
          <w:sz w:val="16"/>
          <w:szCs w:val="16"/>
          <w:color w:val="auto"/>
        </w:rPr>
        <w:t>The Company’s Insider Trading Policy and Section 16 Compliance Procedures strictly prohibit the Company’s directors and all employees, including the named executive officers, from engaging in hedging, monetization or other derivative or speculative transactions in securities of the Company. This includes short sales, failing to deliver Company securities sold, put or call options, equity swaps, collars, forward sale contracts, exchange funds, holding Company securities in a margin account, or pledging Company securities as collateral for a loan. The EIP does not allow the pledging, sale, assignment, or transfer of shares in any manner, except if the Committee determines that a transfer will not violate any requirements of the SEC or IRS. The Committee may permit an inter vivos transfer by gift to, or for the benefit of, a family member of the grantee.</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Tax Considerations: Deductibility of Executive Compensation</w:t>
      </w:r>
    </w:p>
    <w:p>
      <w:pPr>
        <w:spacing w:after="0" w:line="63" w:lineRule="exact"/>
        <w:rPr>
          <w:sz w:val="20"/>
          <w:szCs w:val="20"/>
          <w:color w:val="auto"/>
        </w:rPr>
      </w:pPr>
    </w:p>
    <w:p>
      <w:pPr>
        <w:ind w:left="320" w:right="40"/>
        <w:spacing w:after="0" w:line="245" w:lineRule="auto"/>
        <w:rPr>
          <w:sz w:val="20"/>
          <w:szCs w:val="20"/>
          <w:color w:val="auto"/>
        </w:rPr>
      </w:pPr>
      <w:r>
        <w:rPr>
          <w:rFonts w:ascii="Arial" w:cs="Arial" w:eastAsia="Arial" w:hAnsi="Arial"/>
          <w:sz w:val="16"/>
          <w:szCs w:val="16"/>
          <w:color w:val="auto"/>
        </w:rPr>
        <w:t>Section 162(m) of the Code places a limit of $1 million on the amount of compensation that can be deducted for tax purposes for the CEO, CFO, and other three highest paid executives listed in the Summary Compensation Table, or were listed in the Summary Compensation Table in any preceding year after 2016. Prior to 2018, the Company’s incentive compensation programs were generally designed to qualify for the performance-based exception to this limit. Beginning in 2018, effective</w:t>
      </w: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-222250</wp:posOffset>
            </wp:positionV>
            <wp:extent cx="8255" cy="2228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37" w:lineRule="exact"/>
        <w:rPr>
          <w:sz w:val="20"/>
          <w:szCs w:val="20"/>
          <w:color w:val="auto"/>
        </w:rPr>
      </w:pPr>
    </w:p>
    <w:p>
      <w:pPr>
        <w:ind w:left="320" w:right="180"/>
        <w:spacing w:after="0" w:line="242" w:lineRule="auto"/>
        <w:rPr>
          <w:sz w:val="20"/>
          <w:szCs w:val="20"/>
          <w:color w:val="auto"/>
        </w:rPr>
      </w:pPr>
      <w:r>
        <w:rPr>
          <w:rFonts w:ascii="Arial" w:cs="Arial" w:eastAsia="Arial" w:hAnsi="Arial"/>
          <w:sz w:val="16"/>
          <w:szCs w:val="16"/>
          <w:color w:val="auto"/>
        </w:rPr>
        <w:t>with the Tax Cuts and Jobs Act that was enacted in December 2017, the corporate tax deduction previously available for performance-based compensation above $1 million for current or former named executive officers was eliminated. This means that pay to each current or former named executive officer in excess of $1 million is no longer tax deductible. Now that the performance-based exception is no longer available, the Company will no longer include reference to Section 162(m) related limitations or provisions or shareholder approval for this purpose. However, management and the Committee currently intend to retain as good governance, certain practices that had been in place previously for Section 162(m) purposes. These practices include: specification of guidelines for the adjustment of special items, establishing performance goals within the first ninety days of a performance period, and requiring the Committee’s certification of results prior to the payout of any award.</w:t>
      </w:r>
    </w:p>
    <w:p>
      <w:pPr>
        <w:spacing w:after="0" w:line="274"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Compensation and Talent Management Committee Report</w:t>
      </w:r>
    </w:p>
    <w:p>
      <w:pPr>
        <w:spacing w:after="0" w:line="85" w:lineRule="exact"/>
        <w:rPr>
          <w:sz w:val="20"/>
          <w:szCs w:val="20"/>
          <w:color w:val="auto"/>
        </w:rPr>
      </w:pPr>
    </w:p>
    <w:p>
      <w:pPr>
        <w:ind w:left="320"/>
        <w:spacing w:after="0" w:line="303" w:lineRule="auto"/>
        <w:rPr>
          <w:sz w:val="20"/>
          <w:szCs w:val="20"/>
          <w:color w:val="auto"/>
        </w:rPr>
      </w:pPr>
      <w:r>
        <w:rPr>
          <w:rFonts w:ascii="Arial" w:cs="Arial" w:eastAsia="Arial" w:hAnsi="Arial"/>
          <w:sz w:val="14"/>
          <w:szCs w:val="14"/>
          <w:color w:val="auto"/>
        </w:rPr>
        <w:t>Prior to and at the Special Board of Directors meeting held on March 19, 2024, the Compensation and Talent Management Committee members reviewed and discussed the Compensation Discussion and Analysis presented in this Proxy Statement. Based on its review and subsequent discussions with management, the Committee approved the Compensation Discussion and Analysis and directed management to include it in this Proxy Statement.</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This report is submitted by the Compensation and Talent Management Committee of the Board of Directors.</w:t>
      </w:r>
    </w:p>
    <w:p>
      <w:pPr>
        <w:spacing w:after="0" w:line="200" w:lineRule="exact"/>
        <w:rPr>
          <w:sz w:val="20"/>
          <w:szCs w:val="20"/>
          <w:color w:val="auto"/>
        </w:rPr>
      </w:pPr>
    </w:p>
    <w:p>
      <w:pPr>
        <w:spacing w:after="0" w:line="214"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THE COMPENSATION AND TALENT MANAGEMENT</w:t>
      </w:r>
    </w:p>
    <w:p>
      <w:pPr>
        <w:spacing w:after="0" w:line="1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COMMITTEE</w:t>
      </w:r>
    </w:p>
    <w:p>
      <w:pPr>
        <w:spacing w:after="0" w:line="19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ROBERT S. CUBBIN, CHAIR</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GERALD S. ADOLPH</w:t>
      </w:r>
    </w:p>
    <w:p>
      <w:pPr>
        <w:ind w:left="6060"/>
        <w:spacing w:after="0" w:line="237" w:lineRule="auto"/>
        <w:rPr>
          <w:sz w:val="20"/>
          <w:szCs w:val="20"/>
          <w:color w:val="auto"/>
        </w:rPr>
      </w:pPr>
      <w:r>
        <w:rPr>
          <w:rFonts w:ascii="Arial" w:cs="Arial" w:eastAsia="Arial" w:hAnsi="Arial"/>
          <w:sz w:val="16"/>
          <w:szCs w:val="16"/>
          <w:color w:val="auto"/>
        </w:rPr>
        <w:t>INAMARIE F. JOHNSON</w:t>
      </w:r>
    </w:p>
    <w:p>
      <w:pPr>
        <w:ind w:left="6060"/>
        <w:spacing w:after="0"/>
        <w:rPr>
          <w:sz w:val="20"/>
          <w:szCs w:val="20"/>
          <w:color w:val="auto"/>
        </w:rPr>
      </w:pPr>
      <w:r>
        <w:rPr>
          <w:rFonts w:ascii="Arial" w:cs="Arial" w:eastAsia="Arial" w:hAnsi="Arial"/>
          <w:sz w:val="16"/>
          <w:szCs w:val="16"/>
          <w:color w:val="auto"/>
        </w:rPr>
        <w:t>LESLIE A. MURPHY</w:t>
      </w:r>
    </w:p>
    <w:p>
      <w:pPr>
        <w:spacing w:after="0" w:line="64"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64 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20"/>
          </w:cols>
          <w:pgMar w:left="320" w:top="471" w:right="6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2023 Executive Compensation Tables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Summary Compensation Table 2023</w:t>
      </w: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0A9E50"/>
              </w:rPr>
              <w:t>Change in</w:t>
            </w:r>
          </w:p>
        </w:tc>
        <w:tc>
          <w:tcPr>
            <w:tcW w:w="1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9"/>
              </w:rPr>
              <w:t>Pension</w:t>
            </w:r>
          </w:p>
        </w:tc>
        <w:tc>
          <w:tcPr>
            <w:tcW w:w="1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6"/>
              </w:rPr>
              <w:t>Value and</w:t>
            </w:r>
          </w:p>
        </w:tc>
        <w:tc>
          <w:tcPr>
            <w:tcW w:w="1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9"/>
              </w:rPr>
              <w:t>Nonqualified</w:t>
            </w:r>
          </w:p>
        </w:tc>
        <w:tc>
          <w:tcPr>
            <w:tcW w:w="1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9"/>
              </w:rPr>
              <w:t>Non-Equity</w:t>
            </w: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7"/>
              </w:rPr>
              <w:t>Deferred</w:t>
            </w:r>
          </w:p>
        </w:tc>
        <w:tc>
          <w:tcPr>
            <w:tcW w:w="1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vMerge w:val="restart"/>
          </w:tcPr>
          <w:p>
            <w:pPr>
              <w:ind w:left="40"/>
              <w:spacing w:after="0"/>
              <w:rPr>
                <w:sz w:val="20"/>
                <w:szCs w:val="20"/>
                <w:color w:val="auto"/>
              </w:rPr>
            </w:pPr>
            <w:r>
              <w:rPr>
                <w:rFonts w:ascii="Arial" w:cs="Arial" w:eastAsia="Arial" w:hAnsi="Arial"/>
                <w:sz w:val="14"/>
                <w:szCs w:val="14"/>
                <w:b w:val="1"/>
                <w:bCs w:val="1"/>
                <w:color w:val="0A9E50"/>
                <w:w w:val="95"/>
              </w:rPr>
              <w:t>Salary</w:t>
            </w:r>
            <w:r>
              <w:rPr>
                <w:rFonts w:ascii="Arial" w:cs="Arial" w:eastAsia="Arial" w:hAnsi="Arial"/>
                <w:sz w:val="20"/>
                <w:szCs w:val="20"/>
                <w:b w:val="1"/>
                <w:bCs w:val="1"/>
                <w:color w:val="0A9E50"/>
                <w:w w:val="95"/>
                <w:vertAlign w:val="superscript"/>
              </w:rPr>
              <w:t>(1)</w:t>
            </w:r>
          </w:p>
        </w:tc>
        <w:tc>
          <w:tcPr>
            <w:tcW w:w="520" w:type="dxa"/>
            <w:vAlign w:val="bottom"/>
          </w:tcPr>
          <w:p>
            <w:pPr>
              <w:spacing w:after="0"/>
              <w:rPr>
                <w:sz w:val="13"/>
                <w:szCs w:val="13"/>
                <w:color w:val="auto"/>
              </w:rPr>
            </w:pPr>
          </w:p>
        </w:tc>
        <w:tc>
          <w:tcPr>
            <w:tcW w:w="840" w:type="dxa"/>
            <w:vAlign w:val="bottom"/>
          </w:tcPr>
          <w:p>
            <w:pPr>
              <w:ind w:left="260"/>
              <w:spacing w:after="0" w:line="156" w:lineRule="exact"/>
              <w:rPr>
                <w:sz w:val="20"/>
                <w:szCs w:val="20"/>
                <w:color w:val="auto"/>
              </w:rPr>
            </w:pPr>
            <w:r>
              <w:rPr>
                <w:rFonts w:ascii="Arial" w:cs="Arial" w:eastAsia="Arial" w:hAnsi="Arial"/>
                <w:sz w:val="14"/>
                <w:szCs w:val="14"/>
                <w:b w:val="1"/>
                <w:bCs w:val="1"/>
                <w:color w:val="0A9E50"/>
              </w:rPr>
              <w:t>Stock</w:t>
            </w:r>
          </w:p>
        </w:tc>
        <w:tc>
          <w:tcPr>
            <w:tcW w:w="620" w:type="dxa"/>
            <w:vAlign w:val="bottom"/>
          </w:tcPr>
          <w:p>
            <w:pPr>
              <w:ind w:left="100"/>
              <w:spacing w:after="0" w:line="156" w:lineRule="exact"/>
              <w:rPr>
                <w:sz w:val="20"/>
                <w:szCs w:val="20"/>
                <w:color w:val="auto"/>
              </w:rPr>
            </w:pPr>
            <w:r>
              <w:rPr>
                <w:rFonts w:ascii="Arial" w:cs="Arial" w:eastAsia="Arial" w:hAnsi="Arial"/>
                <w:sz w:val="14"/>
                <w:szCs w:val="14"/>
                <w:b w:val="1"/>
                <w:bCs w:val="1"/>
                <w:color w:val="0A9E50"/>
              </w:rPr>
              <w:t>Option</w:t>
            </w: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9"/>
              </w:rPr>
              <w:t>Incentive Plan</w:t>
            </w: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8"/>
              </w:rPr>
              <w:t>Compensation</w:t>
            </w:r>
          </w:p>
        </w:tc>
        <w:tc>
          <w:tcPr>
            <w:tcW w:w="144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rPr>
              <w:t>All Other</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520" w:type="dxa"/>
            <w:vAlign w:val="bottom"/>
          </w:tcPr>
          <w:p>
            <w:pPr>
              <w:ind w:left="60"/>
              <w:spacing w:after="0" w:line="156" w:lineRule="exact"/>
              <w:rPr>
                <w:sz w:val="20"/>
                <w:szCs w:val="20"/>
                <w:color w:val="auto"/>
              </w:rPr>
            </w:pPr>
            <w:r>
              <w:rPr>
                <w:rFonts w:ascii="Arial" w:cs="Arial" w:eastAsia="Arial" w:hAnsi="Arial"/>
                <w:sz w:val="14"/>
                <w:szCs w:val="14"/>
                <w:b w:val="1"/>
                <w:bCs w:val="1"/>
                <w:color w:val="0A9E50"/>
              </w:rPr>
              <w:t>Bonus</w:t>
            </w:r>
          </w:p>
        </w:tc>
        <w:tc>
          <w:tcPr>
            <w:tcW w:w="2520" w:type="dxa"/>
            <w:vAlign w:val="bottom"/>
            <w:gridSpan w:val="3"/>
          </w:tcPr>
          <w:p>
            <w:pPr>
              <w:ind w:left="60"/>
              <w:spacing w:after="0" w:line="157" w:lineRule="exact"/>
              <w:rPr>
                <w:sz w:val="20"/>
                <w:szCs w:val="20"/>
                <w:color w:val="auto"/>
              </w:rPr>
            </w:pPr>
            <w:r>
              <w:rPr>
                <w:rFonts w:ascii="Arial" w:cs="Arial" w:eastAsia="Arial" w:hAnsi="Arial"/>
                <w:sz w:val="13"/>
                <w:szCs w:val="13"/>
                <w:b w:val="1"/>
                <w:bCs w:val="1"/>
                <w:color w:val="0A9E50"/>
              </w:rPr>
              <w:t>Awards</w:t>
            </w:r>
            <w:r>
              <w:rPr>
                <w:rFonts w:ascii="Arial" w:cs="Arial" w:eastAsia="Arial" w:hAnsi="Arial"/>
                <w:sz w:val="18"/>
                <w:szCs w:val="18"/>
                <w:b w:val="1"/>
                <w:bCs w:val="1"/>
                <w:color w:val="0A9E50"/>
                <w:vertAlign w:val="superscript"/>
              </w:rPr>
              <w:t>(2),(3)</w:t>
            </w:r>
            <w:r>
              <w:rPr>
                <w:rFonts w:ascii="Arial" w:cs="Arial" w:eastAsia="Arial" w:hAnsi="Arial"/>
                <w:sz w:val="13"/>
                <w:szCs w:val="13"/>
                <w:b w:val="1"/>
                <w:bCs w:val="1"/>
                <w:color w:val="0A9E50"/>
              </w:rPr>
              <w:t xml:space="preserve">  Awards Compensation</w:t>
            </w: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rPr>
              <w:t>Earnings</w:t>
            </w:r>
          </w:p>
        </w:tc>
        <w:tc>
          <w:tcPr>
            <w:tcW w:w="1440" w:type="dxa"/>
            <w:vAlign w:val="bottom"/>
          </w:tcPr>
          <w:p>
            <w:pPr>
              <w:jc w:val="center"/>
              <w:spacing w:after="0" w:line="157" w:lineRule="exact"/>
              <w:rPr>
                <w:sz w:val="20"/>
                <w:szCs w:val="20"/>
                <w:color w:val="auto"/>
              </w:rPr>
            </w:pPr>
            <w:r>
              <w:rPr>
                <w:rFonts w:ascii="Arial" w:cs="Arial" w:eastAsia="Arial" w:hAnsi="Arial"/>
                <w:sz w:val="13"/>
                <w:szCs w:val="13"/>
                <w:b w:val="1"/>
                <w:bCs w:val="1"/>
                <w:color w:val="0A9E50"/>
              </w:rPr>
              <w:t>Compensation</w:t>
            </w:r>
            <w:r>
              <w:rPr>
                <w:rFonts w:ascii="Arial" w:cs="Arial" w:eastAsia="Arial" w:hAnsi="Arial"/>
                <w:sz w:val="18"/>
                <w:szCs w:val="18"/>
                <w:b w:val="1"/>
                <w:bCs w:val="1"/>
                <w:color w:val="0A9E50"/>
                <w:vertAlign w:val="superscript"/>
              </w:rPr>
              <w:t>(4)(5)(6)</w:t>
            </w:r>
          </w:p>
        </w:tc>
        <w:tc>
          <w:tcPr>
            <w:tcW w:w="680" w:type="dxa"/>
            <w:vAlign w:val="bottom"/>
          </w:tcPr>
          <w:p>
            <w:pPr>
              <w:ind w:left="200"/>
              <w:spacing w:after="0" w:line="156" w:lineRule="exact"/>
              <w:rPr>
                <w:sz w:val="20"/>
                <w:szCs w:val="20"/>
                <w:color w:val="auto"/>
              </w:rPr>
            </w:pPr>
            <w:r>
              <w:rPr>
                <w:rFonts w:ascii="Arial" w:cs="Arial" w:eastAsia="Arial" w:hAnsi="Arial"/>
                <w:sz w:val="14"/>
                <w:szCs w:val="14"/>
                <w:b w:val="1"/>
                <w:bCs w:val="1"/>
                <w:color w:val="0A9E50"/>
              </w:rPr>
              <w:t>Total</w:t>
            </w:r>
          </w:p>
        </w:tc>
        <w:tc>
          <w:tcPr>
            <w:tcW w:w="0" w:type="dxa"/>
            <w:vAlign w:val="bottom"/>
          </w:tcPr>
          <w:p>
            <w:pPr>
              <w:spacing w:after="0"/>
              <w:rPr>
                <w:sz w:val="1"/>
                <w:szCs w:val="1"/>
                <w:color w:val="auto"/>
              </w:rPr>
            </w:pPr>
          </w:p>
        </w:tc>
      </w:tr>
      <w:tr>
        <w:trPr>
          <w:trHeight w:val="205"/>
        </w:trPr>
        <w:tc>
          <w:tcPr>
            <w:tcW w:w="2660" w:type="dxa"/>
            <w:vAlign w:val="bottom"/>
          </w:tcPr>
          <w:p>
            <w:pPr>
              <w:spacing w:after="0"/>
              <w:rPr>
                <w:sz w:val="20"/>
                <w:szCs w:val="20"/>
                <w:color w:val="auto"/>
              </w:rPr>
            </w:pPr>
            <w:r>
              <w:rPr>
                <w:rFonts w:ascii="Arial" w:cs="Arial" w:eastAsia="Arial" w:hAnsi="Arial"/>
                <w:sz w:val="14"/>
                <w:szCs w:val="14"/>
                <w:b w:val="1"/>
                <w:bCs w:val="1"/>
                <w:color w:val="0A9E50"/>
              </w:rPr>
              <w:t>Name and Principal Position</w:t>
            </w:r>
          </w:p>
        </w:tc>
        <w:tc>
          <w:tcPr>
            <w:tcW w:w="1120" w:type="dxa"/>
            <w:vAlign w:val="bottom"/>
          </w:tcPr>
          <w:p>
            <w:pPr>
              <w:ind w:left="780"/>
              <w:spacing w:after="0"/>
              <w:rPr>
                <w:sz w:val="20"/>
                <w:szCs w:val="20"/>
                <w:color w:val="auto"/>
              </w:rPr>
            </w:pPr>
            <w:r>
              <w:rPr>
                <w:rFonts w:ascii="Arial" w:cs="Arial" w:eastAsia="Arial" w:hAnsi="Arial"/>
                <w:sz w:val="14"/>
                <w:szCs w:val="14"/>
                <w:b w:val="1"/>
                <w:bCs w:val="1"/>
                <w:color w:val="0A9E50"/>
              </w:rPr>
              <w:t>Year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0A9E50"/>
              </w:rPr>
              <w:t>($)</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0A9E50"/>
              </w:rPr>
              <w: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0A9E50"/>
                <w:w w:val="93"/>
              </w:rPr>
              <w: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0A9E50"/>
              </w:rPr>
              <w: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0A9E50"/>
              </w:rPr>
              <w: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0A9E50"/>
                <w:w w:val="93"/>
              </w:rPr>
              <w: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0A9E50"/>
                <w:w w:val="93"/>
              </w:rPr>
              <w: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A9E50"/>
                <w:w w:val="93"/>
              </w:rPr>
              <w:t>($)</w:t>
            </w:r>
          </w:p>
        </w:tc>
        <w:tc>
          <w:tcPr>
            <w:tcW w:w="0" w:type="dxa"/>
            <w:vAlign w:val="bottom"/>
          </w:tcPr>
          <w:p>
            <w:pPr>
              <w:spacing w:after="0"/>
              <w:rPr>
                <w:sz w:val="1"/>
                <w:szCs w:val="1"/>
                <w:color w:val="auto"/>
              </w:rPr>
            </w:pPr>
          </w:p>
        </w:tc>
      </w:tr>
      <w:tr>
        <w:trPr>
          <w:trHeight w:val="39"/>
        </w:trPr>
        <w:tc>
          <w:tcPr>
            <w:tcW w:w="2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660" w:type="dxa"/>
            <w:vAlign w:val="bottom"/>
          </w:tcPr>
          <w:p>
            <w:pPr>
              <w:ind w:left="60"/>
              <w:spacing w:after="0"/>
              <w:rPr>
                <w:sz w:val="20"/>
                <w:szCs w:val="20"/>
                <w:color w:val="auto"/>
              </w:rPr>
            </w:pPr>
            <w:r>
              <w:rPr>
                <w:rFonts w:ascii="Arial" w:cs="Arial" w:eastAsia="Arial" w:hAnsi="Arial"/>
                <w:sz w:val="14"/>
                <w:szCs w:val="14"/>
                <w:color w:val="auto"/>
              </w:rPr>
              <w:t>Peter W. Quigley</w:t>
            </w:r>
          </w:p>
        </w:tc>
        <w:tc>
          <w:tcPr>
            <w:tcW w:w="1120" w:type="dxa"/>
            <w:vAlign w:val="bottom"/>
          </w:tcPr>
          <w:p>
            <w:pPr>
              <w:ind w:left="780"/>
              <w:spacing w:after="0"/>
              <w:rPr>
                <w:sz w:val="20"/>
                <w:szCs w:val="20"/>
                <w:color w:val="auto"/>
              </w:rPr>
            </w:pPr>
            <w:r>
              <w:rPr>
                <w:rFonts w:ascii="Arial" w:cs="Arial" w:eastAsia="Arial" w:hAnsi="Arial"/>
                <w:sz w:val="14"/>
                <w:szCs w:val="14"/>
                <w:color w:val="auto"/>
              </w:rPr>
              <w:t>2023</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900,000</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2,160,522</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1,015,200</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87,702</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4,163,424</w:t>
            </w:r>
          </w:p>
        </w:tc>
        <w:tc>
          <w:tcPr>
            <w:tcW w:w="0" w:type="dxa"/>
            <w:vAlign w:val="bottom"/>
          </w:tcPr>
          <w:p>
            <w:pPr>
              <w:spacing w:after="0"/>
              <w:rPr>
                <w:sz w:val="1"/>
                <w:szCs w:val="1"/>
                <w:color w:val="auto"/>
              </w:rPr>
            </w:pPr>
          </w:p>
        </w:tc>
      </w:tr>
      <w:tr>
        <w:trPr>
          <w:trHeight w:val="182"/>
        </w:trPr>
        <w:tc>
          <w:tcPr>
            <w:tcW w:w="2660" w:type="dxa"/>
            <w:vAlign w:val="bottom"/>
          </w:tcPr>
          <w:p>
            <w:pPr>
              <w:ind w:left="60"/>
              <w:spacing w:after="0"/>
              <w:rPr>
                <w:sz w:val="20"/>
                <w:szCs w:val="20"/>
                <w:color w:val="auto"/>
              </w:rPr>
            </w:pPr>
            <w:r>
              <w:rPr>
                <w:rFonts w:ascii="Arial" w:cs="Arial" w:eastAsia="Arial" w:hAnsi="Arial"/>
                <w:sz w:val="14"/>
                <w:szCs w:val="14"/>
                <w:color w:val="auto"/>
              </w:rPr>
              <w:t>President and Chief</w:t>
            </w:r>
          </w:p>
        </w:tc>
        <w:tc>
          <w:tcPr>
            <w:tcW w:w="1120" w:type="dxa"/>
            <w:vAlign w:val="bottom"/>
          </w:tcPr>
          <w:p>
            <w:pPr>
              <w:ind w:left="780"/>
              <w:spacing w:after="0"/>
              <w:rPr>
                <w:sz w:val="20"/>
                <w:szCs w:val="20"/>
                <w:color w:val="auto"/>
              </w:rPr>
            </w:pPr>
            <w:r>
              <w:rPr>
                <w:rFonts w:ascii="Arial" w:cs="Arial" w:eastAsia="Arial" w:hAnsi="Arial"/>
                <w:sz w:val="14"/>
                <w:szCs w:val="14"/>
                <w:color w:val="auto"/>
              </w:rPr>
              <w:t>2022</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884,077</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1,811,085</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777,988</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62,131</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3,535,281</w:t>
            </w:r>
          </w:p>
        </w:tc>
        <w:tc>
          <w:tcPr>
            <w:tcW w:w="0" w:type="dxa"/>
            <w:vAlign w:val="bottom"/>
          </w:tcPr>
          <w:p>
            <w:pPr>
              <w:spacing w:after="0"/>
              <w:rPr>
                <w:sz w:val="1"/>
                <w:szCs w:val="1"/>
                <w:color w:val="auto"/>
              </w:rPr>
            </w:pPr>
          </w:p>
        </w:tc>
      </w:tr>
      <w:tr>
        <w:trPr>
          <w:trHeight w:val="184"/>
        </w:trPr>
        <w:tc>
          <w:tcPr>
            <w:tcW w:w="2660" w:type="dxa"/>
            <w:vAlign w:val="bottom"/>
          </w:tcPr>
          <w:p>
            <w:pPr>
              <w:ind w:left="60"/>
              <w:spacing w:after="0"/>
              <w:rPr>
                <w:sz w:val="20"/>
                <w:szCs w:val="20"/>
                <w:color w:val="auto"/>
              </w:rPr>
            </w:pPr>
            <w:r>
              <w:rPr>
                <w:rFonts w:ascii="Arial" w:cs="Arial" w:eastAsia="Arial" w:hAnsi="Arial"/>
                <w:sz w:val="14"/>
                <w:szCs w:val="14"/>
                <w:color w:val="auto"/>
              </w:rPr>
              <w:t>Executive Officer</w:t>
            </w:r>
          </w:p>
        </w:tc>
        <w:tc>
          <w:tcPr>
            <w:tcW w:w="1120" w:type="dxa"/>
            <w:vAlign w:val="bottom"/>
          </w:tcPr>
          <w:p>
            <w:pPr>
              <w:ind w:left="780"/>
              <w:spacing w:after="0"/>
              <w:rPr>
                <w:sz w:val="20"/>
                <w:szCs w:val="20"/>
                <w:color w:val="auto"/>
              </w:rPr>
            </w:pPr>
            <w:r>
              <w:rPr>
                <w:rFonts w:ascii="Arial" w:cs="Arial" w:eastAsia="Arial" w:hAnsi="Arial"/>
                <w:sz w:val="14"/>
                <w:szCs w:val="14"/>
                <w:color w:val="auto"/>
              </w:rPr>
              <w:t>2021</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840,000</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2,734,149</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320,628</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43,831</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3,938,608</w:t>
            </w:r>
          </w:p>
        </w:tc>
        <w:tc>
          <w:tcPr>
            <w:tcW w:w="0" w:type="dxa"/>
            <w:vAlign w:val="bottom"/>
          </w:tcPr>
          <w:p>
            <w:pPr>
              <w:spacing w:after="0"/>
              <w:rPr>
                <w:sz w:val="1"/>
                <w:szCs w:val="1"/>
                <w:color w:val="auto"/>
              </w:rPr>
            </w:pPr>
          </w:p>
        </w:tc>
      </w:tr>
      <w:tr>
        <w:trPr>
          <w:trHeight w:val="47"/>
        </w:trPr>
        <w:tc>
          <w:tcPr>
            <w:tcW w:w="266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4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60" w:type="dxa"/>
            <w:vAlign w:val="bottom"/>
          </w:tcPr>
          <w:p>
            <w:pPr>
              <w:ind w:left="60"/>
              <w:spacing w:after="0"/>
              <w:rPr>
                <w:sz w:val="20"/>
                <w:szCs w:val="20"/>
                <w:color w:val="auto"/>
              </w:rPr>
            </w:pPr>
            <w:r>
              <w:rPr>
                <w:rFonts w:ascii="Arial" w:cs="Arial" w:eastAsia="Arial" w:hAnsi="Arial"/>
                <w:sz w:val="14"/>
                <w:szCs w:val="14"/>
                <w:color w:val="auto"/>
              </w:rPr>
              <w:t>Olivier G. Thirot</w:t>
            </w:r>
          </w:p>
        </w:tc>
        <w:tc>
          <w:tcPr>
            <w:tcW w:w="1120" w:type="dxa"/>
            <w:vAlign w:val="bottom"/>
          </w:tcPr>
          <w:p>
            <w:pPr>
              <w:ind w:left="780"/>
              <w:spacing w:after="0"/>
              <w:rPr>
                <w:sz w:val="20"/>
                <w:szCs w:val="20"/>
                <w:color w:val="auto"/>
              </w:rPr>
            </w:pPr>
            <w:r>
              <w:rPr>
                <w:rFonts w:ascii="Arial" w:cs="Arial" w:eastAsia="Arial" w:hAnsi="Arial"/>
                <w:sz w:val="14"/>
                <w:szCs w:val="14"/>
                <w:color w:val="auto"/>
              </w:rPr>
              <w:t>2023</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667,200</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897,770</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533,093</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88,086</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2,186,148</w:t>
            </w:r>
          </w:p>
        </w:tc>
        <w:tc>
          <w:tcPr>
            <w:tcW w:w="0" w:type="dxa"/>
            <w:vAlign w:val="bottom"/>
          </w:tcPr>
          <w:p>
            <w:pPr>
              <w:spacing w:after="0"/>
              <w:rPr>
                <w:sz w:val="1"/>
                <w:szCs w:val="1"/>
                <w:color w:val="auto"/>
              </w:rPr>
            </w:pPr>
          </w:p>
        </w:tc>
      </w:tr>
      <w:tr>
        <w:trPr>
          <w:trHeight w:val="182"/>
        </w:trPr>
        <w:tc>
          <w:tcPr>
            <w:tcW w:w="2660" w:type="dxa"/>
            <w:vAlign w:val="bottom"/>
          </w:tcPr>
          <w:p>
            <w:pPr>
              <w:ind w:left="60"/>
              <w:spacing w:after="0"/>
              <w:rPr>
                <w:sz w:val="20"/>
                <w:szCs w:val="20"/>
                <w:color w:val="auto"/>
              </w:rPr>
            </w:pPr>
            <w:r>
              <w:rPr>
                <w:rFonts w:ascii="Arial" w:cs="Arial" w:eastAsia="Arial" w:hAnsi="Arial"/>
                <w:sz w:val="14"/>
                <w:szCs w:val="14"/>
                <w:color w:val="auto"/>
              </w:rPr>
              <w:t>Executive Vice President</w:t>
            </w:r>
          </w:p>
        </w:tc>
        <w:tc>
          <w:tcPr>
            <w:tcW w:w="1120" w:type="dxa"/>
            <w:vAlign w:val="bottom"/>
          </w:tcPr>
          <w:p>
            <w:pPr>
              <w:ind w:left="780"/>
              <w:spacing w:after="0"/>
              <w:rPr>
                <w:sz w:val="20"/>
                <w:szCs w:val="20"/>
                <w:color w:val="auto"/>
              </w:rPr>
            </w:pPr>
            <w:r>
              <w:rPr>
                <w:rFonts w:ascii="Arial" w:cs="Arial" w:eastAsia="Arial" w:hAnsi="Arial"/>
                <w:sz w:val="14"/>
                <w:szCs w:val="14"/>
                <w:color w:val="auto"/>
              </w:rPr>
              <w:t>2022</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620,583</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864,388</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443,300</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76,181</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2,004,451</w:t>
            </w:r>
          </w:p>
        </w:tc>
        <w:tc>
          <w:tcPr>
            <w:tcW w:w="0" w:type="dxa"/>
            <w:vAlign w:val="bottom"/>
          </w:tcPr>
          <w:p>
            <w:pPr>
              <w:spacing w:after="0"/>
              <w:rPr>
                <w:sz w:val="1"/>
                <w:szCs w:val="1"/>
                <w:color w:val="auto"/>
              </w:rPr>
            </w:pPr>
          </w:p>
        </w:tc>
      </w:tr>
      <w:tr>
        <w:trPr>
          <w:trHeight w:val="184"/>
        </w:trPr>
        <w:tc>
          <w:tcPr>
            <w:tcW w:w="2660" w:type="dxa"/>
            <w:vAlign w:val="bottom"/>
          </w:tcPr>
          <w:p>
            <w:pPr>
              <w:ind w:left="60"/>
              <w:spacing w:after="0"/>
              <w:rPr>
                <w:sz w:val="20"/>
                <w:szCs w:val="20"/>
                <w:color w:val="auto"/>
              </w:rPr>
            </w:pPr>
            <w:r>
              <w:rPr>
                <w:rFonts w:ascii="Arial" w:cs="Arial" w:eastAsia="Arial" w:hAnsi="Arial"/>
                <w:sz w:val="14"/>
                <w:szCs w:val="14"/>
                <w:color w:val="auto"/>
              </w:rPr>
              <w:t>and Chief Financial Officer</w:t>
            </w:r>
          </w:p>
        </w:tc>
        <w:tc>
          <w:tcPr>
            <w:tcW w:w="1120" w:type="dxa"/>
            <w:vAlign w:val="bottom"/>
          </w:tcPr>
          <w:p>
            <w:pPr>
              <w:ind w:left="780"/>
              <w:spacing w:after="0"/>
              <w:rPr>
                <w:sz w:val="20"/>
                <w:szCs w:val="20"/>
                <w:color w:val="auto"/>
              </w:rPr>
            </w:pPr>
            <w:r>
              <w:rPr>
                <w:rFonts w:ascii="Arial" w:cs="Arial" w:eastAsia="Arial" w:hAnsi="Arial"/>
                <w:sz w:val="14"/>
                <w:szCs w:val="14"/>
                <w:color w:val="auto"/>
              </w:rPr>
              <w:t>2021</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588,000</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1,732,281</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180,000</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45,225</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2,545,506</w:t>
            </w:r>
          </w:p>
        </w:tc>
        <w:tc>
          <w:tcPr>
            <w:tcW w:w="0" w:type="dxa"/>
            <w:vAlign w:val="bottom"/>
          </w:tcPr>
          <w:p>
            <w:pPr>
              <w:spacing w:after="0"/>
              <w:rPr>
                <w:sz w:val="1"/>
                <w:szCs w:val="1"/>
                <w:color w:val="auto"/>
              </w:rPr>
            </w:pPr>
          </w:p>
        </w:tc>
      </w:tr>
      <w:tr>
        <w:trPr>
          <w:trHeight w:val="47"/>
        </w:trPr>
        <w:tc>
          <w:tcPr>
            <w:tcW w:w="266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4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60" w:type="dxa"/>
            <w:vAlign w:val="bottom"/>
          </w:tcPr>
          <w:p>
            <w:pPr>
              <w:ind w:left="60"/>
              <w:spacing w:after="0"/>
              <w:rPr>
                <w:sz w:val="20"/>
                <w:szCs w:val="20"/>
                <w:color w:val="auto"/>
              </w:rPr>
            </w:pPr>
            <w:r>
              <w:rPr>
                <w:rFonts w:ascii="Arial" w:cs="Arial" w:eastAsia="Arial" w:hAnsi="Arial"/>
                <w:sz w:val="14"/>
                <w:szCs w:val="14"/>
                <w:color w:val="auto"/>
              </w:rPr>
              <w:t>Daniel H. Malan</w:t>
            </w:r>
          </w:p>
        </w:tc>
        <w:tc>
          <w:tcPr>
            <w:tcW w:w="1120" w:type="dxa"/>
            <w:vAlign w:val="bottom"/>
          </w:tcPr>
          <w:p>
            <w:pPr>
              <w:ind w:left="780"/>
              <w:spacing w:after="0"/>
              <w:rPr>
                <w:sz w:val="20"/>
                <w:szCs w:val="20"/>
                <w:color w:val="auto"/>
              </w:rPr>
            </w:pPr>
            <w:r>
              <w:rPr>
                <w:rFonts w:ascii="Arial" w:cs="Arial" w:eastAsia="Arial" w:hAnsi="Arial"/>
                <w:sz w:val="14"/>
                <w:szCs w:val="14"/>
                <w:color w:val="auto"/>
              </w:rPr>
              <w:t>2023</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443,000</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571,681</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244,000</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1,258,681</w:t>
            </w:r>
          </w:p>
        </w:tc>
        <w:tc>
          <w:tcPr>
            <w:tcW w:w="0" w:type="dxa"/>
            <w:vAlign w:val="bottom"/>
          </w:tcPr>
          <w:p>
            <w:pPr>
              <w:spacing w:after="0"/>
              <w:rPr>
                <w:sz w:val="1"/>
                <w:szCs w:val="1"/>
                <w:color w:val="auto"/>
              </w:rPr>
            </w:pPr>
          </w:p>
        </w:tc>
      </w:tr>
      <w:tr>
        <w:trPr>
          <w:trHeight w:val="182"/>
        </w:trPr>
        <w:tc>
          <w:tcPr>
            <w:tcW w:w="2660" w:type="dxa"/>
            <w:vAlign w:val="bottom"/>
          </w:tcPr>
          <w:p>
            <w:pPr>
              <w:ind w:left="60"/>
              <w:spacing w:after="0"/>
              <w:rPr>
                <w:sz w:val="20"/>
                <w:szCs w:val="20"/>
                <w:color w:val="auto"/>
              </w:rPr>
            </w:pPr>
            <w:r>
              <w:rPr>
                <w:rFonts w:ascii="Arial" w:cs="Arial" w:eastAsia="Arial" w:hAnsi="Arial"/>
                <w:sz w:val="14"/>
                <w:szCs w:val="14"/>
                <w:color w:val="auto"/>
              </w:rPr>
              <w:t>Senior Vice President and</w:t>
            </w:r>
          </w:p>
        </w:tc>
        <w:tc>
          <w:tcPr>
            <w:tcW w:w="1120" w:type="dxa"/>
            <w:vAlign w:val="bottom"/>
          </w:tcPr>
          <w:p>
            <w:pPr>
              <w:ind w:left="780"/>
              <w:spacing w:after="0"/>
              <w:rPr>
                <w:sz w:val="20"/>
                <w:szCs w:val="20"/>
                <w:color w:val="auto"/>
              </w:rPr>
            </w:pPr>
            <w:r>
              <w:rPr>
                <w:rFonts w:ascii="Arial" w:cs="Arial" w:eastAsia="Arial" w:hAnsi="Arial"/>
                <w:sz w:val="14"/>
                <w:szCs w:val="14"/>
                <w:color w:val="auto"/>
              </w:rPr>
              <w:t>2022</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82"/>
        </w:trPr>
        <w:tc>
          <w:tcPr>
            <w:tcW w:w="2660" w:type="dxa"/>
            <w:vAlign w:val="bottom"/>
          </w:tcPr>
          <w:p>
            <w:pPr>
              <w:ind w:left="60"/>
              <w:spacing w:after="0"/>
              <w:rPr>
                <w:sz w:val="20"/>
                <w:szCs w:val="20"/>
                <w:color w:val="auto"/>
              </w:rPr>
            </w:pPr>
            <w:r>
              <w:rPr>
                <w:rFonts w:ascii="Arial" w:cs="Arial" w:eastAsia="Arial" w:hAnsi="Arial"/>
                <w:sz w:val="14"/>
                <w:szCs w:val="14"/>
                <w:color w:val="auto"/>
              </w:rPr>
              <w:t>President Science,</w:t>
            </w:r>
          </w:p>
        </w:tc>
        <w:tc>
          <w:tcPr>
            <w:tcW w:w="1120" w:type="dxa"/>
            <w:vAlign w:val="bottom"/>
          </w:tcPr>
          <w:p>
            <w:pPr>
              <w:ind w:left="780"/>
              <w:spacing w:after="0"/>
              <w:rPr>
                <w:sz w:val="20"/>
                <w:szCs w:val="20"/>
                <w:color w:val="auto"/>
              </w:rPr>
            </w:pPr>
            <w:r>
              <w:rPr>
                <w:rFonts w:ascii="Arial" w:cs="Arial" w:eastAsia="Arial" w:hAnsi="Arial"/>
                <w:sz w:val="14"/>
                <w:szCs w:val="14"/>
                <w:color w:val="auto"/>
              </w:rPr>
              <w:t>2021</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84"/>
        </w:trPr>
        <w:tc>
          <w:tcPr>
            <w:tcW w:w="2660" w:type="dxa"/>
            <w:vAlign w:val="bottom"/>
          </w:tcPr>
          <w:p>
            <w:pPr>
              <w:ind w:left="60"/>
              <w:spacing w:after="0"/>
              <w:rPr>
                <w:sz w:val="20"/>
                <w:szCs w:val="20"/>
                <w:color w:val="auto"/>
              </w:rPr>
            </w:pPr>
            <w:r>
              <w:rPr>
                <w:rFonts w:ascii="Arial" w:cs="Arial" w:eastAsia="Arial" w:hAnsi="Arial"/>
                <w:sz w:val="14"/>
                <w:szCs w:val="14"/>
                <w:color w:val="auto"/>
              </w:rPr>
              <w:t>Engineering, &amp; Technology</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66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4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60" w:type="dxa"/>
            <w:vAlign w:val="bottom"/>
          </w:tcPr>
          <w:p>
            <w:pPr>
              <w:ind w:left="60"/>
              <w:spacing w:after="0"/>
              <w:rPr>
                <w:sz w:val="20"/>
                <w:szCs w:val="20"/>
                <w:color w:val="auto"/>
              </w:rPr>
            </w:pPr>
            <w:r>
              <w:rPr>
                <w:rFonts w:ascii="Arial" w:cs="Arial" w:eastAsia="Arial" w:hAnsi="Arial"/>
                <w:sz w:val="14"/>
                <w:szCs w:val="14"/>
                <w:color w:val="auto"/>
              </w:rPr>
              <w:t>Vanessa P. Williams</w:t>
            </w:r>
          </w:p>
        </w:tc>
        <w:tc>
          <w:tcPr>
            <w:tcW w:w="1120" w:type="dxa"/>
            <w:vAlign w:val="bottom"/>
          </w:tcPr>
          <w:p>
            <w:pPr>
              <w:ind w:left="780"/>
              <w:spacing w:after="0"/>
              <w:rPr>
                <w:sz w:val="20"/>
                <w:szCs w:val="20"/>
                <w:color w:val="auto"/>
              </w:rPr>
            </w:pPr>
            <w:r>
              <w:rPr>
                <w:rFonts w:ascii="Arial" w:cs="Arial" w:eastAsia="Arial" w:hAnsi="Arial"/>
                <w:sz w:val="14"/>
                <w:szCs w:val="14"/>
                <w:color w:val="auto"/>
              </w:rPr>
              <w:t>2023</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473,827</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400,835</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325,000</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26,122</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1,225,784</w:t>
            </w:r>
          </w:p>
        </w:tc>
        <w:tc>
          <w:tcPr>
            <w:tcW w:w="0" w:type="dxa"/>
            <w:vAlign w:val="bottom"/>
          </w:tcPr>
          <w:p>
            <w:pPr>
              <w:spacing w:after="0"/>
              <w:rPr>
                <w:sz w:val="1"/>
                <w:szCs w:val="1"/>
                <w:color w:val="auto"/>
              </w:rPr>
            </w:pPr>
          </w:p>
        </w:tc>
      </w:tr>
      <w:tr>
        <w:trPr>
          <w:trHeight w:val="182"/>
        </w:trPr>
        <w:tc>
          <w:tcPr>
            <w:tcW w:w="2660" w:type="dxa"/>
            <w:vAlign w:val="bottom"/>
          </w:tcPr>
          <w:p>
            <w:pPr>
              <w:ind w:left="60"/>
              <w:spacing w:after="0"/>
              <w:rPr>
                <w:sz w:val="20"/>
                <w:szCs w:val="20"/>
                <w:color w:val="auto"/>
              </w:rPr>
            </w:pPr>
            <w:r>
              <w:rPr>
                <w:rFonts w:ascii="Arial" w:cs="Arial" w:eastAsia="Arial" w:hAnsi="Arial"/>
                <w:sz w:val="14"/>
                <w:szCs w:val="14"/>
                <w:color w:val="auto"/>
              </w:rPr>
              <w:t>Senior Vice President and</w:t>
            </w:r>
          </w:p>
        </w:tc>
        <w:tc>
          <w:tcPr>
            <w:tcW w:w="1120" w:type="dxa"/>
            <w:vAlign w:val="bottom"/>
          </w:tcPr>
          <w:p>
            <w:pPr>
              <w:ind w:left="780"/>
              <w:spacing w:after="0"/>
              <w:rPr>
                <w:sz w:val="20"/>
                <w:szCs w:val="20"/>
                <w:color w:val="auto"/>
              </w:rPr>
            </w:pPr>
            <w:r>
              <w:rPr>
                <w:rFonts w:ascii="Arial" w:cs="Arial" w:eastAsia="Arial" w:hAnsi="Arial"/>
                <w:sz w:val="14"/>
                <w:szCs w:val="14"/>
                <w:color w:val="auto"/>
              </w:rPr>
              <w:t>2022</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413,115</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405,706</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225,600</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20,666</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1,065,088</w:t>
            </w:r>
          </w:p>
        </w:tc>
        <w:tc>
          <w:tcPr>
            <w:tcW w:w="0" w:type="dxa"/>
            <w:vAlign w:val="bottom"/>
          </w:tcPr>
          <w:p>
            <w:pPr>
              <w:spacing w:after="0"/>
              <w:rPr>
                <w:sz w:val="1"/>
                <w:szCs w:val="1"/>
                <w:color w:val="auto"/>
              </w:rPr>
            </w:pPr>
          </w:p>
        </w:tc>
      </w:tr>
      <w:tr>
        <w:trPr>
          <w:trHeight w:val="184"/>
        </w:trPr>
        <w:tc>
          <w:tcPr>
            <w:tcW w:w="2660" w:type="dxa"/>
            <w:vAlign w:val="bottom"/>
          </w:tcPr>
          <w:p>
            <w:pPr>
              <w:ind w:left="60"/>
              <w:spacing w:after="0"/>
              <w:rPr>
                <w:sz w:val="20"/>
                <w:szCs w:val="20"/>
                <w:color w:val="auto"/>
              </w:rPr>
            </w:pPr>
            <w:r>
              <w:rPr>
                <w:rFonts w:ascii="Arial" w:cs="Arial" w:eastAsia="Arial" w:hAnsi="Arial"/>
                <w:sz w:val="14"/>
                <w:szCs w:val="14"/>
                <w:color w:val="auto"/>
              </w:rPr>
              <w:t>General Counsel</w:t>
            </w:r>
          </w:p>
        </w:tc>
        <w:tc>
          <w:tcPr>
            <w:tcW w:w="1120" w:type="dxa"/>
            <w:vAlign w:val="bottom"/>
          </w:tcPr>
          <w:p>
            <w:pPr>
              <w:ind w:left="780"/>
              <w:spacing w:after="0"/>
              <w:rPr>
                <w:sz w:val="20"/>
                <w:szCs w:val="20"/>
                <w:color w:val="auto"/>
              </w:rPr>
            </w:pPr>
            <w:r>
              <w:rPr>
                <w:rFonts w:ascii="Arial" w:cs="Arial" w:eastAsia="Arial" w:hAnsi="Arial"/>
                <w:sz w:val="14"/>
                <w:szCs w:val="14"/>
                <w:color w:val="auto"/>
              </w:rPr>
              <w:t>2021</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47"/>
        </w:trPr>
        <w:tc>
          <w:tcPr>
            <w:tcW w:w="266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4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60" w:type="dxa"/>
            <w:vAlign w:val="bottom"/>
          </w:tcPr>
          <w:p>
            <w:pPr>
              <w:ind w:left="60"/>
              <w:spacing w:after="0"/>
              <w:rPr>
                <w:sz w:val="20"/>
                <w:szCs w:val="20"/>
                <w:color w:val="auto"/>
              </w:rPr>
            </w:pPr>
            <w:r>
              <w:rPr>
                <w:rFonts w:ascii="Arial" w:cs="Arial" w:eastAsia="Arial" w:hAnsi="Arial"/>
                <w:sz w:val="14"/>
                <w:szCs w:val="14"/>
                <w:color w:val="auto"/>
              </w:rPr>
              <w:t>Dinette Koolhaas</w:t>
            </w:r>
          </w:p>
        </w:tc>
        <w:tc>
          <w:tcPr>
            <w:tcW w:w="1120" w:type="dxa"/>
            <w:vAlign w:val="bottom"/>
          </w:tcPr>
          <w:p>
            <w:pPr>
              <w:ind w:left="780"/>
              <w:spacing w:after="0"/>
              <w:rPr>
                <w:sz w:val="20"/>
                <w:szCs w:val="20"/>
                <w:color w:val="auto"/>
              </w:rPr>
            </w:pPr>
            <w:r>
              <w:rPr>
                <w:rFonts w:ascii="Arial" w:cs="Arial" w:eastAsia="Arial" w:hAnsi="Arial"/>
                <w:sz w:val="14"/>
                <w:szCs w:val="14"/>
                <w:color w:val="auto"/>
              </w:rPr>
              <w:t>2023</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557,668</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350,178</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50,020</w:t>
            </w:r>
          </w:p>
        </w:tc>
        <w:tc>
          <w:tcPr>
            <w:tcW w:w="680" w:type="dxa"/>
            <w:vAlign w:val="bottom"/>
          </w:tcPr>
          <w:p>
            <w:pPr>
              <w:jc w:val="center"/>
              <w:spacing w:after="0"/>
              <w:rPr>
                <w:sz w:val="20"/>
                <w:szCs w:val="20"/>
                <w:color w:val="auto"/>
              </w:rPr>
            </w:pPr>
            <w:r>
              <w:rPr>
                <w:rFonts w:ascii="Arial" w:cs="Arial" w:eastAsia="Arial" w:hAnsi="Arial"/>
                <w:sz w:val="14"/>
                <w:szCs w:val="14"/>
                <w:color w:val="auto"/>
              </w:rPr>
              <w:t>957,866</w:t>
            </w:r>
          </w:p>
        </w:tc>
        <w:tc>
          <w:tcPr>
            <w:tcW w:w="0" w:type="dxa"/>
            <w:vAlign w:val="bottom"/>
          </w:tcPr>
          <w:p>
            <w:pPr>
              <w:spacing w:after="0"/>
              <w:rPr>
                <w:sz w:val="1"/>
                <w:szCs w:val="1"/>
                <w:color w:val="auto"/>
              </w:rPr>
            </w:pPr>
          </w:p>
        </w:tc>
      </w:tr>
      <w:tr>
        <w:trPr>
          <w:trHeight w:val="182"/>
        </w:trPr>
        <w:tc>
          <w:tcPr>
            <w:tcW w:w="2660" w:type="dxa"/>
            <w:vAlign w:val="bottom"/>
          </w:tcPr>
          <w:p>
            <w:pPr>
              <w:ind w:left="60"/>
              <w:spacing w:after="0"/>
              <w:rPr>
                <w:sz w:val="20"/>
                <w:szCs w:val="20"/>
                <w:color w:val="auto"/>
              </w:rPr>
            </w:pPr>
            <w:r>
              <w:rPr>
                <w:rFonts w:ascii="Arial" w:cs="Arial" w:eastAsia="Arial" w:hAnsi="Arial"/>
                <w:sz w:val="14"/>
                <w:szCs w:val="14"/>
                <w:color w:val="auto"/>
              </w:rPr>
              <w:t>Senior Vice President and</w:t>
            </w:r>
          </w:p>
        </w:tc>
        <w:tc>
          <w:tcPr>
            <w:tcW w:w="1120" w:type="dxa"/>
            <w:vAlign w:val="bottom"/>
          </w:tcPr>
          <w:p>
            <w:pPr>
              <w:ind w:left="780"/>
              <w:spacing w:after="0"/>
              <w:rPr>
                <w:sz w:val="20"/>
                <w:szCs w:val="20"/>
                <w:color w:val="auto"/>
              </w:rPr>
            </w:pPr>
            <w:r>
              <w:rPr>
                <w:rFonts w:ascii="Arial" w:cs="Arial" w:eastAsia="Arial" w:hAnsi="Arial"/>
                <w:sz w:val="14"/>
                <w:szCs w:val="14"/>
                <w:color w:val="auto"/>
              </w:rPr>
              <w:t>2022</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521,865</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368,498</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318,900</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32,859</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1,242,122</w:t>
            </w:r>
          </w:p>
        </w:tc>
        <w:tc>
          <w:tcPr>
            <w:tcW w:w="0" w:type="dxa"/>
            <w:vAlign w:val="bottom"/>
          </w:tcPr>
          <w:p>
            <w:pPr>
              <w:spacing w:after="0"/>
              <w:rPr>
                <w:sz w:val="1"/>
                <w:szCs w:val="1"/>
                <w:color w:val="auto"/>
              </w:rPr>
            </w:pPr>
          </w:p>
        </w:tc>
      </w:tr>
      <w:tr>
        <w:trPr>
          <w:trHeight w:val="184"/>
        </w:trPr>
        <w:tc>
          <w:tcPr>
            <w:tcW w:w="2660" w:type="dxa"/>
            <w:vAlign w:val="bottom"/>
          </w:tcPr>
          <w:p>
            <w:pPr>
              <w:ind w:left="60"/>
              <w:spacing w:after="0"/>
              <w:rPr>
                <w:sz w:val="20"/>
                <w:szCs w:val="20"/>
                <w:color w:val="auto"/>
              </w:rPr>
            </w:pPr>
            <w:r>
              <w:rPr>
                <w:rFonts w:ascii="Arial" w:cs="Arial" w:eastAsia="Arial" w:hAnsi="Arial"/>
                <w:sz w:val="14"/>
                <w:szCs w:val="14"/>
                <w:color w:val="auto"/>
              </w:rPr>
              <w:t>President International</w:t>
            </w:r>
          </w:p>
        </w:tc>
        <w:tc>
          <w:tcPr>
            <w:tcW w:w="1120" w:type="dxa"/>
            <w:vAlign w:val="bottom"/>
          </w:tcPr>
          <w:p>
            <w:pPr>
              <w:ind w:left="780"/>
              <w:spacing w:after="0"/>
              <w:rPr>
                <w:sz w:val="20"/>
                <w:szCs w:val="20"/>
                <w:color w:val="auto"/>
              </w:rPr>
            </w:pPr>
            <w:r>
              <w:rPr>
                <w:rFonts w:ascii="Arial" w:cs="Arial" w:eastAsia="Arial" w:hAnsi="Arial"/>
                <w:sz w:val="14"/>
                <w:szCs w:val="14"/>
                <w:color w:val="auto"/>
              </w:rPr>
              <w:t>2021</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535,240</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505,786</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198,000</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34,138</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1,273,163</w:t>
            </w:r>
          </w:p>
        </w:tc>
        <w:tc>
          <w:tcPr>
            <w:tcW w:w="0" w:type="dxa"/>
            <w:vAlign w:val="bottom"/>
          </w:tcPr>
          <w:p>
            <w:pPr>
              <w:spacing w:after="0"/>
              <w:rPr>
                <w:sz w:val="1"/>
                <w:szCs w:val="1"/>
                <w:color w:val="auto"/>
              </w:rPr>
            </w:pPr>
          </w:p>
        </w:tc>
      </w:tr>
      <w:tr>
        <w:trPr>
          <w:trHeight w:val="47"/>
        </w:trPr>
        <w:tc>
          <w:tcPr>
            <w:tcW w:w="266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4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20" w:hanging="304"/>
        <w:spacing w:after="0"/>
        <w:tabs>
          <w:tab w:leader="none" w:pos="6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Represents 2023, 2022, and 2021 actual base salary earnings. Ms. Williams was not a named executive officer in 2021 and Mr. Malan was not a named executive officer in 2022 or 2021.</w:t>
      </w:r>
    </w:p>
    <w:p>
      <w:pPr>
        <w:spacing w:after="0" w:line="70" w:lineRule="exact"/>
        <w:rPr>
          <w:rFonts w:ascii="Arial" w:cs="Arial" w:eastAsia="Arial" w:hAnsi="Arial"/>
          <w:sz w:val="12"/>
          <w:szCs w:val="12"/>
          <w:color w:val="auto"/>
        </w:rPr>
      </w:pPr>
    </w:p>
    <w:p>
      <w:pPr>
        <w:ind w:left="620" w:right="20" w:hanging="304"/>
        <w:spacing w:after="0" w:line="239" w:lineRule="auto"/>
        <w:tabs>
          <w:tab w:leader="none" w:pos="6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grant date fair values reported for 2023 are determined by multiplying the number of shares granted by the Market Value (“MV”) on the grant date. MV for Restricted Stock is determined by the closing price on the date of grant. MV for Performance Shares is determined by the closing stock price on the date of grant, discounted because these shares are not eligible for dividends. The MV for the Restricted Stock granted to Mr. Malan on February 14, 2023 is $17.93 and to all named officers on March 21, 2023 is $16.03. The MV for Performance Shares granted to all named officers on March 21, 2023 is $15.18.</w:t>
      </w:r>
    </w:p>
    <w:p>
      <w:pPr>
        <w:spacing w:after="0" w:line="48" w:lineRule="exact"/>
        <w:rPr>
          <w:rFonts w:ascii="Arial" w:cs="Arial" w:eastAsia="Arial" w:hAnsi="Arial"/>
          <w:sz w:val="12"/>
          <w:szCs w:val="12"/>
          <w:color w:val="auto"/>
        </w:rPr>
      </w:pPr>
    </w:p>
    <w:p>
      <w:pPr>
        <w:ind w:left="620" w:right="20" w:hanging="304"/>
        <w:spacing w:after="0" w:line="264" w:lineRule="auto"/>
        <w:tabs>
          <w:tab w:leader="none" w:pos="6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maximum number of shares and award value for Performance Share awards for the 2023-2025 performance period is 200% of target shares granted. The table below shows the maximum number of shares and value for Performance Share awards based on achievement of financial measures using the values of $15.18 for shares granted March 21, 2023.</w:t>
      </w:r>
    </w:p>
    <w:p>
      <w:pPr>
        <w:spacing w:after="0" w:line="194"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160" w:type="dxa"/>
            <w:vAlign w:val="bottom"/>
          </w:tcPr>
          <w:p>
            <w:pPr>
              <w:jc w:val="right"/>
              <w:ind w:right="411"/>
              <w:spacing w:after="0"/>
              <w:rPr>
                <w:sz w:val="20"/>
                <w:szCs w:val="20"/>
                <w:color w:val="auto"/>
              </w:rPr>
            </w:pPr>
            <w:r>
              <w:rPr>
                <w:rFonts w:ascii="Arial" w:cs="Arial" w:eastAsia="Arial" w:hAnsi="Arial"/>
                <w:sz w:val="14"/>
                <w:szCs w:val="14"/>
                <w:b w:val="1"/>
                <w:bCs w:val="1"/>
                <w:color w:val="0A9E50"/>
              </w:rPr>
              <w:t>Maximum Number of</w:t>
            </w:r>
          </w:p>
        </w:tc>
        <w:tc>
          <w:tcPr>
            <w:tcW w:w="2340" w:type="dxa"/>
            <w:vAlign w:val="bottom"/>
          </w:tcPr>
          <w:p>
            <w:pPr>
              <w:jc w:val="right"/>
              <w:ind w:right="511"/>
              <w:spacing w:after="0"/>
              <w:rPr>
                <w:sz w:val="20"/>
                <w:szCs w:val="20"/>
                <w:color w:val="auto"/>
              </w:rPr>
            </w:pPr>
            <w:r>
              <w:rPr>
                <w:rFonts w:ascii="Arial" w:cs="Arial" w:eastAsia="Arial" w:hAnsi="Arial"/>
                <w:sz w:val="14"/>
                <w:szCs w:val="14"/>
                <w:b w:val="1"/>
                <w:bCs w:val="1"/>
                <w:color w:val="0A9E50"/>
              </w:rPr>
              <w:t>Maximum Value of</w:t>
            </w:r>
          </w:p>
        </w:tc>
      </w:tr>
      <w:tr>
        <w:trPr>
          <w:trHeight w:val="192"/>
        </w:trPr>
        <w:tc>
          <w:tcPr>
            <w:tcW w:w="3700" w:type="dxa"/>
            <w:vAlign w:val="bottom"/>
          </w:tcPr>
          <w:p>
            <w:pPr>
              <w:spacing w:after="0"/>
              <w:rPr>
                <w:sz w:val="20"/>
                <w:szCs w:val="20"/>
                <w:color w:val="auto"/>
              </w:rPr>
            </w:pPr>
            <w:r>
              <w:rPr>
                <w:rFonts w:ascii="Arial" w:cs="Arial" w:eastAsia="Arial" w:hAnsi="Arial"/>
                <w:sz w:val="14"/>
                <w:szCs w:val="14"/>
                <w:b w:val="1"/>
                <w:bCs w:val="1"/>
                <w:color w:val="0A9E50"/>
              </w:rPr>
              <w:t>Name</w:t>
            </w:r>
          </w:p>
        </w:tc>
        <w:tc>
          <w:tcPr>
            <w:tcW w:w="4160" w:type="dxa"/>
            <w:vAlign w:val="bottom"/>
          </w:tcPr>
          <w:p>
            <w:pPr>
              <w:jc w:val="right"/>
              <w:ind w:right="431"/>
              <w:spacing w:after="0"/>
              <w:rPr>
                <w:sz w:val="20"/>
                <w:szCs w:val="20"/>
                <w:color w:val="auto"/>
              </w:rPr>
            </w:pPr>
            <w:r>
              <w:rPr>
                <w:rFonts w:ascii="Arial" w:cs="Arial" w:eastAsia="Arial" w:hAnsi="Arial"/>
                <w:sz w:val="14"/>
                <w:szCs w:val="14"/>
                <w:b w:val="1"/>
                <w:bCs w:val="1"/>
                <w:color w:val="0A9E50"/>
              </w:rPr>
              <w:t>Performance Shares</w:t>
            </w:r>
          </w:p>
        </w:tc>
        <w:tc>
          <w:tcPr>
            <w:tcW w:w="2340" w:type="dxa"/>
            <w:vAlign w:val="bottom"/>
          </w:tcPr>
          <w:p>
            <w:pPr>
              <w:jc w:val="right"/>
              <w:ind w:right="451"/>
              <w:spacing w:after="0"/>
              <w:rPr>
                <w:sz w:val="20"/>
                <w:szCs w:val="20"/>
                <w:color w:val="auto"/>
              </w:rPr>
            </w:pPr>
            <w:r>
              <w:rPr>
                <w:rFonts w:ascii="Arial" w:cs="Arial" w:eastAsia="Arial" w:hAnsi="Arial"/>
                <w:sz w:val="14"/>
                <w:szCs w:val="14"/>
                <w:b w:val="1"/>
                <w:bCs w:val="1"/>
                <w:color w:val="0A9E50"/>
              </w:rPr>
              <w:t>Performance Shares</w:t>
            </w:r>
          </w:p>
        </w:tc>
      </w:tr>
      <w:tr>
        <w:trPr>
          <w:trHeight w:val="39"/>
        </w:trPr>
        <w:tc>
          <w:tcPr>
            <w:tcW w:w="3700" w:type="dxa"/>
            <w:vAlign w:val="bottom"/>
            <w:tcBorders>
              <w:bottom w:val="single" w:sz="8" w:color="auto"/>
            </w:tcBorders>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r>
      <w:tr>
        <w:trPr>
          <w:trHeight w:val="227"/>
        </w:trPr>
        <w:tc>
          <w:tcPr>
            <w:tcW w:w="3700" w:type="dxa"/>
            <w:vAlign w:val="bottom"/>
          </w:tcPr>
          <w:p>
            <w:pPr>
              <w:ind w:left="80"/>
              <w:spacing w:after="0"/>
              <w:rPr>
                <w:sz w:val="20"/>
                <w:szCs w:val="20"/>
                <w:color w:val="auto"/>
              </w:rPr>
            </w:pPr>
            <w:r>
              <w:rPr>
                <w:rFonts w:ascii="Arial" w:cs="Arial" w:eastAsia="Arial" w:hAnsi="Arial"/>
                <w:sz w:val="14"/>
                <w:szCs w:val="14"/>
                <w:b w:val="1"/>
                <w:bCs w:val="1"/>
                <w:color w:val="auto"/>
              </w:rPr>
              <w:t>Peter W. Quigley</w:t>
            </w:r>
          </w:p>
        </w:tc>
        <w:tc>
          <w:tcPr>
            <w:tcW w:w="4160" w:type="dxa"/>
            <w:vAlign w:val="bottom"/>
          </w:tcPr>
          <w:p>
            <w:pPr>
              <w:jc w:val="right"/>
              <w:ind w:right="411"/>
              <w:spacing w:after="0"/>
              <w:rPr>
                <w:sz w:val="20"/>
                <w:szCs w:val="20"/>
                <w:color w:val="auto"/>
              </w:rPr>
            </w:pPr>
            <w:r>
              <w:rPr>
                <w:rFonts w:ascii="Arial" w:cs="Arial" w:eastAsia="Arial" w:hAnsi="Arial"/>
                <w:sz w:val="14"/>
                <w:szCs w:val="14"/>
                <w:color w:val="auto"/>
              </w:rPr>
              <w:t>210,544</w:t>
            </w:r>
          </w:p>
        </w:tc>
        <w:tc>
          <w:tcPr>
            <w:tcW w:w="2340" w:type="dxa"/>
            <w:vAlign w:val="bottom"/>
          </w:tcPr>
          <w:p>
            <w:pPr>
              <w:jc w:val="right"/>
              <w:ind w:right="451"/>
              <w:spacing w:after="0"/>
              <w:rPr>
                <w:sz w:val="20"/>
                <w:szCs w:val="20"/>
                <w:color w:val="auto"/>
              </w:rPr>
            </w:pPr>
            <w:r>
              <w:rPr>
                <w:rFonts w:ascii="Arial" w:cs="Arial" w:eastAsia="Arial" w:hAnsi="Arial"/>
                <w:sz w:val="14"/>
                <w:szCs w:val="14"/>
                <w:color w:val="auto"/>
              </w:rPr>
              <w:t>3,196,058</w:t>
            </w:r>
          </w:p>
        </w:tc>
      </w:tr>
      <w:tr>
        <w:trPr>
          <w:trHeight w:val="39"/>
        </w:trPr>
        <w:tc>
          <w:tcPr>
            <w:tcW w:w="370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c>
          <w:tcPr>
            <w:tcW w:w="2340" w:type="dxa"/>
            <w:vAlign w:val="bottom"/>
            <w:tcBorders>
              <w:bottom w:val="single" w:sz="8" w:color="7F7F7F"/>
            </w:tcBorders>
          </w:tcPr>
          <w:p>
            <w:pPr>
              <w:spacing w:after="0"/>
              <w:rPr>
                <w:sz w:val="3"/>
                <w:szCs w:val="3"/>
                <w:color w:val="auto"/>
              </w:rPr>
            </w:pPr>
          </w:p>
        </w:tc>
      </w:tr>
      <w:tr>
        <w:trPr>
          <w:trHeight w:val="227"/>
        </w:trPr>
        <w:tc>
          <w:tcPr>
            <w:tcW w:w="3700" w:type="dxa"/>
            <w:vAlign w:val="bottom"/>
          </w:tcPr>
          <w:p>
            <w:pPr>
              <w:ind w:left="80"/>
              <w:spacing w:after="0"/>
              <w:rPr>
                <w:sz w:val="20"/>
                <w:szCs w:val="20"/>
                <w:color w:val="auto"/>
              </w:rPr>
            </w:pPr>
            <w:r>
              <w:rPr>
                <w:rFonts w:ascii="Arial" w:cs="Arial" w:eastAsia="Arial" w:hAnsi="Arial"/>
                <w:sz w:val="14"/>
                <w:szCs w:val="14"/>
                <w:b w:val="1"/>
                <w:bCs w:val="1"/>
                <w:color w:val="auto"/>
              </w:rPr>
              <w:t>Olivier G. Thirot</w:t>
            </w:r>
          </w:p>
        </w:tc>
        <w:tc>
          <w:tcPr>
            <w:tcW w:w="4160" w:type="dxa"/>
            <w:vAlign w:val="bottom"/>
          </w:tcPr>
          <w:p>
            <w:pPr>
              <w:jc w:val="right"/>
              <w:ind w:right="411"/>
              <w:spacing w:after="0"/>
              <w:rPr>
                <w:sz w:val="20"/>
                <w:szCs w:val="20"/>
                <w:color w:val="auto"/>
              </w:rPr>
            </w:pPr>
            <w:r>
              <w:rPr>
                <w:rFonts w:ascii="Arial" w:cs="Arial" w:eastAsia="Arial" w:hAnsi="Arial"/>
                <w:sz w:val="14"/>
                <w:szCs w:val="14"/>
                <w:color w:val="auto"/>
              </w:rPr>
              <w:t>69,416</w:t>
            </w:r>
          </w:p>
        </w:tc>
        <w:tc>
          <w:tcPr>
            <w:tcW w:w="2340" w:type="dxa"/>
            <w:vAlign w:val="bottom"/>
          </w:tcPr>
          <w:p>
            <w:pPr>
              <w:jc w:val="right"/>
              <w:ind w:right="451"/>
              <w:spacing w:after="0"/>
              <w:rPr>
                <w:sz w:val="20"/>
                <w:szCs w:val="20"/>
                <w:color w:val="auto"/>
              </w:rPr>
            </w:pPr>
            <w:r>
              <w:rPr>
                <w:rFonts w:ascii="Arial" w:cs="Arial" w:eastAsia="Arial" w:hAnsi="Arial"/>
                <w:sz w:val="14"/>
                <w:szCs w:val="14"/>
                <w:color w:val="auto"/>
              </w:rPr>
              <w:t>1,053,735</w:t>
            </w:r>
          </w:p>
        </w:tc>
      </w:tr>
      <w:tr>
        <w:trPr>
          <w:trHeight w:val="39"/>
        </w:trPr>
        <w:tc>
          <w:tcPr>
            <w:tcW w:w="370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c>
          <w:tcPr>
            <w:tcW w:w="2340" w:type="dxa"/>
            <w:vAlign w:val="bottom"/>
            <w:tcBorders>
              <w:bottom w:val="single" w:sz="8" w:color="7F7F7F"/>
            </w:tcBorders>
          </w:tcPr>
          <w:p>
            <w:pPr>
              <w:spacing w:after="0"/>
              <w:rPr>
                <w:sz w:val="3"/>
                <w:szCs w:val="3"/>
                <w:color w:val="auto"/>
              </w:rPr>
            </w:pPr>
          </w:p>
        </w:tc>
      </w:tr>
      <w:tr>
        <w:trPr>
          <w:trHeight w:val="227"/>
        </w:trPr>
        <w:tc>
          <w:tcPr>
            <w:tcW w:w="3700" w:type="dxa"/>
            <w:vAlign w:val="bottom"/>
          </w:tcPr>
          <w:p>
            <w:pPr>
              <w:ind w:left="80"/>
              <w:spacing w:after="0"/>
              <w:rPr>
                <w:sz w:val="20"/>
                <w:szCs w:val="20"/>
                <w:color w:val="auto"/>
              </w:rPr>
            </w:pPr>
            <w:r>
              <w:rPr>
                <w:rFonts w:ascii="Arial" w:cs="Arial" w:eastAsia="Arial" w:hAnsi="Arial"/>
                <w:sz w:val="14"/>
                <w:szCs w:val="14"/>
                <w:b w:val="1"/>
                <w:bCs w:val="1"/>
                <w:color w:val="auto"/>
              </w:rPr>
              <w:t>Daniel H. Malan</w:t>
            </w:r>
          </w:p>
        </w:tc>
        <w:tc>
          <w:tcPr>
            <w:tcW w:w="4160" w:type="dxa"/>
            <w:vAlign w:val="bottom"/>
          </w:tcPr>
          <w:p>
            <w:pPr>
              <w:jc w:val="right"/>
              <w:ind w:right="411"/>
              <w:spacing w:after="0"/>
              <w:rPr>
                <w:sz w:val="20"/>
                <w:szCs w:val="20"/>
                <w:color w:val="auto"/>
              </w:rPr>
            </w:pPr>
            <w:r>
              <w:rPr>
                <w:rFonts w:ascii="Arial" w:cs="Arial" w:eastAsia="Arial" w:hAnsi="Arial"/>
                <w:sz w:val="14"/>
                <w:szCs w:val="14"/>
                <w:color w:val="auto"/>
              </w:rPr>
              <w:t>24,872</w:t>
            </w:r>
          </w:p>
        </w:tc>
        <w:tc>
          <w:tcPr>
            <w:tcW w:w="2340" w:type="dxa"/>
            <w:vAlign w:val="bottom"/>
          </w:tcPr>
          <w:p>
            <w:pPr>
              <w:jc w:val="right"/>
              <w:ind w:right="451"/>
              <w:spacing w:after="0"/>
              <w:rPr>
                <w:sz w:val="20"/>
                <w:szCs w:val="20"/>
                <w:color w:val="auto"/>
              </w:rPr>
            </w:pPr>
            <w:r>
              <w:rPr>
                <w:rFonts w:ascii="Arial" w:cs="Arial" w:eastAsia="Arial" w:hAnsi="Arial"/>
                <w:sz w:val="14"/>
                <w:szCs w:val="14"/>
                <w:color w:val="auto"/>
              </w:rPr>
              <w:t>377,557</w:t>
            </w:r>
          </w:p>
        </w:tc>
      </w:tr>
      <w:tr>
        <w:trPr>
          <w:trHeight w:val="39"/>
        </w:trPr>
        <w:tc>
          <w:tcPr>
            <w:tcW w:w="370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c>
          <w:tcPr>
            <w:tcW w:w="2340" w:type="dxa"/>
            <w:vAlign w:val="bottom"/>
            <w:tcBorders>
              <w:bottom w:val="single" w:sz="8" w:color="7F7F7F"/>
            </w:tcBorders>
          </w:tcPr>
          <w:p>
            <w:pPr>
              <w:spacing w:after="0"/>
              <w:rPr>
                <w:sz w:val="3"/>
                <w:szCs w:val="3"/>
                <w:color w:val="auto"/>
              </w:rPr>
            </w:pPr>
          </w:p>
        </w:tc>
      </w:tr>
      <w:tr>
        <w:trPr>
          <w:trHeight w:val="227"/>
        </w:trPr>
        <w:tc>
          <w:tcPr>
            <w:tcW w:w="3700" w:type="dxa"/>
            <w:vAlign w:val="bottom"/>
          </w:tcPr>
          <w:p>
            <w:pPr>
              <w:ind w:left="80"/>
              <w:spacing w:after="0"/>
              <w:rPr>
                <w:sz w:val="20"/>
                <w:szCs w:val="20"/>
                <w:color w:val="auto"/>
              </w:rPr>
            </w:pPr>
            <w:r>
              <w:rPr>
                <w:rFonts w:ascii="Arial" w:cs="Arial" w:eastAsia="Arial" w:hAnsi="Arial"/>
                <w:sz w:val="14"/>
                <w:szCs w:val="14"/>
                <w:b w:val="1"/>
                <w:bCs w:val="1"/>
                <w:color w:val="auto"/>
              </w:rPr>
              <w:t>Vanessa P. Williams</w:t>
            </w:r>
          </w:p>
        </w:tc>
        <w:tc>
          <w:tcPr>
            <w:tcW w:w="4160" w:type="dxa"/>
            <w:vAlign w:val="bottom"/>
          </w:tcPr>
          <w:p>
            <w:pPr>
              <w:jc w:val="right"/>
              <w:ind w:right="411"/>
              <w:spacing w:after="0"/>
              <w:rPr>
                <w:sz w:val="20"/>
                <w:szCs w:val="20"/>
                <w:color w:val="auto"/>
              </w:rPr>
            </w:pPr>
            <w:r>
              <w:rPr>
                <w:rFonts w:ascii="Arial" w:cs="Arial" w:eastAsia="Arial" w:hAnsi="Arial"/>
                <w:sz w:val="14"/>
                <w:szCs w:val="14"/>
                <w:color w:val="auto"/>
              </w:rPr>
              <w:t>30,992</w:t>
            </w:r>
          </w:p>
        </w:tc>
        <w:tc>
          <w:tcPr>
            <w:tcW w:w="2340" w:type="dxa"/>
            <w:vAlign w:val="bottom"/>
          </w:tcPr>
          <w:p>
            <w:pPr>
              <w:jc w:val="right"/>
              <w:ind w:right="451"/>
              <w:spacing w:after="0"/>
              <w:rPr>
                <w:sz w:val="20"/>
                <w:szCs w:val="20"/>
                <w:color w:val="auto"/>
              </w:rPr>
            </w:pPr>
            <w:r>
              <w:rPr>
                <w:rFonts w:ascii="Arial" w:cs="Arial" w:eastAsia="Arial" w:hAnsi="Arial"/>
                <w:sz w:val="14"/>
                <w:szCs w:val="14"/>
                <w:color w:val="auto"/>
              </w:rPr>
              <w:t>470,459</w:t>
            </w:r>
          </w:p>
        </w:tc>
      </w:tr>
      <w:tr>
        <w:trPr>
          <w:trHeight w:val="39"/>
        </w:trPr>
        <w:tc>
          <w:tcPr>
            <w:tcW w:w="370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c>
          <w:tcPr>
            <w:tcW w:w="2340" w:type="dxa"/>
            <w:vAlign w:val="bottom"/>
            <w:tcBorders>
              <w:bottom w:val="single" w:sz="8" w:color="7F7F7F"/>
            </w:tcBorders>
          </w:tcPr>
          <w:p>
            <w:pPr>
              <w:spacing w:after="0"/>
              <w:rPr>
                <w:sz w:val="3"/>
                <w:szCs w:val="3"/>
                <w:color w:val="auto"/>
              </w:rPr>
            </w:pPr>
          </w:p>
        </w:tc>
      </w:tr>
      <w:tr>
        <w:trPr>
          <w:trHeight w:val="227"/>
        </w:trPr>
        <w:tc>
          <w:tcPr>
            <w:tcW w:w="3700" w:type="dxa"/>
            <w:vAlign w:val="bottom"/>
          </w:tcPr>
          <w:p>
            <w:pPr>
              <w:ind w:left="80"/>
              <w:spacing w:after="0"/>
              <w:rPr>
                <w:sz w:val="20"/>
                <w:szCs w:val="20"/>
                <w:color w:val="auto"/>
              </w:rPr>
            </w:pPr>
            <w:r>
              <w:rPr>
                <w:rFonts w:ascii="Arial" w:cs="Arial" w:eastAsia="Arial" w:hAnsi="Arial"/>
                <w:sz w:val="14"/>
                <w:szCs w:val="14"/>
                <w:b w:val="1"/>
                <w:bCs w:val="1"/>
                <w:color w:val="auto"/>
              </w:rPr>
              <w:t>Dinette Koolhaas</w:t>
            </w:r>
          </w:p>
        </w:tc>
        <w:tc>
          <w:tcPr>
            <w:tcW w:w="4160" w:type="dxa"/>
            <w:vAlign w:val="bottom"/>
          </w:tcPr>
          <w:p>
            <w:pPr>
              <w:jc w:val="right"/>
              <w:ind w:right="411"/>
              <w:spacing w:after="0"/>
              <w:rPr>
                <w:sz w:val="20"/>
                <w:szCs w:val="20"/>
                <w:color w:val="auto"/>
              </w:rPr>
            </w:pPr>
            <w:r>
              <w:rPr>
                <w:rFonts w:ascii="Arial" w:cs="Arial" w:eastAsia="Arial" w:hAnsi="Arial"/>
                <w:sz w:val="14"/>
                <w:szCs w:val="14"/>
                <w:color w:val="auto"/>
              </w:rPr>
              <w:t>27,076</w:t>
            </w:r>
          </w:p>
        </w:tc>
        <w:tc>
          <w:tcPr>
            <w:tcW w:w="2340" w:type="dxa"/>
            <w:vAlign w:val="bottom"/>
          </w:tcPr>
          <w:p>
            <w:pPr>
              <w:jc w:val="right"/>
              <w:ind w:right="451"/>
              <w:spacing w:after="0"/>
              <w:rPr>
                <w:sz w:val="20"/>
                <w:szCs w:val="20"/>
                <w:color w:val="auto"/>
              </w:rPr>
            </w:pPr>
            <w:r>
              <w:rPr>
                <w:rFonts w:ascii="Arial" w:cs="Arial" w:eastAsia="Arial" w:hAnsi="Arial"/>
                <w:sz w:val="14"/>
                <w:szCs w:val="14"/>
                <w:color w:val="auto"/>
              </w:rPr>
              <w:t>411,014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24765</wp:posOffset>
            </wp:positionV>
            <wp:extent cx="646811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468110" cy="8255"/>
                    </a:xfrm>
                    <a:prstGeom prst="rect">
                      <a:avLst/>
                    </a:prstGeom>
                    <a:noFill/>
                  </pic:spPr>
                </pic:pic>
              </a:graphicData>
            </a:graphic>
          </wp:anchor>
        </w:drawing>
      </w:r>
    </w:p>
    <w:p>
      <w:pPr>
        <w:spacing w:after="0" w:line="92" w:lineRule="exact"/>
        <w:rPr>
          <w:sz w:val="20"/>
          <w:szCs w:val="20"/>
          <w:color w:val="auto"/>
        </w:rPr>
      </w:pPr>
    </w:p>
    <w:p>
      <w:pPr>
        <w:ind w:left="620" w:right="100" w:hanging="304"/>
        <w:spacing w:after="0" w:line="245" w:lineRule="auto"/>
        <w:tabs>
          <w:tab w:leader="none" w:pos="6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Amounts for named executive officers include company matching contributions to the Management Retirement Plan (“MRP”), and Medicare tax gross-ups on those MRP contributions. (See table below.) The total value of perquisites provided to each named executive officer (other than Mr. Thirot and further below, Ms. Koolhaas) in 2023 was less than $10,000 and, in accordance with reporting regulations, were not required to be included in this table.</w:t>
      </w:r>
    </w:p>
    <w:p>
      <w:pPr>
        <w:spacing w:after="0" w:line="205"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760" w:type="dxa"/>
            <w:vAlign w:val="bottom"/>
          </w:tcPr>
          <w:p>
            <w:pPr>
              <w:jc w:val="right"/>
              <w:ind w:right="371"/>
              <w:spacing w:after="0"/>
              <w:rPr>
                <w:sz w:val="20"/>
                <w:szCs w:val="20"/>
                <w:color w:val="auto"/>
              </w:rPr>
            </w:pPr>
            <w:r>
              <w:rPr>
                <w:rFonts w:ascii="Arial" w:cs="Arial" w:eastAsia="Arial" w:hAnsi="Arial"/>
                <w:sz w:val="14"/>
                <w:szCs w:val="14"/>
                <w:b w:val="1"/>
                <w:bCs w:val="1"/>
                <w:color w:val="0A9E50"/>
              </w:rPr>
              <w:t>Company</w:t>
            </w:r>
          </w:p>
        </w:tc>
        <w:tc>
          <w:tcPr>
            <w:tcW w:w="1260" w:type="dxa"/>
            <w:vAlign w:val="bottom"/>
          </w:tcPr>
          <w:p>
            <w:pPr>
              <w:jc w:val="right"/>
              <w:ind w:right="406"/>
              <w:spacing w:after="0"/>
              <w:rPr>
                <w:sz w:val="20"/>
                <w:szCs w:val="20"/>
                <w:color w:val="auto"/>
              </w:rPr>
            </w:pPr>
            <w:r>
              <w:rPr>
                <w:rFonts w:ascii="Arial" w:cs="Arial" w:eastAsia="Arial" w:hAnsi="Arial"/>
                <w:sz w:val="14"/>
                <w:szCs w:val="14"/>
                <w:b w:val="1"/>
                <w:bCs w:val="1"/>
                <w:color w:val="0A9E50"/>
              </w:rPr>
              <w:t>MRP</w:t>
            </w:r>
          </w:p>
        </w:tc>
        <w:tc>
          <w:tcPr>
            <w:tcW w:w="480" w:type="dxa"/>
            <w:vAlign w:val="bottom"/>
          </w:tcPr>
          <w:p>
            <w:pPr>
              <w:spacing w:after="0"/>
              <w:rPr>
                <w:sz w:val="14"/>
                <w:szCs w:val="14"/>
                <w:color w:val="auto"/>
              </w:rPr>
            </w:pPr>
          </w:p>
        </w:tc>
        <w:tc>
          <w:tcPr>
            <w:tcW w:w="82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0A9E50"/>
                <w:w w:val="97"/>
              </w:rPr>
              <w:t>Total All</w:t>
            </w: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3760" w:type="dxa"/>
            <w:vAlign w:val="bottom"/>
          </w:tcPr>
          <w:p>
            <w:pPr>
              <w:jc w:val="right"/>
              <w:ind w:right="211"/>
              <w:spacing w:after="0" w:line="156" w:lineRule="exact"/>
              <w:rPr>
                <w:sz w:val="20"/>
                <w:szCs w:val="20"/>
                <w:color w:val="auto"/>
              </w:rPr>
            </w:pPr>
            <w:r>
              <w:rPr>
                <w:rFonts w:ascii="Arial" w:cs="Arial" w:eastAsia="Arial" w:hAnsi="Arial"/>
                <w:sz w:val="14"/>
                <w:szCs w:val="14"/>
                <w:b w:val="1"/>
                <w:bCs w:val="1"/>
                <w:color w:val="0A9E50"/>
              </w:rPr>
              <w:t>Matching MRP</w:t>
            </w:r>
          </w:p>
        </w:tc>
        <w:tc>
          <w:tcPr>
            <w:tcW w:w="1260" w:type="dxa"/>
            <w:vAlign w:val="bottom"/>
          </w:tcPr>
          <w:p>
            <w:pPr>
              <w:jc w:val="right"/>
              <w:ind w:right="266"/>
              <w:spacing w:after="0" w:line="156" w:lineRule="exact"/>
              <w:rPr>
                <w:sz w:val="20"/>
                <w:szCs w:val="20"/>
                <w:color w:val="auto"/>
              </w:rPr>
            </w:pPr>
            <w:r>
              <w:rPr>
                <w:rFonts w:ascii="Arial" w:cs="Arial" w:eastAsia="Arial" w:hAnsi="Arial"/>
                <w:sz w:val="14"/>
                <w:szCs w:val="14"/>
                <w:b w:val="1"/>
                <w:bCs w:val="1"/>
                <w:color w:val="0A9E50"/>
              </w:rPr>
              <w:t>Medicare</w:t>
            </w:r>
          </w:p>
        </w:tc>
        <w:tc>
          <w:tcPr>
            <w:tcW w:w="480" w:type="dxa"/>
            <w:vAlign w:val="bottom"/>
          </w:tcPr>
          <w:p>
            <w:pPr>
              <w:spacing w:after="0"/>
              <w:rPr>
                <w:sz w:val="13"/>
                <w:szCs w:val="13"/>
                <w:color w:val="auto"/>
              </w:rPr>
            </w:pPr>
          </w:p>
        </w:tc>
        <w:tc>
          <w:tcPr>
            <w:tcW w:w="820" w:type="dxa"/>
            <w:vAlign w:val="bottom"/>
            <w:gridSpan w:val="2"/>
          </w:tcPr>
          <w:p>
            <w:pPr>
              <w:jc w:val="right"/>
              <w:ind w:right="273"/>
              <w:spacing w:after="0" w:line="156" w:lineRule="exact"/>
              <w:rPr>
                <w:sz w:val="20"/>
                <w:szCs w:val="20"/>
                <w:color w:val="auto"/>
              </w:rPr>
            </w:pPr>
            <w:r>
              <w:rPr>
                <w:rFonts w:ascii="Arial" w:cs="Arial" w:eastAsia="Arial" w:hAnsi="Arial"/>
                <w:sz w:val="14"/>
                <w:szCs w:val="14"/>
                <w:b w:val="1"/>
                <w:bCs w:val="1"/>
                <w:color w:val="0A9E50"/>
              </w:rPr>
              <w:t>Other</w:t>
            </w:r>
          </w:p>
        </w:tc>
        <w:tc>
          <w:tcPr>
            <w:tcW w:w="0" w:type="dxa"/>
            <w:vAlign w:val="bottom"/>
          </w:tcPr>
          <w:p>
            <w:pPr>
              <w:spacing w:after="0"/>
              <w:rPr>
                <w:sz w:val="1"/>
                <w:szCs w:val="1"/>
                <w:color w:val="auto"/>
              </w:rPr>
            </w:pPr>
          </w:p>
        </w:tc>
      </w:tr>
      <w:tr>
        <w:trPr>
          <w:trHeight w:val="166"/>
        </w:trPr>
        <w:tc>
          <w:tcPr>
            <w:tcW w:w="3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9E50"/>
              </w:rPr>
              <w:t>Name</w:t>
            </w:r>
          </w:p>
        </w:tc>
        <w:tc>
          <w:tcPr>
            <w:tcW w:w="3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0A9E50"/>
              </w:rPr>
              <w:t>Contributions</w:t>
            </w:r>
          </w:p>
        </w:tc>
        <w:tc>
          <w:tcPr>
            <w:tcW w:w="126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0A9E50"/>
              </w:rPr>
              <w:t>Gross-ups</w:t>
            </w: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0A9E50"/>
              </w:rPr>
              <w:t>Compensation</w:t>
            </w:r>
          </w:p>
        </w:tc>
        <w:tc>
          <w:tcPr>
            <w:tcW w:w="0" w:type="dxa"/>
            <w:vAlign w:val="bottom"/>
          </w:tcPr>
          <w:p>
            <w:pPr>
              <w:spacing w:after="0"/>
              <w:rPr>
                <w:sz w:val="1"/>
                <w:szCs w:val="1"/>
                <w:color w:val="auto"/>
              </w:rPr>
            </w:pPr>
          </w:p>
        </w:tc>
      </w:tr>
      <w:tr>
        <w:trPr>
          <w:trHeight w:val="227"/>
        </w:trPr>
        <w:tc>
          <w:tcPr>
            <w:tcW w:w="3880" w:type="dxa"/>
            <w:vAlign w:val="bottom"/>
          </w:tcPr>
          <w:p>
            <w:pPr>
              <w:ind w:left="80"/>
              <w:spacing w:after="0"/>
              <w:rPr>
                <w:sz w:val="20"/>
                <w:szCs w:val="20"/>
                <w:color w:val="auto"/>
              </w:rPr>
            </w:pPr>
            <w:r>
              <w:rPr>
                <w:rFonts w:ascii="Arial" w:cs="Arial" w:eastAsia="Arial" w:hAnsi="Arial"/>
                <w:sz w:val="14"/>
                <w:szCs w:val="14"/>
                <w:b w:val="1"/>
                <w:bCs w:val="1"/>
                <w:color w:val="auto"/>
              </w:rPr>
              <w:t>Peter W Quigley</w:t>
            </w:r>
          </w:p>
        </w:tc>
        <w:tc>
          <w:tcPr>
            <w:tcW w:w="3760" w:type="dxa"/>
            <w:vAlign w:val="bottom"/>
          </w:tcPr>
          <w:p>
            <w:pPr>
              <w:jc w:val="right"/>
              <w:ind w:right="211"/>
              <w:spacing w:after="0"/>
              <w:rPr>
                <w:sz w:val="20"/>
                <w:szCs w:val="20"/>
                <w:color w:val="auto"/>
              </w:rPr>
            </w:pPr>
            <w:r>
              <w:rPr>
                <w:rFonts w:ascii="Arial" w:cs="Arial" w:eastAsia="Arial" w:hAnsi="Arial"/>
                <w:sz w:val="14"/>
                <w:szCs w:val="14"/>
                <w:color w:val="auto"/>
              </w:rPr>
              <w:t>83,899</w:t>
            </w:r>
          </w:p>
        </w:tc>
        <w:tc>
          <w:tcPr>
            <w:tcW w:w="1260" w:type="dxa"/>
            <w:vAlign w:val="bottom"/>
          </w:tcPr>
          <w:p>
            <w:pPr>
              <w:jc w:val="right"/>
              <w:ind w:right="206"/>
              <w:spacing w:after="0"/>
              <w:rPr>
                <w:sz w:val="20"/>
                <w:szCs w:val="20"/>
                <w:color w:val="auto"/>
              </w:rPr>
            </w:pPr>
            <w:r>
              <w:rPr>
                <w:rFonts w:ascii="Arial" w:cs="Arial" w:eastAsia="Arial" w:hAnsi="Arial"/>
                <w:sz w:val="14"/>
                <w:szCs w:val="14"/>
                <w:color w:val="auto"/>
              </w:rPr>
              <w:t>3,803</w:t>
            </w:r>
          </w:p>
        </w:tc>
        <w:tc>
          <w:tcPr>
            <w:tcW w:w="4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87,702</w:t>
            </w:r>
          </w:p>
        </w:tc>
        <w:tc>
          <w:tcPr>
            <w:tcW w:w="0" w:type="dxa"/>
            <w:vAlign w:val="bottom"/>
          </w:tcPr>
          <w:p>
            <w:pPr>
              <w:spacing w:after="0"/>
              <w:rPr>
                <w:sz w:val="1"/>
                <w:szCs w:val="1"/>
                <w:color w:val="auto"/>
              </w:rPr>
            </w:pPr>
          </w:p>
        </w:tc>
      </w:tr>
      <w:tr>
        <w:trPr>
          <w:trHeight w:val="39"/>
        </w:trPr>
        <w:tc>
          <w:tcPr>
            <w:tcW w:w="3880" w:type="dxa"/>
            <w:vAlign w:val="bottom"/>
            <w:tcBorders>
              <w:bottom w:val="single" w:sz="8" w:color="7F7F7F"/>
            </w:tcBorders>
          </w:tcPr>
          <w:p>
            <w:pPr>
              <w:spacing w:after="0"/>
              <w:rPr>
                <w:sz w:val="3"/>
                <w:szCs w:val="3"/>
                <w:color w:val="auto"/>
              </w:rPr>
            </w:pPr>
          </w:p>
        </w:tc>
        <w:tc>
          <w:tcPr>
            <w:tcW w:w="376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48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880" w:type="dxa"/>
            <w:vAlign w:val="bottom"/>
          </w:tcPr>
          <w:p>
            <w:pPr>
              <w:ind w:left="80"/>
              <w:spacing w:after="0"/>
              <w:rPr>
                <w:sz w:val="20"/>
                <w:szCs w:val="20"/>
                <w:color w:val="auto"/>
              </w:rPr>
            </w:pPr>
            <w:r>
              <w:rPr>
                <w:rFonts w:ascii="Arial" w:cs="Arial" w:eastAsia="Arial" w:hAnsi="Arial"/>
                <w:sz w:val="14"/>
                <w:szCs w:val="14"/>
                <w:b w:val="1"/>
                <w:bCs w:val="1"/>
                <w:color w:val="auto"/>
              </w:rPr>
              <w:t>Daniel H. Malan</w:t>
            </w:r>
          </w:p>
        </w:tc>
        <w:tc>
          <w:tcPr>
            <w:tcW w:w="3760" w:type="dxa"/>
            <w:vAlign w:val="bottom"/>
          </w:tcPr>
          <w:p>
            <w:pPr>
              <w:jc w:val="right"/>
              <w:ind w:right="591"/>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66"/>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37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3880" w:type="dxa"/>
            <w:vAlign w:val="bottom"/>
            <w:tcBorders>
              <w:bottom w:val="single" w:sz="8" w:color="7F7F7F"/>
            </w:tcBorders>
          </w:tcPr>
          <w:p>
            <w:pPr>
              <w:spacing w:after="0"/>
              <w:rPr>
                <w:sz w:val="3"/>
                <w:szCs w:val="3"/>
                <w:color w:val="auto"/>
              </w:rPr>
            </w:pPr>
          </w:p>
        </w:tc>
        <w:tc>
          <w:tcPr>
            <w:tcW w:w="376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48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880" w:type="dxa"/>
            <w:vAlign w:val="bottom"/>
          </w:tcPr>
          <w:p>
            <w:pPr>
              <w:ind w:left="80"/>
              <w:spacing w:after="0"/>
              <w:rPr>
                <w:sz w:val="20"/>
                <w:szCs w:val="20"/>
                <w:color w:val="auto"/>
              </w:rPr>
            </w:pPr>
            <w:r>
              <w:rPr>
                <w:rFonts w:ascii="Arial" w:cs="Arial" w:eastAsia="Arial" w:hAnsi="Arial"/>
                <w:sz w:val="14"/>
                <w:szCs w:val="14"/>
                <w:b w:val="1"/>
                <w:bCs w:val="1"/>
                <w:color w:val="auto"/>
              </w:rPr>
              <w:t>Vanessa P. Williams</w:t>
            </w:r>
          </w:p>
        </w:tc>
        <w:tc>
          <w:tcPr>
            <w:tcW w:w="3760" w:type="dxa"/>
            <w:vAlign w:val="bottom"/>
          </w:tcPr>
          <w:p>
            <w:pPr>
              <w:jc w:val="right"/>
              <w:ind w:right="211"/>
              <w:spacing w:after="0"/>
              <w:rPr>
                <w:sz w:val="20"/>
                <w:szCs w:val="20"/>
                <w:color w:val="auto"/>
              </w:rPr>
            </w:pPr>
            <w:r>
              <w:rPr>
                <w:rFonts w:ascii="Arial" w:cs="Arial" w:eastAsia="Arial" w:hAnsi="Arial"/>
                <w:sz w:val="14"/>
                <w:szCs w:val="14"/>
                <w:color w:val="auto"/>
              </w:rPr>
              <w:t>23,691</w:t>
            </w:r>
          </w:p>
        </w:tc>
        <w:tc>
          <w:tcPr>
            <w:tcW w:w="1260" w:type="dxa"/>
            <w:vAlign w:val="bottom"/>
          </w:tcPr>
          <w:p>
            <w:pPr>
              <w:jc w:val="right"/>
              <w:ind w:right="206"/>
              <w:spacing w:after="0"/>
              <w:rPr>
                <w:sz w:val="20"/>
                <w:szCs w:val="20"/>
                <w:color w:val="auto"/>
              </w:rPr>
            </w:pPr>
            <w:r>
              <w:rPr>
                <w:rFonts w:ascii="Arial" w:cs="Arial" w:eastAsia="Arial" w:hAnsi="Arial"/>
                <w:sz w:val="14"/>
                <w:szCs w:val="14"/>
                <w:color w:val="auto"/>
              </w:rPr>
              <w:t>2,431</w:t>
            </w:r>
          </w:p>
        </w:tc>
        <w:tc>
          <w:tcPr>
            <w:tcW w:w="4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26,122</w:t>
            </w:r>
          </w:p>
        </w:tc>
        <w:tc>
          <w:tcPr>
            <w:tcW w:w="0" w:type="dxa"/>
            <w:vAlign w:val="bottom"/>
          </w:tcPr>
          <w:p>
            <w:pPr>
              <w:spacing w:after="0"/>
              <w:rPr>
                <w:sz w:val="1"/>
                <w:szCs w:val="1"/>
                <w:color w:val="auto"/>
              </w:rPr>
            </w:pPr>
          </w:p>
        </w:tc>
      </w:tr>
      <w:tr>
        <w:trPr>
          <w:trHeight w:val="39"/>
        </w:trPr>
        <w:tc>
          <w:tcPr>
            <w:tcW w:w="3880" w:type="dxa"/>
            <w:vAlign w:val="bottom"/>
            <w:tcBorders>
              <w:bottom w:val="single" w:sz="8" w:color="7F7F7F"/>
            </w:tcBorders>
          </w:tcPr>
          <w:p>
            <w:pPr>
              <w:spacing w:after="0"/>
              <w:rPr>
                <w:sz w:val="3"/>
                <w:szCs w:val="3"/>
                <w:color w:val="auto"/>
              </w:rPr>
            </w:pPr>
          </w:p>
        </w:tc>
        <w:tc>
          <w:tcPr>
            <w:tcW w:w="376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48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60" w:type="dxa"/>
            <w:vAlign w:val="bottom"/>
            <w:vMerge w:val="restart"/>
          </w:tcPr>
          <w:p>
            <w:pPr>
              <w:jc w:val="right"/>
              <w:ind w:right="406"/>
              <w:spacing w:after="0"/>
              <w:rPr>
                <w:sz w:val="20"/>
                <w:szCs w:val="20"/>
                <w:color w:val="auto"/>
              </w:rPr>
            </w:pPr>
            <w:r>
              <w:rPr>
                <w:rFonts w:ascii="Arial" w:cs="Arial" w:eastAsia="Arial" w:hAnsi="Arial"/>
                <w:sz w:val="21"/>
                <w:szCs w:val="21"/>
                <w:color w:val="auto"/>
              </w:rPr>
              <w:t> </w:t>
            </w:r>
          </w:p>
        </w:tc>
        <w:tc>
          <w:tcPr>
            <w:tcW w:w="480" w:type="dxa"/>
            <w:vAlign w:val="bottom"/>
            <w:vMerge w:val="restart"/>
          </w:tcPr>
          <w:p>
            <w:pPr>
              <w:ind w:left="340"/>
              <w:spacing w:after="0"/>
              <w:rPr>
                <w:sz w:val="20"/>
                <w:szCs w:val="20"/>
                <w:color w:val="auto"/>
              </w:rPr>
            </w:pPr>
            <w:r>
              <w:rPr>
                <w:rFonts w:ascii="Arial" w:cs="Arial" w:eastAsia="Arial" w:hAnsi="Arial"/>
                <w:sz w:val="12"/>
                <w:szCs w:val="12"/>
                <w:color w:val="auto"/>
                <w:w w:val="77"/>
              </w:rPr>
              <w:t xml:space="preserve">  </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21"/>
                <w:szCs w:val="21"/>
                <w:color w:val="auto"/>
                <w:w w:val="90"/>
              </w:rPr>
              <w:t>    65</w:t>
            </w:r>
          </w:p>
        </w:tc>
        <w:tc>
          <w:tcPr>
            <w:tcW w:w="0" w:type="dxa"/>
            <w:vAlign w:val="bottom"/>
          </w:tcPr>
          <w:p>
            <w:pPr>
              <w:spacing w:after="0"/>
              <w:rPr>
                <w:sz w:val="1"/>
                <w:szCs w:val="1"/>
                <w:color w:val="auto"/>
              </w:rPr>
            </w:pPr>
          </w:p>
        </w:tc>
      </w:tr>
      <w:tr>
        <w:trPr>
          <w:trHeight w:val="248"/>
        </w:trPr>
        <w:tc>
          <w:tcPr>
            <w:tcW w:w="388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38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5950585</wp:posOffset>
            </wp:positionH>
            <wp:positionV relativeFrom="paragraph">
              <wp:posOffset>-222250</wp:posOffset>
            </wp:positionV>
            <wp:extent cx="396240" cy="1898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96240" cy="18986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2023 Executive Compensation Tables</w:t>
      </w:r>
    </w:p>
    <w:p>
      <w:pPr>
        <w:spacing w:after="0" w:line="132" w:lineRule="exact"/>
        <w:rPr>
          <w:sz w:val="20"/>
          <w:szCs w:val="20"/>
          <w:color w:val="auto"/>
        </w:rPr>
      </w:pPr>
    </w:p>
    <w:p>
      <w:pPr>
        <w:ind w:left="620" w:right="200" w:hanging="304"/>
        <w:spacing w:after="0" w:line="239" w:lineRule="auto"/>
        <w:tabs>
          <w:tab w:leader="none" w:pos="6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amount reported for Mr. Thirot includes carryover costs associated with his international assignment from Switzerland to the U.S.: fee’s related to U.S. tax preparation of $6,415, fee’s related to Switzerland tax preparation of $19,884, and additional administrative expenses of $1,315, car allowance, and supplemental contribution to the government-mandated occupational pension benefit program paid through Swiss payroll. The amount reported for Ms. Koolhaas includes her representation allowance, supplemental health care allowance, and supplemental contribution to the government-mandated occupational pension benefit program paid through Swiss payroll.</w:t>
      </w: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760" w:type="dxa"/>
            <w:vAlign w:val="bottom"/>
          </w:tcPr>
          <w:p>
            <w:pPr>
              <w:ind w:left="1460"/>
              <w:spacing w:after="0"/>
              <w:rPr>
                <w:sz w:val="20"/>
                <w:szCs w:val="20"/>
                <w:color w:val="auto"/>
              </w:rPr>
            </w:pPr>
            <w:r>
              <w:rPr>
                <w:rFonts w:ascii="Arial" w:cs="Arial" w:eastAsia="Arial" w:hAnsi="Arial"/>
                <w:sz w:val="14"/>
                <w:szCs w:val="14"/>
                <w:b w:val="1"/>
                <w:bCs w:val="1"/>
                <w:color w:val="0A9E50"/>
              </w:rPr>
              <w:t>International</w:t>
            </w:r>
          </w:p>
        </w:tc>
        <w:tc>
          <w:tcPr>
            <w:tcW w:w="1600" w:type="dxa"/>
            <w:vAlign w:val="bottom"/>
          </w:tcPr>
          <w:p>
            <w:pPr>
              <w:spacing w:after="0"/>
              <w:rPr>
                <w:sz w:val="14"/>
                <w:szCs w:val="14"/>
                <w:color w:val="auto"/>
              </w:rPr>
            </w:pPr>
          </w:p>
        </w:tc>
        <w:tc>
          <w:tcPr>
            <w:tcW w:w="1640" w:type="dxa"/>
            <w:vAlign w:val="bottom"/>
          </w:tcPr>
          <w:p>
            <w:pPr>
              <w:jc w:val="right"/>
              <w:ind w:right="311"/>
              <w:spacing w:after="0"/>
              <w:rPr>
                <w:sz w:val="20"/>
                <w:szCs w:val="20"/>
                <w:color w:val="auto"/>
              </w:rPr>
            </w:pPr>
            <w:r>
              <w:rPr>
                <w:rFonts w:ascii="Arial" w:cs="Arial" w:eastAsia="Arial" w:hAnsi="Arial"/>
                <w:sz w:val="14"/>
                <w:szCs w:val="14"/>
                <w:b w:val="1"/>
                <w:bCs w:val="1"/>
                <w:color w:val="0A9E50"/>
              </w:rPr>
              <w:t>Supplemental</w:t>
            </w:r>
          </w:p>
        </w:tc>
        <w:tc>
          <w:tcPr>
            <w:tcW w:w="1740" w:type="dxa"/>
            <w:vAlign w:val="bottom"/>
          </w:tcPr>
          <w:p>
            <w:pPr>
              <w:spacing w:after="0"/>
              <w:rPr>
                <w:sz w:val="14"/>
                <w:szCs w:val="14"/>
                <w:color w:val="auto"/>
              </w:rPr>
            </w:pPr>
          </w:p>
        </w:tc>
      </w:tr>
      <w:tr>
        <w:trPr>
          <w:trHeight w:val="156"/>
        </w:trPr>
        <w:tc>
          <w:tcPr>
            <w:tcW w:w="2560" w:type="dxa"/>
            <w:vAlign w:val="bottom"/>
          </w:tcPr>
          <w:p>
            <w:pPr>
              <w:spacing w:after="0"/>
              <w:rPr>
                <w:sz w:val="13"/>
                <w:szCs w:val="13"/>
                <w:color w:val="auto"/>
              </w:rPr>
            </w:pPr>
          </w:p>
        </w:tc>
        <w:tc>
          <w:tcPr>
            <w:tcW w:w="2760" w:type="dxa"/>
            <w:vAlign w:val="bottom"/>
          </w:tcPr>
          <w:p>
            <w:pPr>
              <w:ind w:left="1480"/>
              <w:spacing w:after="0" w:line="156" w:lineRule="exact"/>
              <w:rPr>
                <w:sz w:val="20"/>
                <w:szCs w:val="20"/>
                <w:color w:val="auto"/>
              </w:rPr>
            </w:pPr>
            <w:r>
              <w:rPr>
                <w:rFonts w:ascii="Arial" w:cs="Arial" w:eastAsia="Arial" w:hAnsi="Arial"/>
                <w:sz w:val="14"/>
                <w:szCs w:val="14"/>
                <w:b w:val="1"/>
                <w:bCs w:val="1"/>
                <w:color w:val="0A9E50"/>
              </w:rPr>
              <w:t>Assignment</w:t>
            </w:r>
          </w:p>
        </w:tc>
        <w:tc>
          <w:tcPr>
            <w:tcW w:w="1600" w:type="dxa"/>
            <w:vAlign w:val="bottom"/>
          </w:tcPr>
          <w:p>
            <w:pPr>
              <w:spacing w:after="0"/>
              <w:rPr>
                <w:sz w:val="13"/>
                <w:szCs w:val="13"/>
                <w:color w:val="auto"/>
              </w:rPr>
            </w:pPr>
          </w:p>
        </w:tc>
        <w:tc>
          <w:tcPr>
            <w:tcW w:w="1640" w:type="dxa"/>
            <w:vAlign w:val="bottom"/>
          </w:tcPr>
          <w:p>
            <w:pPr>
              <w:jc w:val="right"/>
              <w:ind w:right="491"/>
              <w:spacing w:after="0" w:line="156" w:lineRule="exact"/>
              <w:rPr>
                <w:sz w:val="20"/>
                <w:szCs w:val="20"/>
                <w:color w:val="auto"/>
              </w:rPr>
            </w:pPr>
            <w:r>
              <w:rPr>
                <w:rFonts w:ascii="Arial" w:cs="Arial" w:eastAsia="Arial" w:hAnsi="Arial"/>
                <w:sz w:val="14"/>
                <w:szCs w:val="14"/>
                <w:b w:val="1"/>
                <w:bCs w:val="1"/>
                <w:color w:val="0A9E50"/>
              </w:rPr>
              <w:t>Pension</w:t>
            </w:r>
          </w:p>
        </w:tc>
        <w:tc>
          <w:tcPr>
            <w:tcW w:w="1740" w:type="dxa"/>
            <w:vAlign w:val="bottom"/>
          </w:tcPr>
          <w:p>
            <w:pPr>
              <w:ind w:left="360"/>
              <w:spacing w:after="0" w:line="156" w:lineRule="exact"/>
              <w:rPr>
                <w:sz w:val="20"/>
                <w:szCs w:val="20"/>
                <w:color w:val="auto"/>
              </w:rPr>
            </w:pPr>
            <w:r>
              <w:rPr>
                <w:rFonts w:ascii="Arial" w:cs="Arial" w:eastAsia="Arial" w:hAnsi="Arial"/>
                <w:sz w:val="14"/>
                <w:szCs w:val="14"/>
                <w:b w:val="1"/>
                <w:bCs w:val="1"/>
                <w:color w:val="0A9E50"/>
              </w:rPr>
              <w:t>Total All Other</w:t>
            </w:r>
          </w:p>
        </w:tc>
      </w:tr>
      <w:tr>
        <w:trPr>
          <w:trHeight w:val="166"/>
        </w:trPr>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9E50"/>
              </w:rPr>
              <w:t>Name</w:t>
            </w:r>
          </w:p>
        </w:tc>
        <w:tc>
          <w:tcPr>
            <w:tcW w:w="27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0A9E50"/>
              </w:rPr>
              <w:t>Carryover Cost</w:t>
            </w:r>
          </w:p>
        </w:tc>
        <w:tc>
          <w:tcPr>
            <w:tcW w:w="16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0A9E50"/>
              </w:rPr>
              <w:t>Car Allowance</w:t>
            </w:r>
          </w:p>
        </w:tc>
        <w:tc>
          <w:tcPr>
            <w:tcW w:w="16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0A9E50"/>
              </w:rPr>
              <w:t>Contributions</w:t>
            </w:r>
          </w:p>
        </w:tc>
        <w:tc>
          <w:tcPr>
            <w:tcW w:w="17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0A9E50"/>
              </w:rPr>
              <w:t>Compensation</w:t>
            </w:r>
          </w:p>
        </w:tc>
      </w:tr>
      <w:tr>
        <w:trPr>
          <w:trHeight w:val="227"/>
        </w:trPr>
        <w:tc>
          <w:tcPr>
            <w:tcW w:w="2560" w:type="dxa"/>
            <w:vAlign w:val="bottom"/>
          </w:tcPr>
          <w:p>
            <w:pPr>
              <w:ind w:left="80"/>
              <w:spacing w:after="0"/>
              <w:rPr>
                <w:sz w:val="20"/>
                <w:szCs w:val="20"/>
                <w:color w:val="auto"/>
              </w:rPr>
            </w:pPr>
            <w:r>
              <w:rPr>
                <w:rFonts w:ascii="Arial" w:cs="Arial" w:eastAsia="Arial" w:hAnsi="Arial"/>
                <w:sz w:val="14"/>
                <w:szCs w:val="14"/>
                <w:b w:val="1"/>
                <w:bCs w:val="1"/>
                <w:color w:val="auto"/>
              </w:rPr>
              <w:t>Olivier G. Thirot</w:t>
            </w:r>
          </w:p>
        </w:tc>
        <w:tc>
          <w:tcPr>
            <w:tcW w:w="2760" w:type="dxa"/>
            <w:vAlign w:val="bottom"/>
          </w:tcPr>
          <w:p>
            <w:pPr>
              <w:jc w:val="right"/>
              <w:ind w:right="311"/>
              <w:spacing w:after="0"/>
              <w:rPr>
                <w:sz w:val="20"/>
                <w:szCs w:val="20"/>
                <w:color w:val="auto"/>
              </w:rPr>
            </w:pPr>
            <w:r>
              <w:rPr>
                <w:rFonts w:ascii="Arial" w:cs="Arial" w:eastAsia="Arial" w:hAnsi="Arial"/>
                <w:sz w:val="14"/>
                <w:szCs w:val="14"/>
                <w:color w:val="auto"/>
              </w:rPr>
              <w:t>27,614</w:t>
            </w:r>
          </w:p>
        </w:tc>
        <w:tc>
          <w:tcPr>
            <w:tcW w:w="1600" w:type="dxa"/>
            <w:vAlign w:val="bottom"/>
          </w:tcPr>
          <w:p>
            <w:pPr>
              <w:jc w:val="right"/>
              <w:ind w:right="311"/>
              <w:spacing w:after="0"/>
              <w:rPr>
                <w:sz w:val="20"/>
                <w:szCs w:val="20"/>
                <w:color w:val="auto"/>
              </w:rPr>
            </w:pPr>
            <w:r>
              <w:rPr>
                <w:rFonts w:ascii="Arial" w:cs="Arial" w:eastAsia="Arial" w:hAnsi="Arial"/>
                <w:sz w:val="14"/>
                <w:szCs w:val="14"/>
                <w:color w:val="auto"/>
              </w:rPr>
              <w:t>22,685</w:t>
            </w:r>
          </w:p>
        </w:tc>
        <w:tc>
          <w:tcPr>
            <w:tcW w:w="1640" w:type="dxa"/>
            <w:vAlign w:val="bottom"/>
          </w:tcPr>
          <w:p>
            <w:pPr>
              <w:jc w:val="right"/>
              <w:ind w:right="311"/>
              <w:spacing w:after="0"/>
              <w:rPr>
                <w:sz w:val="20"/>
                <w:szCs w:val="20"/>
                <w:color w:val="auto"/>
              </w:rPr>
            </w:pPr>
            <w:r>
              <w:rPr>
                <w:rFonts w:ascii="Arial" w:cs="Arial" w:eastAsia="Arial" w:hAnsi="Arial"/>
                <w:sz w:val="14"/>
                <w:szCs w:val="14"/>
                <w:color w:val="auto"/>
              </w:rPr>
              <w:t>37,787</w:t>
            </w:r>
          </w:p>
        </w:tc>
        <w:tc>
          <w:tcPr>
            <w:tcW w:w="1740" w:type="dxa"/>
            <w:vAlign w:val="bottom"/>
          </w:tcPr>
          <w:p>
            <w:pPr>
              <w:ind w:left="900"/>
              <w:spacing w:after="0"/>
              <w:rPr>
                <w:sz w:val="20"/>
                <w:szCs w:val="20"/>
                <w:color w:val="auto"/>
              </w:rPr>
            </w:pPr>
            <w:r>
              <w:rPr>
                <w:rFonts w:ascii="Arial" w:cs="Arial" w:eastAsia="Arial" w:hAnsi="Arial"/>
                <w:sz w:val="14"/>
                <w:szCs w:val="14"/>
                <w:color w:val="auto"/>
              </w:rPr>
              <w:t>88,086</w:t>
            </w:r>
          </w:p>
        </w:tc>
      </w:tr>
      <w:tr>
        <w:trPr>
          <w:trHeight w:val="39"/>
        </w:trPr>
        <w:tc>
          <w:tcPr>
            <w:tcW w:w="2560" w:type="dxa"/>
            <w:vAlign w:val="bottom"/>
            <w:tcBorders>
              <w:bottom w:val="single" w:sz="8" w:color="7F7F7F"/>
            </w:tcBorders>
          </w:tcPr>
          <w:p>
            <w:pPr>
              <w:spacing w:after="0"/>
              <w:rPr>
                <w:sz w:val="3"/>
                <w:szCs w:val="3"/>
                <w:color w:val="auto"/>
              </w:rPr>
            </w:pPr>
          </w:p>
        </w:tc>
        <w:tc>
          <w:tcPr>
            <w:tcW w:w="2760" w:type="dxa"/>
            <w:vAlign w:val="bottom"/>
            <w:tcBorders>
              <w:bottom w:val="single" w:sz="8" w:color="7F7F7F"/>
            </w:tcBorders>
          </w:tcPr>
          <w:p>
            <w:pPr>
              <w:spacing w:after="0"/>
              <w:rPr>
                <w:sz w:val="3"/>
                <w:szCs w:val="3"/>
                <w:color w:val="auto"/>
              </w:rPr>
            </w:pPr>
          </w:p>
        </w:tc>
        <w:tc>
          <w:tcPr>
            <w:tcW w:w="1600" w:type="dxa"/>
            <w:vAlign w:val="bottom"/>
            <w:tcBorders>
              <w:bottom w:val="single" w:sz="8" w:color="7F7F7F"/>
            </w:tcBorders>
          </w:tcPr>
          <w:p>
            <w:pPr>
              <w:spacing w:after="0"/>
              <w:rPr>
                <w:sz w:val="3"/>
                <w:szCs w:val="3"/>
                <w:color w:val="auto"/>
              </w:rPr>
            </w:pPr>
          </w:p>
        </w:tc>
        <w:tc>
          <w:tcPr>
            <w:tcW w:w="1640" w:type="dxa"/>
            <w:vAlign w:val="bottom"/>
            <w:tcBorders>
              <w:bottom w:val="single" w:sz="8" w:color="7F7F7F"/>
            </w:tcBorders>
          </w:tcPr>
          <w:p>
            <w:pPr>
              <w:spacing w:after="0"/>
              <w:rPr>
                <w:sz w:val="3"/>
                <w:szCs w:val="3"/>
                <w:color w:val="auto"/>
              </w:rPr>
            </w:pPr>
          </w:p>
        </w:tc>
        <w:tc>
          <w:tcPr>
            <w:tcW w:w="1740" w:type="dxa"/>
            <w:vAlign w:val="bottom"/>
            <w:tcBorders>
              <w:bottom w:val="single" w:sz="8" w:color="7F7F7F"/>
            </w:tcBorders>
          </w:tcPr>
          <w:p>
            <w:pPr>
              <w:spacing w:after="0"/>
              <w:rPr>
                <w:sz w:val="3"/>
                <w:szCs w:val="3"/>
                <w:color w:val="auto"/>
              </w:rPr>
            </w:pPr>
          </w:p>
        </w:tc>
      </w:tr>
      <w:tr>
        <w:trPr>
          <w:trHeight w:val="374"/>
        </w:trPr>
        <w:tc>
          <w:tcPr>
            <w:tcW w:w="2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40" w:type="dxa"/>
            <w:vAlign w:val="bottom"/>
          </w:tcPr>
          <w:p>
            <w:pPr>
              <w:jc w:val="right"/>
              <w:ind w:right="291"/>
              <w:spacing w:after="0"/>
              <w:rPr>
                <w:sz w:val="20"/>
                <w:szCs w:val="20"/>
                <w:color w:val="auto"/>
              </w:rPr>
            </w:pPr>
            <w:r>
              <w:rPr>
                <w:rFonts w:ascii="Arial" w:cs="Arial" w:eastAsia="Arial" w:hAnsi="Arial"/>
                <w:sz w:val="14"/>
                <w:szCs w:val="14"/>
                <w:b w:val="1"/>
                <w:bCs w:val="1"/>
                <w:color w:val="0A9E50"/>
              </w:rPr>
              <w:t>Supplemental</w:t>
            </w:r>
          </w:p>
        </w:tc>
        <w:tc>
          <w:tcPr>
            <w:tcW w:w="1740" w:type="dxa"/>
            <w:vAlign w:val="bottom"/>
          </w:tcPr>
          <w:p>
            <w:pPr>
              <w:spacing w:after="0"/>
              <w:rPr>
                <w:sz w:val="24"/>
                <w:szCs w:val="24"/>
                <w:color w:val="auto"/>
              </w:rPr>
            </w:pPr>
          </w:p>
        </w:tc>
      </w:tr>
      <w:tr>
        <w:trPr>
          <w:trHeight w:val="156"/>
        </w:trPr>
        <w:tc>
          <w:tcPr>
            <w:tcW w:w="2560" w:type="dxa"/>
            <w:vAlign w:val="bottom"/>
          </w:tcPr>
          <w:p>
            <w:pPr>
              <w:spacing w:after="0"/>
              <w:rPr>
                <w:sz w:val="13"/>
                <w:szCs w:val="13"/>
                <w:color w:val="auto"/>
              </w:rPr>
            </w:pPr>
          </w:p>
        </w:tc>
        <w:tc>
          <w:tcPr>
            <w:tcW w:w="2760" w:type="dxa"/>
            <w:vAlign w:val="bottom"/>
          </w:tcPr>
          <w:p>
            <w:pPr>
              <w:ind w:left="1460"/>
              <w:spacing w:after="0" w:line="156" w:lineRule="exact"/>
              <w:rPr>
                <w:sz w:val="20"/>
                <w:szCs w:val="20"/>
                <w:color w:val="auto"/>
              </w:rPr>
            </w:pPr>
            <w:r>
              <w:rPr>
                <w:rFonts w:ascii="Arial" w:cs="Arial" w:eastAsia="Arial" w:hAnsi="Arial"/>
                <w:sz w:val="14"/>
                <w:szCs w:val="14"/>
                <w:b w:val="1"/>
                <w:bCs w:val="1"/>
                <w:color w:val="0A9E50"/>
              </w:rPr>
              <w:t>Representation</w:t>
            </w:r>
          </w:p>
        </w:tc>
        <w:tc>
          <w:tcPr>
            <w:tcW w:w="1600" w:type="dxa"/>
            <w:vAlign w:val="bottom"/>
          </w:tcPr>
          <w:p>
            <w:pPr>
              <w:jc w:val="right"/>
              <w:ind w:right="271"/>
              <w:spacing w:after="0" w:line="156" w:lineRule="exact"/>
              <w:rPr>
                <w:sz w:val="20"/>
                <w:szCs w:val="20"/>
                <w:color w:val="auto"/>
              </w:rPr>
            </w:pPr>
            <w:r>
              <w:rPr>
                <w:rFonts w:ascii="Arial" w:cs="Arial" w:eastAsia="Arial" w:hAnsi="Arial"/>
                <w:sz w:val="14"/>
                <w:szCs w:val="14"/>
                <w:b w:val="1"/>
                <w:bCs w:val="1"/>
                <w:color w:val="0A9E50"/>
              </w:rPr>
              <w:t>Supplemental</w:t>
            </w:r>
          </w:p>
        </w:tc>
        <w:tc>
          <w:tcPr>
            <w:tcW w:w="1640" w:type="dxa"/>
            <w:vAlign w:val="bottom"/>
          </w:tcPr>
          <w:p>
            <w:pPr>
              <w:jc w:val="right"/>
              <w:ind w:right="471"/>
              <w:spacing w:after="0" w:line="156" w:lineRule="exact"/>
              <w:rPr>
                <w:sz w:val="20"/>
                <w:szCs w:val="20"/>
                <w:color w:val="auto"/>
              </w:rPr>
            </w:pPr>
            <w:r>
              <w:rPr>
                <w:rFonts w:ascii="Arial" w:cs="Arial" w:eastAsia="Arial" w:hAnsi="Arial"/>
                <w:sz w:val="14"/>
                <w:szCs w:val="14"/>
                <w:b w:val="1"/>
                <w:bCs w:val="1"/>
                <w:color w:val="0A9E50"/>
              </w:rPr>
              <w:t>Pension</w:t>
            </w:r>
          </w:p>
        </w:tc>
        <w:tc>
          <w:tcPr>
            <w:tcW w:w="1740" w:type="dxa"/>
            <w:vAlign w:val="bottom"/>
          </w:tcPr>
          <w:p>
            <w:pPr>
              <w:ind w:left="380"/>
              <w:spacing w:after="0" w:line="156" w:lineRule="exact"/>
              <w:rPr>
                <w:sz w:val="20"/>
                <w:szCs w:val="20"/>
                <w:color w:val="auto"/>
              </w:rPr>
            </w:pPr>
            <w:r>
              <w:rPr>
                <w:rFonts w:ascii="Arial" w:cs="Arial" w:eastAsia="Arial" w:hAnsi="Arial"/>
                <w:sz w:val="14"/>
                <w:szCs w:val="14"/>
                <w:b w:val="1"/>
                <w:bCs w:val="1"/>
                <w:color w:val="0A9E50"/>
              </w:rPr>
              <w:t>Total All Other</w:t>
            </w:r>
          </w:p>
        </w:tc>
      </w:tr>
      <w:tr>
        <w:trPr>
          <w:trHeight w:val="166"/>
        </w:trPr>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9E50"/>
              </w:rPr>
              <w:t>Name</w:t>
            </w:r>
          </w:p>
        </w:tc>
        <w:tc>
          <w:tcPr>
            <w:tcW w:w="276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0A9E50"/>
              </w:rPr>
              <w:t>Allowance</w:t>
            </w:r>
          </w:p>
        </w:tc>
        <w:tc>
          <w:tcPr>
            <w:tcW w:w="16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0A9E50"/>
              </w:rPr>
              <w:t>Health Care</w:t>
            </w:r>
          </w:p>
        </w:tc>
        <w:tc>
          <w:tcPr>
            <w:tcW w:w="16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0A9E50"/>
              </w:rPr>
              <w:t>Contributions</w:t>
            </w:r>
          </w:p>
        </w:tc>
        <w:tc>
          <w:tcPr>
            <w:tcW w:w="17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0A9E50"/>
              </w:rPr>
              <w:t>Compensation</w:t>
            </w:r>
          </w:p>
        </w:tc>
      </w:tr>
      <w:tr>
        <w:trPr>
          <w:trHeight w:val="227"/>
        </w:trPr>
        <w:tc>
          <w:tcPr>
            <w:tcW w:w="2560" w:type="dxa"/>
            <w:vAlign w:val="bottom"/>
          </w:tcPr>
          <w:p>
            <w:pPr>
              <w:ind w:left="80"/>
              <w:spacing w:after="0"/>
              <w:rPr>
                <w:sz w:val="20"/>
                <w:szCs w:val="20"/>
                <w:color w:val="auto"/>
              </w:rPr>
            </w:pPr>
            <w:r>
              <w:rPr>
                <w:rFonts w:ascii="Arial" w:cs="Arial" w:eastAsia="Arial" w:hAnsi="Arial"/>
                <w:sz w:val="14"/>
                <w:szCs w:val="14"/>
                <w:b w:val="1"/>
                <w:bCs w:val="1"/>
                <w:color w:val="auto"/>
              </w:rPr>
              <w:t>Dinette Koolhaas</w:t>
            </w:r>
          </w:p>
        </w:tc>
        <w:tc>
          <w:tcPr>
            <w:tcW w:w="2760" w:type="dxa"/>
            <w:vAlign w:val="bottom"/>
          </w:tcPr>
          <w:p>
            <w:pPr>
              <w:jc w:val="right"/>
              <w:ind w:right="211"/>
              <w:spacing w:after="0"/>
              <w:rPr>
                <w:sz w:val="20"/>
                <w:szCs w:val="20"/>
                <w:color w:val="auto"/>
              </w:rPr>
            </w:pPr>
            <w:r>
              <w:rPr>
                <w:rFonts w:ascii="Arial" w:cs="Arial" w:eastAsia="Arial" w:hAnsi="Arial"/>
                <w:sz w:val="14"/>
                <w:szCs w:val="14"/>
                <w:color w:val="auto"/>
              </w:rPr>
              <w:t>20,016</w:t>
            </w:r>
          </w:p>
        </w:tc>
        <w:tc>
          <w:tcPr>
            <w:tcW w:w="1600" w:type="dxa"/>
            <w:vAlign w:val="bottom"/>
          </w:tcPr>
          <w:p>
            <w:pPr>
              <w:jc w:val="right"/>
              <w:ind w:right="271"/>
              <w:spacing w:after="0"/>
              <w:rPr>
                <w:sz w:val="20"/>
                <w:szCs w:val="20"/>
                <w:color w:val="auto"/>
              </w:rPr>
            </w:pPr>
            <w:r>
              <w:rPr>
                <w:rFonts w:ascii="Arial" w:cs="Arial" w:eastAsia="Arial" w:hAnsi="Arial"/>
                <w:sz w:val="14"/>
                <w:szCs w:val="14"/>
                <w:color w:val="auto"/>
              </w:rPr>
              <w:t>6,305</w:t>
            </w:r>
          </w:p>
        </w:tc>
        <w:tc>
          <w:tcPr>
            <w:tcW w:w="1640" w:type="dxa"/>
            <w:vAlign w:val="bottom"/>
          </w:tcPr>
          <w:p>
            <w:pPr>
              <w:jc w:val="right"/>
              <w:ind w:right="271"/>
              <w:spacing w:after="0"/>
              <w:rPr>
                <w:sz w:val="20"/>
                <w:szCs w:val="20"/>
                <w:color w:val="auto"/>
              </w:rPr>
            </w:pPr>
            <w:r>
              <w:rPr>
                <w:rFonts w:ascii="Arial" w:cs="Arial" w:eastAsia="Arial" w:hAnsi="Arial"/>
                <w:sz w:val="14"/>
                <w:szCs w:val="14"/>
                <w:color w:val="auto"/>
              </w:rPr>
              <w:t>23,699</w:t>
            </w:r>
          </w:p>
        </w:tc>
        <w:tc>
          <w:tcPr>
            <w:tcW w:w="1740" w:type="dxa"/>
            <w:vAlign w:val="bottom"/>
          </w:tcPr>
          <w:p>
            <w:pPr>
              <w:ind w:left="920"/>
              <w:spacing w:after="0"/>
              <w:rPr>
                <w:sz w:val="20"/>
                <w:szCs w:val="20"/>
                <w:color w:val="auto"/>
              </w:rPr>
            </w:pPr>
            <w:r>
              <w:rPr>
                <w:rFonts w:ascii="Arial" w:cs="Arial" w:eastAsia="Arial" w:hAnsi="Arial"/>
                <w:sz w:val="14"/>
                <w:szCs w:val="14"/>
                <w:color w:val="auto"/>
              </w:rPr>
              <w:t>50,020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24765</wp:posOffset>
            </wp:positionV>
            <wp:extent cx="653415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534150" cy="8255"/>
                    </a:xfrm>
                    <a:prstGeom prst="rect">
                      <a:avLst/>
                    </a:prstGeom>
                    <a:noFill/>
                  </pic:spPr>
                </pic:pic>
              </a:graphicData>
            </a:graphic>
          </wp:anchor>
        </w:drawing>
      </w:r>
    </w:p>
    <w:p>
      <w:pPr>
        <w:spacing w:after="0" w:line="92" w:lineRule="exact"/>
        <w:rPr>
          <w:sz w:val="20"/>
          <w:szCs w:val="20"/>
          <w:color w:val="auto"/>
        </w:rPr>
      </w:pPr>
    </w:p>
    <w:p>
      <w:pPr>
        <w:ind w:left="620" w:right="40" w:hanging="304"/>
        <w:spacing w:after="0" w:line="264" w:lineRule="auto"/>
        <w:tabs>
          <w:tab w:leader="none" w:pos="6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Amounts reported for Mr. Thirot and Ms. Koolhaas are converted from Swiss Francs to U.S. Dollars at an exchange rate of 1 CHF = 1.112 USD. This is calculated using the IRS Yearly Average Currency Exchange Rate for Switzerland for 2023 of 0.899 (1 CHF ÷ 0.899 = $1.112).</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Grants of Plan-Based Awards 2023</w:t>
      </w:r>
      <w:r>
        <w:rPr>
          <w:rFonts w:ascii="Arial" w:cs="Arial" w:eastAsia="Arial" w:hAnsi="Arial"/>
          <w:sz w:val="15"/>
          <w:szCs w:val="15"/>
          <w:b w:val="1"/>
          <w:bCs w:val="1"/>
          <w:color w:val="auto"/>
        </w:rPr>
        <w:t>(1)</w:t>
      </w: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A9E50"/>
                <w:w w:val="99"/>
              </w:rPr>
              <w:t>Estimated Future Payouts</w:t>
            </w:r>
          </w:p>
        </w:tc>
        <w:tc>
          <w:tcPr>
            <w:tcW w:w="20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A9E50"/>
                <w:w w:val="98"/>
              </w:rPr>
              <w:t>Estimated Future Payouts</w:t>
            </w:r>
          </w:p>
        </w:tc>
        <w:tc>
          <w:tcPr>
            <w:tcW w:w="1000" w:type="dxa"/>
            <w:vAlign w:val="bottom"/>
          </w:tcPr>
          <w:p>
            <w:pPr>
              <w:jc w:val="center"/>
              <w:ind w:left="72"/>
              <w:spacing w:after="0"/>
              <w:rPr>
                <w:sz w:val="20"/>
                <w:szCs w:val="20"/>
                <w:color w:val="auto"/>
              </w:rPr>
            </w:pPr>
            <w:r>
              <w:rPr>
                <w:rFonts w:ascii="Arial" w:cs="Arial" w:eastAsia="Arial" w:hAnsi="Arial"/>
                <w:sz w:val="14"/>
                <w:szCs w:val="14"/>
                <w:b w:val="1"/>
                <w:bCs w:val="1"/>
                <w:color w:val="0A9E50"/>
                <w:w w:val="98"/>
              </w:rPr>
              <w:t>All Other</w:t>
            </w:r>
          </w:p>
        </w:tc>
        <w:tc>
          <w:tcPr>
            <w:tcW w:w="760" w:type="dxa"/>
            <w:vAlign w:val="bottom"/>
          </w:tcPr>
          <w:p>
            <w:pPr>
              <w:jc w:val="center"/>
              <w:ind w:left="11"/>
              <w:spacing w:after="0"/>
              <w:rPr>
                <w:sz w:val="20"/>
                <w:szCs w:val="20"/>
                <w:color w:val="auto"/>
              </w:rPr>
            </w:pPr>
            <w:r>
              <w:rPr>
                <w:rFonts w:ascii="Arial" w:cs="Arial" w:eastAsia="Arial" w:hAnsi="Arial"/>
                <w:sz w:val="14"/>
                <w:szCs w:val="14"/>
                <w:b w:val="1"/>
                <w:bCs w:val="1"/>
                <w:color w:val="0A9E50"/>
                <w:w w:val="96"/>
              </w:rPr>
              <w:t>Grant</w:t>
            </w:r>
          </w:p>
        </w:tc>
        <w:tc>
          <w:tcPr>
            <w:tcW w:w="0" w:type="dxa"/>
            <w:vAlign w:val="bottom"/>
          </w:tcPr>
          <w:p>
            <w:pPr>
              <w:spacing w:after="0"/>
              <w:rPr>
                <w:sz w:val="1"/>
                <w:szCs w:val="1"/>
                <w:color w:val="auto"/>
              </w:rPr>
            </w:pPr>
          </w:p>
        </w:tc>
      </w:tr>
      <w:tr>
        <w:trPr>
          <w:trHeight w:val="140"/>
        </w:trPr>
        <w:tc>
          <w:tcPr>
            <w:tcW w:w="2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76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0A9E50"/>
              </w:rPr>
              <w:t>Stock Awards: Date Fair</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80" w:type="dxa"/>
            <w:vAlign w:val="bottom"/>
            <w:gridSpan w:val="3"/>
          </w:tcPr>
          <w:p>
            <w:pPr>
              <w:jc w:val="center"/>
              <w:spacing w:after="0" w:line="156" w:lineRule="exact"/>
              <w:rPr>
                <w:sz w:val="20"/>
                <w:szCs w:val="20"/>
                <w:color w:val="auto"/>
              </w:rPr>
            </w:pPr>
            <w:r>
              <w:rPr>
                <w:rFonts w:ascii="Arial" w:cs="Arial" w:eastAsia="Arial" w:hAnsi="Arial"/>
                <w:sz w:val="14"/>
                <w:szCs w:val="14"/>
                <w:b w:val="1"/>
                <w:bCs w:val="1"/>
                <w:color w:val="0A9E50"/>
                <w:w w:val="99"/>
              </w:rPr>
              <w:t>Under Non-Equity Incentive</w:t>
            </w:r>
          </w:p>
        </w:tc>
        <w:tc>
          <w:tcPr>
            <w:tcW w:w="2060" w:type="dxa"/>
            <w:vAlign w:val="bottom"/>
            <w:gridSpan w:val="3"/>
          </w:tcPr>
          <w:p>
            <w:pPr>
              <w:jc w:val="center"/>
              <w:spacing w:after="0" w:line="156" w:lineRule="exact"/>
              <w:rPr>
                <w:sz w:val="20"/>
                <w:szCs w:val="20"/>
                <w:color w:val="auto"/>
              </w:rPr>
            </w:pPr>
            <w:r>
              <w:rPr>
                <w:rFonts w:ascii="Arial" w:cs="Arial" w:eastAsia="Arial" w:hAnsi="Arial"/>
                <w:sz w:val="14"/>
                <w:szCs w:val="14"/>
                <w:b w:val="1"/>
                <w:bCs w:val="1"/>
                <w:color w:val="0A9E50"/>
                <w:w w:val="98"/>
              </w:rPr>
              <w:t>Under Equity Incentive Plan</w:t>
            </w:r>
          </w:p>
        </w:tc>
        <w:tc>
          <w:tcPr>
            <w:tcW w:w="1000" w:type="dxa"/>
            <w:vAlign w:val="bottom"/>
          </w:tcPr>
          <w:p>
            <w:pPr>
              <w:jc w:val="center"/>
              <w:ind w:left="72"/>
              <w:spacing w:after="0" w:line="156" w:lineRule="exact"/>
              <w:rPr>
                <w:sz w:val="20"/>
                <w:szCs w:val="20"/>
                <w:color w:val="auto"/>
              </w:rPr>
            </w:pPr>
            <w:r>
              <w:rPr>
                <w:rFonts w:ascii="Arial" w:cs="Arial" w:eastAsia="Arial" w:hAnsi="Arial"/>
                <w:sz w:val="14"/>
                <w:szCs w:val="14"/>
                <w:b w:val="1"/>
                <w:bCs w:val="1"/>
                <w:color w:val="0A9E50"/>
                <w:w w:val="99"/>
              </w:rPr>
              <w:t>Number of</w:t>
            </w:r>
          </w:p>
        </w:tc>
        <w:tc>
          <w:tcPr>
            <w:tcW w:w="76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0A9E50"/>
                <w:w w:val="95"/>
              </w:rPr>
              <w:t>Value of</w:t>
            </w: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80" w:type="dxa"/>
            <w:vAlign w:val="bottom"/>
            <w:gridSpan w:val="3"/>
          </w:tcPr>
          <w:p>
            <w:pPr>
              <w:jc w:val="center"/>
              <w:spacing w:after="0" w:line="173" w:lineRule="exact"/>
              <w:rPr>
                <w:sz w:val="20"/>
                <w:szCs w:val="20"/>
                <w:color w:val="auto"/>
              </w:rPr>
            </w:pPr>
            <w:r>
              <w:rPr>
                <w:rFonts w:ascii="Arial" w:cs="Arial" w:eastAsia="Arial" w:hAnsi="Arial"/>
                <w:sz w:val="14"/>
                <w:szCs w:val="14"/>
                <w:b w:val="1"/>
                <w:bCs w:val="1"/>
                <w:color w:val="0A9E50"/>
                <w:w w:val="95"/>
              </w:rPr>
              <w:t>Plan Awards</w:t>
            </w:r>
            <w:r>
              <w:rPr>
                <w:rFonts w:ascii="Arial" w:cs="Arial" w:eastAsia="Arial" w:hAnsi="Arial"/>
                <w:sz w:val="20"/>
                <w:szCs w:val="20"/>
                <w:b w:val="1"/>
                <w:bCs w:val="1"/>
                <w:color w:val="0A9E50"/>
                <w:w w:val="95"/>
                <w:vertAlign w:val="superscript"/>
              </w:rPr>
              <w:t>(3)</w:t>
            </w:r>
          </w:p>
        </w:tc>
        <w:tc>
          <w:tcPr>
            <w:tcW w:w="720" w:type="dxa"/>
            <w:vAlign w:val="bottom"/>
          </w:tcPr>
          <w:p>
            <w:pPr>
              <w:spacing w:after="0"/>
              <w:rPr>
                <w:sz w:val="15"/>
                <w:szCs w:val="15"/>
                <w:color w:val="auto"/>
              </w:rPr>
            </w:pPr>
          </w:p>
        </w:tc>
        <w:tc>
          <w:tcPr>
            <w:tcW w:w="660" w:type="dxa"/>
            <w:vAlign w:val="bottom"/>
          </w:tcPr>
          <w:p>
            <w:pPr>
              <w:jc w:val="center"/>
              <w:spacing w:after="0" w:line="173" w:lineRule="exact"/>
              <w:rPr>
                <w:sz w:val="20"/>
                <w:szCs w:val="20"/>
                <w:color w:val="auto"/>
              </w:rPr>
            </w:pPr>
            <w:r>
              <w:rPr>
                <w:rFonts w:ascii="Arial" w:cs="Arial" w:eastAsia="Arial" w:hAnsi="Arial"/>
                <w:sz w:val="14"/>
                <w:szCs w:val="14"/>
                <w:b w:val="1"/>
                <w:bCs w:val="1"/>
                <w:color w:val="0A9E50"/>
                <w:w w:val="92"/>
              </w:rPr>
              <w:t>Awards</w:t>
            </w:r>
            <w:r>
              <w:rPr>
                <w:rFonts w:ascii="Arial" w:cs="Arial" w:eastAsia="Arial" w:hAnsi="Arial"/>
                <w:sz w:val="20"/>
                <w:szCs w:val="20"/>
                <w:b w:val="1"/>
                <w:bCs w:val="1"/>
                <w:color w:val="0A9E50"/>
                <w:w w:val="92"/>
                <w:vertAlign w:val="superscript"/>
              </w:rPr>
              <w:t>(4)</w:t>
            </w:r>
          </w:p>
        </w:tc>
        <w:tc>
          <w:tcPr>
            <w:tcW w:w="680" w:type="dxa"/>
            <w:vAlign w:val="bottom"/>
          </w:tcPr>
          <w:p>
            <w:pPr>
              <w:spacing w:after="0"/>
              <w:rPr>
                <w:sz w:val="15"/>
                <w:szCs w:val="15"/>
                <w:color w:val="auto"/>
              </w:rPr>
            </w:pPr>
          </w:p>
        </w:tc>
        <w:tc>
          <w:tcPr>
            <w:tcW w:w="1000" w:type="dxa"/>
            <w:vAlign w:val="bottom"/>
          </w:tcPr>
          <w:p>
            <w:pPr>
              <w:jc w:val="center"/>
              <w:ind w:left="72"/>
              <w:spacing w:after="0"/>
              <w:rPr>
                <w:sz w:val="20"/>
                <w:szCs w:val="20"/>
                <w:color w:val="auto"/>
              </w:rPr>
            </w:pPr>
            <w:r>
              <w:rPr>
                <w:rFonts w:ascii="Arial" w:cs="Arial" w:eastAsia="Arial" w:hAnsi="Arial"/>
                <w:sz w:val="14"/>
                <w:szCs w:val="14"/>
                <w:b w:val="1"/>
                <w:bCs w:val="1"/>
                <w:color w:val="0A9E50"/>
                <w:w w:val="97"/>
              </w:rPr>
              <w:t>Shares of</w:t>
            </w:r>
          </w:p>
        </w:tc>
        <w:tc>
          <w:tcPr>
            <w:tcW w:w="760" w:type="dxa"/>
            <w:vAlign w:val="bottom"/>
          </w:tcPr>
          <w:p>
            <w:pPr>
              <w:jc w:val="center"/>
              <w:ind w:left="11"/>
              <w:spacing w:after="0"/>
              <w:rPr>
                <w:sz w:val="20"/>
                <w:szCs w:val="20"/>
                <w:color w:val="auto"/>
              </w:rPr>
            </w:pPr>
            <w:r>
              <w:rPr>
                <w:rFonts w:ascii="Arial" w:cs="Arial" w:eastAsia="Arial" w:hAnsi="Arial"/>
                <w:sz w:val="14"/>
                <w:szCs w:val="14"/>
                <w:b w:val="1"/>
                <w:bCs w:val="1"/>
                <w:color w:val="0A9E50"/>
              </w:rPr>
              <w:t>Stock and</w:t>
            </w:r>
          </w:p>
        </w:tc>
        <w:tc>
          <w:tcPr>
            <w:tcW w:w="0" w:type="dxa"/>
            <w:vAlign w:val="bottom"/>
          </w:tcPr>
          <w:p>
            <w:pPr>
              <w:spacing w:after="0"/>
              <w:rPr>
                <w:sz w:val="1"/>
                <w:szCs w:val="1"/>
                <w:color w:val="auto"/>
              </w:rPr>
            </w:pPr>
          </w:p>
        </w:tc>
      </w:tr>
      <w:tr>
        <w:trPr>
          <w:trHeight w:val="48"/>
        </w:trPr>
        <w:tc>
          <w:tcPr>
            <w:tcW w:w="2280" w:type="dxa"/>
            <w:vAlign w:val="bottom"/>
          </w:tcPr>
          <w:p>
            <w:pPr>
              <w:spacing w:after="0"/>
              <w:rPr>
                <w:sz w:val="4"/>
                <w:szCs w:val="4"/>
                <w:color w:val="auto"/>
              </w:rPr>
            </w:pPr>
          </w:p>
        </w:tc>
        <w:tc>
          <w:tcPr>
            <w:tcW w:w="1580" w:type="dxa"/>
            <w:vAlign w:val="bottom"/>
            <w:vMerge w:val="restart"/>
          </w:tcPr>
          <w:p>
            <w:pPr>
              <w:jc w:val="center"/>
              <w:ind w:left="811"/>
              <w:spacing w:after="0"/>
              <w:rPr>
                <w:sz w:val="20"/>
                <w:szCs w:val="20"/>
                <w:color w:val="auto"/>
              </w:rPr>
            </w:pPr>
            <w:r>
              <w:rPr>
                <w:rFonts w:ascii="Arial" w:cs="Arial" w:eastAsia="Arial" w:hAnsi="Arial"/>
                <w:sz w:val="14"/>
                <w:szCs w:val="14"/>
                <w:b w:val="1"/>
                <w:bCs w:val="1"/>
                <w:color w:val="0A9E50"/>
              </w:rPr>
              <w:t>Grant</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0A9E50"/>
                <w:w w:val="98"/>
              </w:rPr>
              <w:t>Approval</w:t>
            </w: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vMerge w:val="restart"/>
          </w:tcPr>
          <w:p>
            <w:pPr>
              <w:jc w:val="center"/>
              <w:ind w:left="72"/>
              <w:spacing w:after="0" w:line="153" w:lineRule="exact"/>
              <w:rPr>
                <w:sz w:val="20"/>
                <w:szCs w:val="20"/>
                <w:color w:val="auto"/>
              </w:rPr>
            </w:pPr>
            <w:r>
              <w:rPr>
                <w:rFonts w:ascii="Arial" w:cs="Arial" w:eastAsia="Arial" w:hAnsi="Arial"/>
                <w:sz w:val="14"/>
                <w:szCs w:val="14"/>
                <w:b w:val="1"/>
                <w:bCs w:val="1"/>
                <w:color w:val="0A9E50"/>
                <w:w w:val="96"/>
              </w:rPr>
              <w:t>Stock or</w:t>
            </w:r>
          </w:p>
        </w:tc>
        <w:tc>
          <w:tcPr>
            <w:tcW w:w="760" w:type="dxa"/>
            <w:vAlign w:val="bottom"/>
            <w:vMerge w:val="restart"/>
          </w:tcPr>
          <w:p>
            <w:pPr>
              <w:jc w:val="center"/>
              <w:ind w:left="11"/>
              <w:spacing w:after="0" w:line="153" w:lineRule="exact"/>
              <w:rPr>
                <w:sz w:val="20"/>
                <w:szCs w:val="20"/>
                <w:color w:val="auto"/>
              </w:rPr>
            </w:pPr>
            <w:r>
              <w:rPr>
                <w:rFonts w:ascii="Arial" w:cs="Arial" w:eastAsia="Arial" w:hAnsi="Arial"/>
                <w:sz w:val="14"/>
                <w:szCs w:val="14"/>
                <w:b w:val="1"/>
                <w:bCs w:val="1"/>
                <w:color w:val="0A9E50"/>
                <w:w w:val="97"/>
              </w:rPr>
              <w:t>Option</w:t>
            </w:r>
          </w:p>
        </w:tc>
        <w:tc>
          <w:tcPr>
            <w:tcW w:w="0" w:type="dxa"/>
            <w:vAlign w:val="bottom"/>
          </w:tcPr>
          <w:p>
            <w:pPr>
              <w:spacing w:after="0"/>
              <w:rPr>
                <w:sz w:val="1"/>
                <w:szCs w:val="1"/>
                <w:color w:val="auto"/>
              </w:rPr>
            </w:pPr>
          </w:p>
        </w:tc>
      </w:tr>
      <w:tr>
        <w:trPr>
          <w:trHeight w:val="84"/>
        </w:trPr>
        <w:tc>
          <w:tcPr>
            <w:tcW w:w="228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22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820" w:type="dxa"/>
            <w:vAlign w:val="bottom"/>
          </w:tcPr>
          <w:p>
            <w:pPr>
              <w:ind w:left="100"/>
              <w:spacing w:after="0" w:line="143" w:lineRule="exact"/>
              <w:rPr>
                <w:sz w:val="20"/>
                <w:szCs w:val="20"/>
                <w:color w:val="auto"/>
              </w:rPr>
            </w:pPr>
            <w:r>
              <w:rPr>
                <w:rFonts w:ascii="Arial" w:cs="Arial" w:eastAsia="Arial" w:hAnsi="Arial"/>
                <w:sz w:val="14"/>
                <w:szCs w:val="14"/>
                <w:b w:val="1"/>
                <w:bCs w:val="1"/>
                <w:color w:val="0A9E50"/>
              </w:rPr>
              <w:t>Threshold</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0A9E50"/>
                <w:w w:val="98"/>
              </w:rPr>
              <w:t>Target</w:t>
            </w:r>
          </w:p>
        </w:tc>
        <w:tc>
          <w:tcPr>
            <w:tcW w:w="740" w:type="dxa"/>
            <w:vAlign w:val="bottom"/>
          </w:tcPr>
          <w:p>
            <w:pPr>
              <w:ind w:left="40"/>
              <w:spacing w:after="0" w:line="143" w:lineRule="exact"/>
              <w:rPr>
                <w:sz w:val="20"/>
                <w:szCs w:val="20"/>
                <w:color w:val="auto"/>
              </w:rPr>
            </w:pPr>
            <w:r>
              <w:rPr>
                <w:rFonts w:ascii="Arial" w:cs="Arial" w:eastAsia="Arial" w:hAnsi="Arial"/>
                <w:sz w:val="14"/>
                <w:szCs w:val="14"/>
                <w:b w:val="1"/>
                <w:bCs w:val="1"/>
                <w:color w:val="0A9E50"/>
              </w:rPr>
              <w:t>Maximum</w:t>
            </w:r>
          </w:p>
        </w:tc>
        <w:tc>
          <w:tcPr>
            <w:tcW w:w="720" w:type="dxa"/>
            <w:vAlign w:val="bottom"/>
          </w:tcPr>
          <w:p>
            <w:pPr>
              <w:ind w:left="40"/>
              <w:spacing w:after="0" w:line="143" w:lineRule="exact"/>
              <w:rPr>
                <w:sz w:val="20"/>
                <w:szCs w:val="20"/>
                <w:color w:val="auto"/>
              </w:rPr>
            </w:pPr>
            <w:r>
              <w:rPr>
                <w:rFonts w:ascii="Arial" w:cs="Arial" w:eastAsia="Arial" w:hAnsi="Arial"/>
                <w:sz w:val="14"/>
                <w:szCs w:val="14"/>
                <w:b w:val="1"/>
                <w:bCs w:val="1"/>
                <w:color w:val="0A9E50"/>
                <w:w w:val="97"/>
              </w:rPr>
              <w:t>Threshold</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0A9E50"/>
                <w:w w:val="93"/>
              </w:rPr>
              <w:t>Target</w:t>
            </w:r>
          </w:p>
        </w:tc>
        <w:tc>
          <w:tcPr>
            <w:tcW w:w="680" w:type="dxa"/>
            <w:vAlign w:val="bottom"/>
          </w:tcPr>
          <w:p>
            <w:pPr>
              <w:ind w:left="40"/>
              <w:spacing w:after="0" w:line="143" w:lineRule="exact"/>
              <w:rPr>
                <w:sz w:val="20"/>
                <w:szCs w:val="20"/>
                <w:color w:val="auto"/>
              </w:rPr>
            </w:pPr>
            <w:r>
              <w:rPr>
                <w:rFonts w:ascii="Arial" w:cs="Arial" w:eastAsia="Arial" w:hAnsi="Arial"/>
                <w:sz w:val="14"/>
                <w:szCs w:val="14"/>
                <w:b w:val="1"/>
                <w:bCs w:val="1"/>
                <w:color w:val="0A9E50"/>
                <w:w w:val="95"/>
              </w:rPr>
              <w:t>Maximum</w:t>
            </w:r>
          </w:p>
        </w:tc>
        <w:tc>
          <w:tcPr>
            <w:tcW w:w="1000" w:type="dxa"/>
            <w:vAlign w:val="bottom"/>
          </w:tcPr>
          <w:p>
            <w:pPr>
              <w:jc w:val="center"/>
              <w:ind w:left="72"/>
              <w:spacing w:after="0" w:line="143" w:lineRule="exact"/>
              <w:rPr>
                <w:sz w:val="20"/>
                <w:szCs w:val="20"/>
                <w:color w:val="auto"/>
              </w:rPr>
            </w:pPr>
            <w:r>
              <w:rPr>
                <w:rFonts w:ascii="Arial" w:cs="Arial" w:eastAsia="Arial" w:hAnsi="Arial"/>
                <w:sz w:val="11"/>
                <w:szCs w:val="11"/>
                <w:b w:val="1"/>
                <w:bCs w:val="1"/>
                <w:color w:val="0A9E50"/>
              </w:rPr>
              <w:t>Units</w:t>
            </w:r>
            <w:r>
              <w:rPr>
                <w:rFonts w:ascii="Arial" w:cs="Arial" w:eastAsia="Arial" w:hAnsi="Arial"/>
                <w:sz w:val="16"/>
                <w:szCs w:val="16"/>
                <w:b w:val="1"/>
                <w:bCs w:val="1"/>
                <w:color w:val="0A9E50"/>
                <w:vertAlign w:val="superscript"/>
              </w:rPr>
              <w:t>(5)</w:t>
            </w:r>
          </w:p>
        </w:tc>
        <w:tc>
          <w:tcPr>
            <w:tcW w:w="760" w:type="dxa"/>
            <w:vAlign w:val="bottom"/>
          </w:tcPr>
          <w:p>
            <w:pPr>
              <w:jc w:val="center"/>
              <w:ind w:left="11"/>
              <w:spacing w:after="0" w:line="143" w:lineRule="exact"/>
              <w:rPr>
                <w:sz w:val="20"/>
                <w:szCs w:val="20"/>
                <w:color w:val="auto"/>
              </w:rPr>
            </w:pPr>
            <w:r>
              <w:rPr>
                <w:rFonts w:ascii="Arial" w:cs="Arial" w:eastAsia="Arial" w:hAnsi="Arial"/>
                <w:sz w:val="11"/>
                <w:szCs w:val="11"/>
                <w:b w:val="1"/>
                <w:bCs w:val="1"/>
                <w:color w:val="0A9E50"/>
              </w:rPr>
              <w:t>Awards</w:t>
            </w:r>
            <w:r>
              <w:rPr>
                <w:rFonts w:ascii="Arial" w:cs="Arial" w:eastAsia="Arial" w:hAnsi="Arial"/>
                <w:sz w:val="16"/>
                <w:szCs w:val="16"/>
                <w:b w:val="1"/>
                <w:bCs w:val="1"/>
                <w:color w:val="0A9E50"/>
                <w:vertAlign w:val="superscript"/>
              </w:rPr>
              <w:t>(6)</w:t>
            </w:r>
          </w:p>
        </w:tc>
        <w:tc>
          <w:tcPr>
            <w:tcW w:w="0" w:type="dxa"/>
            <w:vAlign w:val="bottom"/>
          </w:tcPr>
          <w:p>
            <w:pPr>
              <w:spacing w:after="0"/>
              <w:rPr>
                <w:sz w:val="1"/>
                <w:szCs w:val="1"/>
                <w:color w:val="auto"/>
              </w:rPr>
            </w:pPr>
          </w:p>
        </w:tc>
      </w:tr>
      <w:tr>
        <w:trPr>
          <w:trHeight w:val="247"/>
        </w:trPr>
        <w:tc>
          <w:tcPr>
            <w:tcW w:w="2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left="811"/>
              <w:spacing w:after="0"/>
              <w:rPr>
                <w:sz w:val="20"/>
                <w:szCs w:val="20"/>
                <w:color w:val="auto"/>
              </w:rPr>
            </w:pPr>
            <w:r>
              <w:rPr>
                <w:rFonts w:ascii="Arial" w:cs="Arial" w:eastAsia="Arial" w:hAnsi="Arial"/>
                <w:sz w:val="14"/>
                <w:szCs w:val="14"/>
                <w:b w:val="1"/>
                <w:bCs w:val="1"/>
                <w:color w:val="0A9E50"/>
                <w:w w:val="89"/>
              </w:rPr>
              <w:t>Date</w:t>
            </w:r>
            <w:r>
              <w:rPr>
                <w:rFonts w:ascii="Arial" w:cs="Arial" w:eastAsia="Arial" w:hAnsi="Arial"/>
                <w:sz w:val="20"/>
                <w:szCs w:val="20"/>
                <w:b w:val="1"/>
                <w:bCs w:val="1"/>
                <w:color w:val="0A9E50"/>
                <w:w w:val="89"/>
                <w:vertAlign w:val="superscript"/>
              </w:rPr>
              <w:t>(2)</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w w:val="98"/>
              </w:rPr>
              <w:t>Date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rPr>
              <w: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w w:val="93"/>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w w:val="93"/>
              </w:rPr>
              <w: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w w:val="93"/>
              </w:rPr>
              <w: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rPr>
              <w:t>(#)</w:t>
            </w:r>
          </w:p>
        </w:tc>
        <w:tc>
          <w:tcPr>
            <w:tcW w:w="100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0A9E50"/>
              </w:rPr>
              <w:t>(#)</w:t>
            </w:r>
          </w:p>
        </w:tc>
        <w:tc>
          <w:tcPr>
            <w:tcW w:w="76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0A9E50"/>
                <w:w w:val="93"/>
              </w:rPr>
              <w:t>($)</w:t>
            </w:r>
          </w:p>
        </w:tc>
        <w:tc>
          <w:tcPr>
            <w:tcW w:w="0" w:type="dxa"/>
            <w:vAlign w:val="bottom"/>
          </w:tcPr>
          <w:p>
            <w:pPr>
              <w:spacing w:after="0"/>
              <w:rPr>
                <w:sz w:val="1"/>
                <w:szCs w:val="1"/>
                <w:color w:val="auto"/>
              </w:rPr>
            </w:pPr>
          </w:p>
        </w:tc>
      </w:tr>
      <w:tr>
        <w:trPr>
          <w:trHeight w:val="192"/>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Peter W. Quigley</w:t>
            </w: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6"/>
              </w:rPr>
              <w:t>STIP</w:t>
            </w:r>
          </w:p>
        </w:tc>
        <w:tc>
          <w:tcPr>
            <w:tcW w:w="6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8"/>
              </w:rPr>
              <w:t>540,000</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1,080,000</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2,160,000</w:t>
            </w: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7"/>
              </w:rPr>
              <w:t>52,636</w:t>
            </w:r>
          </w:p>
        </w:tc>
        <w:tc>
          <w:tcPr>
            <w:tcW w:w="660" w:type="dxa"/>
            <w:vAlign w:val="bottom"/>
          </w:tcPr>
          <w:p>
            <w:pPr>
              <w:jc w:val="center"/>
              <w:spacing w:after="0"/>
              <w:rPr>
                <w:sz w:val="20"/>
                <w:szCs w:val="20"/>
                <w:color w:val="auto"/>
              </w:rPr>
            </w:pPr>
            <w:r>
              <w:rPr>
                <w:rFonts w:ascii="Arial" w:cs="Arial" w:eastAsia="Arial" w:hAnsi="Arial"/>
                <w:sz w:val="14"/>
                <w:szCs w:val="14"/>
                <w:color w:val="auto"/>
              </w:rPr>
              <w:t>105,272</w:t>
            </w:r>
          </w:p>
        </w:tc>
        <w:tc>
          <w:tcPr>
            <w:tcW w:w="680" w:type="dxa"/>
            <w:vAlign w:val="bottom"/>
          </w:tcPr>
          <w:p>
            <w:pPr>
              <w:jc w:val="center"/>
              <w:spacing w:after="0"/>
              <w:rPr>
                <w:sz w:val="20"/>
                <w:szCs w:val="20"/>
                <w:color w:val="auto"/>
              </w:rPr>
            </w:pPr>
            <w:r>
              <w:rPr>
                <w:rFonts w:ascii="Arial" w:cs="Arial" w:eastAsia="Arial" w:hAnsi="Arial"/>
                <w:sz w:val="14"/>
                <w:szCs w:val="14"/>
                <w:color w:val="auto"/>
                <w:w w:val="98"/>
              </w:rPr>
              <w:t>210,544</w:t>
            </w:r>
          </w:p>
        </w:tc>
        <w:tc>
          <w:tcPr>
            <w:tcW w:w="1000" w:type="dxa"/>
            <w:vAlign w:val="bottom"/>
          </w:tcPr>
          <w:p>
            <w:pPr>
              <w:spacing w:after="0"/>
              <w:rPr>
                <w:sz w:val="15"/>
                <w:szCs w:val="15"/>
                <w:color w:val="auto"/>
              </w:rPr>
            </w:pPr>
          </w:p>
        </w:tc>
        <w:tc>
          <w:tcPr>
            <w:tcW w:w="760" w:type="dxa"/>
            <w:vAlign w:val="bottom"/>
          </w:tcPr>
          <w:p>
            <w:pPr>
              <w:jc w:val="center"/>
              <w:ind w:left="11"/>
              <w:spacing w:after="0"/>
              <w:rPr>
                <w:sz w:val="20"/>
                <w:szCs w:val="20"/>
                <w:color w:val="auto"/>
              </w:rPr>
            </w:pPr>
            <w:r>
              <w:rPr>
                <w:rFonts w:ascii="Arial" w:cs="Arial" w:eastAsia="Arial" w:hAnsi="Arial"/>
                <w:sz w:val="14"/>
                <w:szCs w:val="14"/>
                <w:color w:val="auto"/>
                <w:w w:val="96"/>
              </w:rPr>
              <w:t>1,598,029</w:t>
            </w: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center"/>
              <w:ind w:left="72"/>
              <w:spacing w:after="0"/>
              <w:rPr>
                <w:sz w:val="20"/>
                <w:szCs w:val="20"/>
                <w:color w:val="auto"/>
              </w:rPr>
            </w:pPr>
            <w:r>
              <w:rPr>
                <w:rFonts w:ascii="Arial" w:cs="Arial" w:eastAsia="Arial" w:hAnsi="Arial"/>
                <w:sz w:val="14"/>
                <w:szCs w:val="14"/>
                <w:color w:val="auto"/>
                <w:w w:val="97"/>
              </w:rPr>
              <w:t>35,090</w:t>
            </w: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562,493</w:t>
            </w:r>
          </w:p>
        </w:tc>
        <w:tc>
          <w:tcPr>
            <w:tcW w:w="0" w:type="dxa"/>
            <w:vAlign w:val="bottom"/>
          </w:tcPr>
          <w:p>
            <w:pPr>
              <w:spacing w:after="0"/>
              <w:rPr>
                <w:sz w:val="1"/>
                <w:szCs w:val="1"/>
                <w:color w:val="auto"/>
              </w:rPr>
            </w:pPr>
          </w:p>
        </w:tc>
      </w:tr>
      <w:tr>
        <w:trPr>
          <w:trHeight w:val="47"/>
        </w:trPr>
        <w:tc>
          <w:tcPr>
            <w:tcW w:w="2280" w:type="dxa"/>
            <w:vAlign w:val="bottom"/>
            <w:tcBorders>
              <w:bottom w:val="single" w:sz="8" w:color="7F7F7F"/>
            </w:tcBorders>
          </w:tcPr>
          <w:p>
            <w:pPr>
              <w:spacing w:after="0"/>
              <w:rPr>
                <w:sz w:val="4"/>
                <w:szCs w:val="4"/>
                <w:color w:val="auto"/>
              </w:rPr>
            </w:pPr>
          </w:p>
        </w:tc>
        <w:tc>
          <w:tcPr>
            <w:tcW w:w="158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Olivier G. Thirot</w:t>
            </w: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6"/>
              </w:rPr>
              <w:t>STIP</w:t>
            </w:r>
          </w:p>
        </w:tc>
        <w:tc>
          <w:tcPr>
            <w:tcW w:w="6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8"/>
              </w:rPr>
              <w:t>283,560</w:t>
            </w:r>
          </w:p>
        </w:tc>
        <w:tc>
          <w:tcPr>
            <w:tcW w:w="720" w:type="dxa"/>
            <w:vAlign w:val="bottom"/>
          </w:tcPr>
          <w:p>
            <w:pPr>
              <w:jc w:val="center"/>
              <w:spacing w:after="0"/>
              <w:rPr>
                <w:sz w:val="20"/>
                <w:szCs w:val="20"/>
                <w:color w:val="auto"/>
              </w:rPr>
            </w:pPr>
            <w:r>
              <w:rPr>
                <w:rFonts w:ascii="Arial" w:cs="Arial" w:eastAsia="Arial" w:hAnsi="Arial"/>
                <w:sz w:val="14"/>
                <w:szCs w:val="14"/>
                <w:color w:val="auto"/>
                <w:w w:val="98"/>
              </w:rPr>
              <w:t>567,120</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1,134,240</w:t>
            </w: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7"/>
              </w:rPr>
              <w:t>17,354</w:t>
            </w:r>
          </w:p>
        </w:tc>
        <w:tc>
          <w:tcPr>
            <w:tcW w:w="660" w:type="dxa"/>
            <w:vAlign w:val="bottom"/>
          </w:tcPr>
          <w:p>
            <w:pPr>
              <w:jc w:val="center"/>
              <w:spacing w:after="0"/>
              <w:rPr>
                <w:sz w:val="20"/>
                <w:szCs w:val="20"/>
                <w:color w:val="auto"/>
              </w:rPr>
            </w:pPr>
            <w:r>
              <w:rPr>
                <w:rFonts w:ascii="Arial" w:cs="Arial" w:eastAsia="Arial" w:hAnsi="Arial"/>
                <w:sz w:val="14"/>
                <w:szCs w:val="14"/>
                <w:color w:val="auto"/>
              </w:rPr>
              <w:t>34,708</w:t>
            </w: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69,416</w:t>
            </w:r>
          </w:p>
        </w:tc>
        <w:tc>
          <w:tcPr>
            <w:tcW w:w="1000" w:type="dxa"/>
            <w:vAlign w:val="bottom"/>
          </w:tcPr>
          <w:p>
            <w:pPr>
              <w:spacing w:after="0"/>
              <w:rPr>
                <w:sz w:val="15"/>
                <w:szCs w:val="15"/>
                <w:color w:val="auto"/>
              </w:rPr>
            </w:pP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526,867</w:t>
            </w: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center"/>
              <w:ind w:left="72"/>
              <w:spacing w:after="0"/>
              <w:rPr>
                <w:sz w:val="20"/>
                <w:szCs w:val="20"/>
                <w:color w:val="auto"/>
              </w:rPr>
            </w:pPr>
            <w:r>
              <w:rPr>
                <w:rFonts w:ascii="Arial" w:cs="Arial" w:eastAsia="Arial" w:hAnsi="Arial"/>
                <w:sz w:val="14"/>
                <w:szCs w:val="14"/>
                <w:color w:val="auto"/>
                <w:w w:val="97"/>
              </w:rPr>
              <w:t>23,138</w:t>
            </w: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370,902</w:t>
            </w:r>
          </w:p>
        </w:tc>
        <w:tc>
          <w:tcPr>
            <w:tcW w:w="0" w:type="dxa"/>
            <w:vAlign w:val="bottom"/>
          </w:tcPr>
          <w:p>
            <w:pPr>
              <w:spacing w:after="0"/>
              <w:rPr>
                <w:sz w:val="1"/>
                <w:szCs w:val="1"/>
                <w:color w:val="auto"/>
              </w:rPr>
            </w:pPr>
          </w:p>
        </w:tc>
      </w:tr>
      <w:tr>
        <w:trPr>
          <w:trHeight w:val="47"/>
        </w:trPr>
        <w:tc>
          <w:tcPr>
            <w:tcW w:w="2280" w:type="dxa"/>
            <w:vAlign w:val="bottom"/>
            <w:tcBorders>
              <w:bottom w:val="single" w:sz="8" w:color="7F7F7F"/>
            </w:tcBorders>
          </w:tcPr>
          <w:p>
            <w:pPr>
              <w:spacing w:after="0"/>
              <w:rPr>
                <w:sz w:val="4"/>
                <w:szCs w:val="4"/>
                <w:color w:val="auto"/>
              </w:rPr>
            </w:pPr>
          </w:p>
        </w:tc>
        <w:tc>
          <w:tcPr>
            <w:tcW w:w="158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Daniel H. Malan</w:t>
            </w: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6"/>
              </w:rPr>
              <w:t>STIP</w:t>
            </w:r>
          </w:p>
        </w:tc>
        <w:tc>
          <w:tcPr>
            <w:tcW w:w="6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8"/>
              </w:rPr>
              <w:t>121,825</w:t>
            </w:r>
          </w:p>
        </w:tc>
        <w:tc>
          <w:tcPr>
            <w:tcW w:w="720" w:type="dxa"/>
            <w:vAlign w:val="bottom"/>
          </w:tcPr>
          <w:p>
            <w:pPr>
              <w:jc w:val="center"/>
              <w:spacing w:after="0"/>
              <w:rPr>
                <w:sz w:val="20"/>
                <w:szCs w:val="20"/>
                <w:color w:val="auto"/>
              </w:rPr>
            </w:pPr>
            <w:r>
              <w:rPr>
                <w:rFonts w:ascii="Arial" w:cs="Arial" w:eastAsia="Arial" w:hAnsi="Arial"/>
                <w:sz w:val="14"/>
                <w:szCs w:val="14"/>
                <w:color w:val="auto"/>
                <w:w w:val="98"/>
              </w:rPr>
              <w:t>243,650</w:t>
            </w:r>
          </w:p>
        </w:tc>
        <w:tc>
          <w:tcPr>
            <w:tcW w:w="740" w:type="dxa"/>
            <w:vAlign w:val="bottom"/>
          </w:tcPr>
          <w:p>
            <w:pPr>
              <w:jc w:val="center"/>
              <w:spacing w:after="0"/>
              <w:rPr>
                <w:sz w:val="20"/>
                <w:szCs w:val="20"/>
                <w:color w:val="auto"/>
              </w:rPr>
            </w:pPr>
            <w:r>
              <w:rPr>
                <w:rFonts w:ascii="Arial" w:cs="Arial" w:eastAsia="Arial" w:hAnsi="Arial"/>
                <w:sz w:val="14"/>
                <w:szCs w:val="14"/>
                <w:color w:val="auto"/>
                <w:w w:val="98"/>
              </w:rPr>
              <w:t>487,300</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2/14/2023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center"/>
              <w:ind w:left="72"/>
              <w:spacing w:after="0"/>
              <w:rPr>
                <w:sz w:val="20"/>
                <w:szCs w:val="20"/>
                <w:color w:val="auto"/>
              </w:rPr>
            </w:pPr>
            <w:r>
              <w:rPr>
                <w:rFonts w:ascii="Arial" w:cs="Arial" w:eastAsia="Arial" w:hAnsi="Arial"/>
                <w:sz w:val="14"/>
                <w:szCs w:val="14"/>
                <w:color w:val="auto"/>
                <w:w w:val="97"/>
              </w:rPr>
              <w:t>13,943</w:t>
            </w: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249,998</w:t>
            </w: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6,218</w:t>
            </w:r>
          </w:p>
        </w:tc>
        <w:tc>
          <w:tcPr>
            <w:tcW w:w="660" w:type="dxa"/>
            <w:vAlign w:val="bottom"/>
          </w:tcPr>
          <w:p>
            <w:pPr>
              <w:jc w:val="center"/>
              <w:spacing w:after="0"/>
              <w:rPr>
                <w:sz w:val="20"/>
                <w:szCs w:val="20"/>
                <w:color w:val="auto"/>
              </w:rPr>
            </w:pPr>
            <w:r>
              <w:rPr>
                <w:rFonts w:ascii="Arial" w:cs="Arial" w:eastAsia="Arial" w:hAnsi="Arial"/>
                <w:sz w:val="14"/>
                <w:szCs w:val="14"/>
                <w:color w:val="auto"/>
              </w:rPr>
              <w:t>12,436</w:t>
            </w: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24,872</w:t>
            </w:r>
          </w:p>
        </w:tc>
        <w:tc>
          <w:tcPr>
            <w:tcW w:w="1000" w:type="dxa"/>
            <w:vAlign w:val="bottom"/>
          </w:tcPr>
          <w:p>
            <w:pPr>
              <w:spacing w:after="0"/>
              <w:rPr>
                <w:sz w:val="15"/>
                <w:szCs w:val="15"/>
                <w:color w:val="auto"/>
              </w:rPr>
            </w:pP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188,778</w:t>
            </w: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center"/>
              <w:ind w:left="72"/>
              <w:spacing w:after="0"/>
              <w:rPr>
                <w:sz w:val="20"/>
                <w:szCs w:val="20"/>
                <w:color w:val="auto"/>
              </w:rPr>
            </w:pPr>
            <w:r>
              <w:rPr>
                <w:rFonts w:ascii="Arial" w:cs="Arial" w:eastAsia="Arial" w:hAnsi="Arial"/>
                <w:sz w:val="14"/>
                <w:szCs w:val="14"/>
                <w:color w:val="auto"/>
                <w:w w:val="96"/>
              </w:rPr>
              <w:t>8,291</w:t>
            </w: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132,905</w:t>
            </w:r>
          </w:p>
        </w:tc>
        <w:tc>
          <w:tcPr>
            <w:tcW w:w="0" w:type="dxa"/>
            <w:vAlign w:val="bottom"/>
          </w:tcPr>
          <w:p>
            <w:pPr>
              <w:spacing w:after="0"/>
              <w:rPr>
                <w:sz w:val="1"/>
                <w:szCs w:val="1"/>
                <w:color w:val="auto"/>
              </w:rPr>
            </w:pPr>
          </w:p>
        </w:tc>
      </w:tr>
      <w:tr>
        <w:trPr>
          <w:trHeight w:val="47"/>
        </w:trPr>
        <w:tc>
          <w:tcPr>
            <w:tcW w:w="2280" w:type="dxa"/>
            <w:vAlign w:val="bottom"/>
            <w:tcBorders>
              <w:bottom w:val="single" w:sz="8" w:color="7F7F7F"/>
            </w:tcBorders>
          </w:tcPr>
          <w:p>
            <w:pPr>
              <w:spacing w:after="0"/>
              <w:rPr>
                <w:sz w:val="4"/>
                <w:szCs w:val="4"/>
                <w:color w:val="auto"/>
              </w:rPr>
            </w:pPr>
          </w:p>
        </w:tc>
        <w:tc>
          <w:tcPr>
            <w:tcW w:w="158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Vanessa P. Williams</w:t>
            </w: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6"/>
              </w:rPr>
              <w:t>STIP</w:t>
            </w:r>
          </w:p>
        </w:tc>
        <w:tc>
          <w:tcPr>
            <w:tcW w:w="6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8"/>
              </w:rPr>
              <w:t>153,994</w:t>
            </w:r>
          </w:p>
        </w:tc>
        <w:tc>
          <w:tcPr>
            <w:tcW w:w="720" w:type="dxa"/>
            <w:vAlign w:val="bottom"/>
          </w:tcPr>
          <w:p>
            <w:pPr>
              <w:jc w:val="center"/>
              <w:spacing w:after="0"/>
              <w:rPr>
                <w:sz w:val="20"/>
                <w:szCs w:val="20"/>
                <w:color w:val="auto"/>
              </w:rPr>
            </w:pPr>
            <w:r>
              <w:rPr>
                <w:rFonts w:ascii="Arial" w:cs="Arial" w:eastAsia="Arial" w:hAnsi="Arial"/>
                <w:sz w:val="14"/>
                <w:szCs w:val="14"/>
                <w:color w:val="auto"/>
                <w:w w:val="98"/>
              </w:rPr>
              <w:t>307,987</w:t>
            </w:r>
          </w:p>
        </w:tc>
        <w:tc>
          <w:tcPr>
            <w:tcW w:w="740" w:type="dxa"/>
            <w:vAlign w:val="bottom"/>
          </w:tcPr>
          <w:p>
            <w:pPr>
              <w:jc w:val="center"/>
              <w:spacing w:after="0"/>
              <w:rPr>
                <w:sz w:val="20"/>
                <w:szCs w:val="20"/>
                <w:color w:val="auto"/>
              </w:rPr>
            </w:pPr>
            <w:r>
              <w:rPr>
                <w:rFonts w:ascii="Arial" w:cs="Arial" w:eastAsia="Arial" w:hAnsi="Arial"/>
                <w:sz w:val="14"/>
                <w:szCs w:val="14"/>
                <w:color w:val="auto"/>
                <w:w w:val="98"/>
              </w:rPr>
              <w:t>615,975</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7,748</w:t>
            </w:r>
          </w:p>
        </w:tc>
        <w:tc>
          <w:tcPr>
            <w:tcW w:w="660" w:type="dxa"/>
            <w:vAlign w:val="bottom"/>
          </w:tcPr>
          <w:p>
            <w:pPr>
              <w:jc w:val="center"/>
              <w:spacing w:after="0"/>
              <w:rPr>
                <w:sz w:val="20"/>
                <w:szCs w:val="20"/>
                <w:color w:val="auto"/>
              </w:rPr>
            </w:pPr>
            <w:r>
              <w:rPr>
                <w:rFonts w:ascii="Arial" w:cs="Arial" w:eastAsia="Arial" w:hAnsi="Arial"/>
                <w:sz w:val="14"/>
                <w:szCs w:val="14"/>
                <w:color w:val="auto"/>
              </w:rPr>
              <w:t>15,496</w:t>
            </w: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30,992</w:t>
            </w:r>
          </w:p>
        </w:tc>
        <w:tc>
          <w:tcPr>
            <w:tcW w:w="1000" w:type="dxa"/>
            <w:vAlign w:val="bottom"/>
          </w:tcPr>
          <w:p>
            <w:pPr>
              <w:spacing w:after="0"/>
              <w:rPr>
                <w:sz w:val="15"/>
                <w:szCs w:val="15"/>
                <w:color w:val="auto"/>
              </w:rPr>
            </w:pP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235,229</w:t>
            </w: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center"/>
              <w:ind w:left="72"/>
              <w:spacing w:after="0"/>
              <w:rPr>
                <w:sz w:val="20"/>
                <w:szCs w:val="20"/>
                <w:color w:val="auto"/>
              </w:rPr>
            </w:pPr>
            <w:r>
              <w:rPr>
                <w:rFonts w:ascii="Arial" w:cs="Arial" w:eastAsia="Arial" w:hAnsi="Arial"/>
                <w:sz w:val="14"/>
                <w:szCs w:val="14"/>
                <w:color w:val="auto"/>
                <w:w w:val="97"/>
              </w:rPr>
              <w:t>10,331</w:t>
            </w: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165,606</w:t>
            </w:r>
          </w:p>
        </w:tc>
        <w:tc>
          <w:tcPr>
            <w:tcW w:w="0" w:type="dxa"/>
            <w:vAlign w:val="bottom"/>
          </w:tcPr>
          <w:p>
            <w:pPr>
              <w:spacing w:after="0"/>
              <w:rPr>
                <w:sz w:val="1"/>
                <w:szCs w:val="1"/>
                <w:color w:val="auto"/>
              </w:rPr>
            </w:pPr>
          </w:p>
        </w:tc>
      </w:tr>
      <w:tr>
        <w:trPr>
          <w:trHeight w:val="47"/>
        </w:trPr>
        <w:tc>
          <w:tcPr>
            <w:tcW w:w="2280" w:type="dxa"/>
            <w:vAlign w:val="bottom"/>
            <w:tcBorders>
              <w:bottom w:val="single" w:sz="8" w:color="7F7F7F"/>
            </w:tcBorders>
          </w:tcPr>
          <w:p>
            <w:pPr>
              <w:spacing w:after="0"/>
              <w:rPr>
                <w:sz w:val="4"/>
                <w:szCs w:val="4"/>
                <w:color w:val="auto"/>
              </w:rPr>
            </w:pPr>
          </w:p>
        </w:tc>
        <w:tc>
          <w:tcPr>
            <w:tcW w:w="158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Dinette Koolhaas</w:t>
            </w: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6"/>
              </w:rPr>
              <w:t>STIP</w:t>
            </w:r>
          </w:p>
        </w:tc>
        <w:tc>
          <w:tcPr>
            <w:tcW w:w="6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8"/>
              </w:rPr>
              <w:t>158,000</w:t>
            </w:r>
          </w:p>
        </w:tc>
        <w:tc>
          <w:tcPr>
            <w:tcW w:w="720" w:type="dxa"/>
            <w:vAlign w:val="bottom"/>
          </w:tcPr>
          <w:p>
            <w:pPr>
              <w:jc w:val="center"/>
              <w:spacing w:after="0"/>
              <w:rPr>
                <w:sz w:val="20"/>
                <w:szCs w:val="20"/>
                <w:color w:val="auto"/>
              </w:rPr>
            </w:pPr>
            <w:r>
              <w:rPr>
                <w:rFonts w:ascii="Arial" w:cs="Arial" w:eastAsia="Arial" w:hAnsi="Arial"/>
                <w:sz w:val="14"/>
                <w:szCs w:val="14"/>
                <w:color w:val="auto"/>
                <w:w w:val="98"/>
              </w:rPr>
              <w:t>316,000</w:t>
            </w:r>
          </w:p>
        </w:tc>
        <w:tc>
          <w:tcPr>
            <w:tcW w:w="740" w:type="dxa"/>
            <w:vAlign w:val="bottom"/>
          </w:tcPr>
          <w:p>
            <w:pPr>
              <w:jc w:val="center"/>
              <w:spacing w:after="0"/>
              <w:rPr>
                <w:sz w:val="20"/>
                <w:szCs w:val="20"/>
                <w:color w:val="auto"/>
              </w:rPr>
            </w:pPr>
            <w:r>
              <w:rPr>
                <w:rFonts w:ascii="Arial" w:cs="Arial" w:eastAsia="Arial" w:hAnsi="Arial"/>
                <w:sz w:val="14"/>
                <w:szCs w:val="14"/>
                <w:color w:val="auto"/>
                <w:w w:val="98"/>
              </w:rPr>
              <w:t>632,000</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6,769</w:t>
            </w:r>
          </w:p>
        </w:tc>
        <w:tc>
          <w:tcPr>
            <w:tcW w:w="660" w:type="dxa"/>
            <w:vAlign w:val="bottom"/>
          </w:tcPr>
          <w:p>
            <w:pPr>
              <w:jc w:val="center"/>
              <w:spacing w:after="0"/>
              <w:rPr>
                <w:sz w:val="20"/>
                <w:szCs w:val="20"/>
                <w:color w:val="auto"/>
              </w:rPr>
            </w:pPr>
            <w:r>
              <w:rPr>
                <w:rFonts w:ascii="Arial" w:cs="Arial" w:eastAsia="Arial" w:hAnsi="Arial"/>
                <w:sz w:val="14"/>
                <w:szCs w:val="14"/>
                <w:color w:val="auto"/>
              </w:rPr>
              <w:t>13,538</w:t>
            </w: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27,076</w:t>
            </w:r>
          </w:p>
        </w:tc>
        <w:tc>
          <w:tcPr>
            <w:tcW w:w="1000" w:type="dxa"/>
            <w:vAlign w:val="bottom"/>
          </w:tcPr>
          <w:p>
            <w:pPr>
              <w:spacing w:after="0"/>
              <w:rPr>
                <w:sz w:val="15"/>
                <w:szCs w:val="15"/>
                <w:color w:val="auto"/>
              </w:rPr>
            </w:pP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205,507</w:t>
            </w: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center"/>
              <w:ind w:left="72"/>
              <w:spacing w:after="0"/>
              <w:rPr>
                <w:sz w:val="20"/>
                <w:szCs w:val="20"/>
                <w:color w:val="auto"/>
              </w:rPr>
            </w:pPr>
            <w:r>
              <w:rPr>
                <w:rFonts w:ascii="Arial" w:cs="Arial" w:eastAsia="Arial" w:hAnsi="Arial"/>
                <w:sz w:val="14"/>
                <w:szCs w:val="14"/>
                <w:color w:val="auto"/>
                <w:w w:val="96"/>
              </w:rPr>
              <w:t>9,025</w:t>
            </w: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144,671</w:t>
            </w:r>
          </w:p>
        </w:tc>
        <w:tc>
          <w:tcPr>
            <w:tcW w:w="0" w:type="dxa"/>
            <w:vAlign w:val="bottom"/>
          </w:tcPr>
          <w:p>
            <w:pPr>
              <w:spacing w:after="0"/>
              <w:rPr>
                <w:sz w:val="1"/>
                <w:szCs w:val="1"/>
                <w:color w:val="auto"/>
              </w:rPr>
            </w:pPr>
          </w:p>
        </w:tc>
      </w:tr>
      <w:tr>
        <w:trPr>
          <w:trHeight w:val="47"/>
        </w:trPr>
        <w:tc>
          <w:tcPr>
            <w:tcW w:w="2280" w:type="dxa"/>
            <w:vAlign w:val="bottom"/>
            <w:tcBorders>
              <w:bottom w:val="single" w:sz="8" w:color="7F7F7F"/>
            </w:tcBorders>
          </w:tcPr>
          <w:p>
            <w:pPr>
              <w:spacing w:after="0"/>
              <w:rPr>
                <w:sz w:val="4"/>
                <w:szCs w:val="4"/>
                <w:color w:val="auto"/>
              </w:rPr>
            </w:pPr>
          </w:p>
        </w:tc>
        <w:tc>
          <w:tcPr>
            <w:tcW w:w="158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20" w:hanging="304"/>
        <w:spacing w:after="0"/>
        <w:tabs>
          <w:tab w:leader="none" w:pos="6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Company has not granted stock options since 2004, including 2023. Accordingly, this column has been eliminated from the table.</w:t>
      </w:r>
    </w:p>
    <w:p>
      <w:pPr>
        <w:spacing w:after="0" w:line="70" w:lineRule="exact"/>
        <w:rPr>
          <w:rFonts w:ascii="Arial" w:cs="Arial" w:eastAsia="Arial" w:hAnsi="Arial"/>
          <w:sz w:val="12"/>
          <w:szCs w:val="12"/>
          <w:color w:val="auto"/>
        </w:rPr>
      </w:pPr>
    </w:p>
    <w:p>
      <w:pPr>
        <w:ind w:left="620" w:right="380" w:hanging="304"/>
        <w:spacing w:after="0" w:line="264" w:lineRule="auto"/>
        <w:tabs>
          <w:tab w:leader="none" w:pos="6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Long-term incentive grants to named executive officers, consisting of Restricted Stock Awards/Units and Performance Shares, were approved by the Committee at its February 14, 2023, meeting for Mr. Malan and its March 21, 2023, meeting for all named officers.</w:t>
      </w:r>
    </w:p>
    <w:p>
      <w:pPr>
        <w:spacing w:after="0" w:line="34" w:lineRule="exact"/>
        <w:rPr>
          <w:rFonts w:ascii="Arial" w:cs="Arial" w:eastAsia="Arial" w:hAnsi="Arial"/>
          <w:sz w:val="12"/>
          <w:szCs w:val="12"/>
          <w:color w:val="auto"/>
        </w:rPr>
      </w:pPr>
    </w:p>
    <w:p>
      <w:pPr>
        <w:ind w:left="620" w:right="20" w:hanging="304"/>
        <w:spacing w:after="0" w:line="245" w:lineRule="auto"/>
        <w:tabs>
          <w:tab w:leader="none" w:pos="6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Shown are the Threshold, Target, and Maximum payouts for which each executive was eligible under our STIP with respect to fiscal 2023 performance. Amounts actually earned with respect to these awards are included in the Summary Compensation Table as Non-Equity Incentive Plan compensation. Further detail regarding actual 2023 STIP awards appear in the Compensation Discussion &amp; Analysis.</w:t>
      </w:r>
    </w:p>
    <w:p>
      <w:pPr>
        <w:spacing w:after="0" w:line="45" w:lineRule="exact"/>
        <w:rPr>
          <w:rFonts w:ascii="Arial" w:cs="Arial" w:eastAsia="Arial" w:hAnsi="Arial"/>
          <w:sz w:val="12"/>
          <w:szCs w:val="12"/>
          <w:color w:val="auto"/>
        </w:rPr>
      </w:pPr>
    </w:p>
    <w:p>
      <w:pPr>
        <w:ind w:left="620" w:right="280" w:hanging="304"/>
        <w:spacing w:after="0" w:line="239" w:lineRule="auto"/>
        <w:tabs>
          <w:tab w:leader="none" w:pos="6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Performance Shares granted in 2023 are earned based upon achievement of two financial measures. These two measures are equally weighted. Achievement of a threshold level of performance on either measure results in 50% of the target shares for that measure being earned. Achievement of the target level of performance on either measure results in 100% of the target shares for that measure being earned. Achievement of the maximum level performance on either measure results in 200% of the target shares for that measure being earned by the named executive officer. Achievement between these levels for each measure is interpolated on a straight-line basis.</w:t>
      </w:r>
    </w:p>
    <w:p>
      <w:pPr>
        <w:spacing w:after="0" w:line="48" w:lineRule="exact"/>
        <w:rPr>
          <w:rFonts w:ascii="Arial" w:cs="Arial" w:eastAsia="Arial" w:hAnsi="Arial"/>
          <w:sz w:val="12"/>
          <w:szCs w:val="12"/>
          <w:color w:val="auto"/>
        </w:rPr>
      </w:pPr>
    </w:p>
    <w:p>
      <w:pPr>
        <w:ind w:left="620" w:right="480" w:hanging="304"/>
        <w:spacing w:after="0" w:line="264" w:lineRule="auto"/>
        <w:tabs>
          <w:tab w:leader="none" w:pos="6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Restricted Stock Awards/Units granted on March 21, 2023 vest ratably on each of the first three anniversaries of the date of grant (33.3% per year). Restricted Stock Awards granted to Mr. Malan on February 14, 2023 will cliff vest on the second anniversary of the date of grant.</w:t>
      </w:r>
    </w:p>
    <w:p>
      <w:pPr>
        <w:spacing w:after="0" w:line="34" w:lineRule="exact"/>
        <w:rPr>
          <w:rFonts w:ascii="Arial" w:cs="Arial" w:eastAsia="Arial" w:hAnsi="Arial"/>
          <w:sz w:val="12"/>
          <w:szCs w:val="12"/>
          <w:color w:val="auto"/>
        </w:rPr>
      </w:pPr>
    </w:p>
    <w:p>
      <w:pPr>
        <w:ind w:left="620" w:right="20" w:hanging="304"/>
        <w:spacing w:after="0" w:line="239" w:lineRule="auto"/>
        <w:tabs>
          <w:tab w:leader="none" w:pos="6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grant date fair values reported for 2023 are determined by multiplying the number of shares granted by the Market Value (“MV”) on the grant date. MV for Restricted Stock is determined by the closing price on the date of grant. MV for Performance Shares is determined by the closing stock price on the date of grant, discounted because these shares are not eligible for dividends. The MV for the Restricted Stock granted to Mr. Malan on February 14, 2023 is $17.93 and to all named officers on March 21, 2023 is $16.03. The MV for Performance Shares granted to all named officers on March 21, 2023 is $15.18.</w:t>
      </w:r>
    </w:p>
    <w:p>
      <w:pPr>
        <w:spacing w:after="0" w:line="57"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66 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2023 Executive Compensation Tables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Outstanding Equity Awards at Fiscal Year End 2023</w:t>
      </w:r>
      <w:r>
        <w:rPr>
          <w:rFonts w:ascii="Arial" w:cs="Arial" w:eastAsia="Arial" w:hAnsi="Arial"/>
          <w:sz w:val="15"/>
          <w:szCs w:val="15"/>
          <w:b w:val="1"/>
          <w:bCs w:val="1"/>
          <w:color w:val="auto"/>
        </w:rPr>
        <w:t>(1)</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60" w:type="dxa"/>
            <w:vAlign w:val="bottom"/>
          </w:tcPr>
          <w:p>
            <w:pPr>
              <w:ind w:left="260"/>
              <w:spacing w:after="0"/>
              <w:rPr>
                <w:sz w:val="20"/>
                <w:szCs w:val="20"/>
                <w:color w:val="auto"/>
              </w:rPr>
            </w:pPr>
            <w:r>
              <w:rPr>
                <w:rFonts w:ascii="Arial" w:cs="Arial" w:eastAsia="Arial" w:hAnsi="Arial"/>
                <w:sz w:val="14"/>
                <w:szCs w:val="14"/>
                <w:b w:val="1"/>
                <w:bCs w:val="1"/>
                <w:color w:val="0A9E50"/>
              </w:rPr>
              <w:t>Stock Awards</w:t>
            </w:r>
          </w:p>
        </w:tc>
        <w:tc>
          <w:tcPr>
            <w:tcW w:w="1920" w:type="dxa"/>
            <w:vAlign w:val="bottom"/>
          </w:tcPr>
          <w:p>
            <w:pPr>
              <w:spacing w:after="0"/>
              <w:rPr>
                <w:sz w:val="16"/>
                <w:szCs w:val="16"/>
                <w:color w:val="auto"/>
              </w:rPr>
            </w:pPr>
          </w:p>
        </w:tc>
      </w:tr>
      <w:tr>
        <w:trPr>
          <w:trHeight w:val="39"/>
        </w:trPr>
        <w:tc>
          <w:tcPr>
            <w:tcW w:w="22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140"/>
        </w:trPr>
        <w:tc>
          <w:tcPr>
            <w:tcW w:w="2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00" w:type="dxa"/>
            <w:vAlign w:val="bottom"/>
          </w:tcPr>
          <w:p>
            <w:pPr>
              <w:jc w:val="center"/>
              <w:ind w:left="91"/>
              <w:spacing w:after="0" w:line="140" w:lineRule="exact"/>
              <w:rPr>
                <w:sz w:val="20"/>
                <w:szCs w:val="20"/>
                <w:color w:val="auto"/>
              </w:rPr>
            </w:pPr>
            <w:r>
              <w:rPr>
                <w:rFonts w:ascii="Arial" w:cs="Arial" w:eastAsia="Arial" w:hAnsi="Arial"/>
                <w:sz w:val="14"/>
                <w:szCs w:val="14"/>
                <w:b w:val="1"/>
                <w:bCs w:val="1"/>
                <w:color w:val="0A9E50"/>
                <w:w w:val="99"/>
              </w:rPr>
              <w:t>Number of</w:t>
            </w:r>
          </w:p>
        </w:tc>
        <w:tc>
          <w:tcPr>
            <w:tcW w:w="1340" w:type="dxa"/>
            <w:vAlign w:val="bottom"/>
          </w:tcPr>
          <w:p>
            <w:pPr>
              <w:jc w:val="center"/>
              <w:spacing w:after="0" w:line="140" w:lineRule="exact"/>
              <w:rPr>
                <w:sz w:val="20"/>
                <w:szCs w:val="20"/>
                <w:color w:val="auto"/>
              </w:rPr>
            </w:pPr>
            <w:r>
              <w:rPr>
                <w:rFonts w:ascii="Arial" w:cs="Arial" w:eastAsia="Arial" w:hAnsi="Arial"/>
                <w:sz w:val="14"/>
                <w:szCs w:val="14"/>
                <w:b w:val="1"/>
                <w:bCs w:val="1"/>
                <w:color w:val="0A9E50"/>
                <w:w w:val="98"/>
              </w:rPr>
              <w:t>Market Value of</w:t>
            </w:r>
          </w:p>
        </w:tc>
        <w:tc>
          <w:tcPr>
            <w:tcW w:w="2060" w:type="dxa"/>
            <w:vAlign w:val="bottom"/>
          </w:tcPr>
          <w:p>
            <w:pPr>
              <w:jc w:val="center"/>
              <w:spacing w:after="0" w:line="140" w:lineRule="exact"/>
              <w:rPr>
                <w:sz w:val="20"/>
                <w:szCs w:val="20"/>
                <w:color w:val="auto"/>
              </w:rPr>
            </w:pPr>
            <w:r>
              <w:rPr>
                <w:rFonts w:ascii="Arial" w:cs="Arial" w:eastAsia="Arial" w:hAnsi="Arial"/>
                <w:sz w:val="14"/>
                <w:szCs w:val="14"/>
                <w:b w:val="1"/>
                <w:bCs w:val="1"/>
                <w:color w:val="0A9E50"/>
                <w:w w:val="97"/>
              </w:rPr>
              <w:t>Equity Incentive Plan</w:t>
            </w:r>
          </w:p>
        </w:tc>
        <w:tc>
          <w:tcPr>
            <w:tcW w:w="1920" w:type="dxa"/>
            <w:vAlign w:val="bottom"/>
          </w:tcPr>
          <w:p>
            <w:pPr>
              <w:jc w:val="center"/>
              <w:ind w:left="91"/>
              <w:spacing w:after="0" w:line="140" w:lineRule="exact"/>
              <w:rPr>
                <w:sz w:val="20"/>
                <w:szCs w:val="20"/>
                <w:color w:val="auto"/>
              </w:rPr>
            </w:pPr>
            <w:r>
              <w:rPr>
                <w:rFonts w:ascii="Arial" w:cs="Arial" w:eastAsia="Arial" w:hAnsi="Arial"/>
                <w:sz w:val="14"/>
                <w:szCs w:val="14"/>
                <w:b w:val="1"/>
                <w:bCs w:val="1"/>
                <w:color w:val="0A9E50"/>
                <w:w w:val="99"/>
              </w:rPr>
              <w:t>Equity Incentive Plan</w:t>
            </w:r>
          </w:p>
        </w:tc>
      </w:tr>
      <w:tr>
        <w:trPr>
          <w:trHeight w:val="156"/>
        </w:trPr>
        <w:tc>
          <w:tcPr>
            <w:tcW w:w="2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00" w:type="dxa"/>
            <w:vAlign w:val="bottom"/>
          </w:tcPr>
          <w:p>
            <w:pPr>
              <w:jc w:val="center"/>
              <w:ind w:left="91"/>
              <w:spacing w:after="0" w:line="156" w:lineRule="exact"/>
              <w:rPr>
                <w:sz w:val="20"/>
                <w:szCs w:val="20"/>
                <w:color w:val="auto"/>
              </w:rPr>
            </w:pPr>
            <w:r>
              <w:rPr>
                <w:rFonts w:ascii="Arial" w:cs="Arial" w:eastAsia="Arial" w:hAnsi="Arial"/>
                <w:sz w:val="14"/>
                <w:szCs w:val="14"/>
                <w:b w:val="1"/>
                <w:bCs w:val="1"/>
                <w:color w:val="0A9E50"/>
                <w:w w:val="98"/>
              </w:rPr>
              <w:t>Shares or Units</w:t>
            </w:r>
          </w:p>
        </w:tc>
        <w:tc>
          <w:tcPr>
            <w:tcW w:w="134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8"/>
              </w:rPr>
              <w:t>Shares or Units</w:t>
            </w:r>
          </w:p>
        </w:tc>
        <w:tc>
          <w:tcPr>
            <w:tcW w:w="2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7"/>
              </w:rPr>
              <w:t>Awards: Number of</w:t>
            </w:r>
          </w:p>
        </w:tc>
        <w:tc>
          <w:tcPr>
            <w:tcW w:w="1920" w:type="dxa"/>
            <w:vAlign w:val="bottom"/>
          </w:tcPr>
          <w:p>
            <w:pPr>
              <w:jc w:val="center"/>
              <w:ind w:left="71"/>
              <w:spacing w:after="0" w:line="156" w:lineRule="exact"/>
              <w:rPr>
                <w:sz w:val="20"/>
                <w:szCs w:val="20"/>
                <w:color w:val="auto"/>
              </w:rPr>
            </w:pPr>
            <w:r>
              <w:rPr>
                <w:rFonts w:ascii="Arial" w:cs="Arial" w:eastAsia="Arial" w:hAnsi="Arial"/>
                <w:sz w:val="14"/>
                <w:szCs w:val="14"/>
                <w:b w:val="1"/>
                <w:bCs w:val="1"/>
                <w:color w:val="0A9E50"/>
                <w:w w:val="98"/>
              </w:rPr>
              <w:t>Awards: Market or Payout</w:t>
            </w:r>
          </w:p>
        </w:tc>
      </w:tr>
      <w:tr>
        <w:trPr>
          <w:trHeight w:val="156"/>
        </w:trPr>
        <w:tc>
          <w:tcPr>
            <w:tcW w:w="2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00" w:type="dxa"/>
            <w:vAlign w:val="bottom"/>
          </w:tcPr>
          <w:p>
            <w:pPr>
              <w:jc w:val="center"/>
              <w:ind w:left="111"/>
              <w:spacing w:after="0" w:line="156" w:lineRule="exact"/>
              <w:rPr>
                <w:sz w:val="20"/>
                <w:szCs w:val="20"/>
                <w:color w:val="auto"/>
              </w:rPr>
            </w:pPr>
            <w:r>
              <w:rPr>
                <w:rFonts w:ascii="Arial" w:cs="Arial" w:eastAsia="Arial" w:hAnsi="Arial"/>
                <w:sz w:val="14"/>
                <w:szCs w:val="14"/>
                <w:b w:val="1"/>
                <w:bCs w:val="1"/>
                <w:color w:val="0A9E50"/>
                <w:w w:val="99"/>
              </w:rPr>
              <w:t>of Stock That</w:t>
            </w:r>
          </w:p>
        </w:tc>
        <w:tc>
          <w:tcPr>
            <w:tcW w:w="134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9"/>
              </w:rPr>
              <w:t>of Stock That</w:t>
            </w:r>
          </w:p>
        </w:tc>
        <w:tc>
          <w:tcPr>
            <w:tcW w:w="2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8"/>
              </w:rPr>
              <w:t>Unearned Shares, Units or</w:t>
            </w:r>
          </w:p>
        </w:tc>
        <w:tc>
          <w:tcPr>
            <w:tcW w:w="1920" w:type="dxa"/>
            <w:vAlign w:val="bottom"/>
          </w:tcPr>
          <w:p>
            <w:pPr>
              <w:jc w:val="center"/>
              <w:ind w:left="71"/>
              <w:spacing w:after="0" w:line="156" w:lineRule="exact"/>
              <w:rPr>
                <w:sz w:val="20"/>
                <w:szCs w:val="20"/>
                <w:color w:val="auto"/>
              </w:rPr>
            </w:pPr>
            <w:r>
              <w:rPr>
                <w:rFonts w:ascii="Arial" w:cs="Arial" w:eastAsia="Arial" w:hAnsi="Arial"/>
                <w:sz w:val="14"/>
                <w:szCs w:val="14"/>
                <w:b w:val="1"/>
                <w:bCs w:val="1"/>
                <w:color w:val="0A9E50"/>
                <w:w w:val="98"/>
              </w:rPr>
              <w:t>Value of Unearned Shares,</w:t>
            </w:r>
          </w:p>
        </w:tc>
      </w:tr>
      <w:tr>
        <w:trPr>
          <w:trHeight w:val="152"/>
        </w:trPr>
        <w:tc>
          <w:tcPr>
            <w:tcW w:w="2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00" w:type="dxa"/>
            <w:vAlign w:val="bottom"/>
          </w:tcPr>
          <w:p>
            <w:pPr>
              <w:jc w:val="center"/>
              <w:ind w:left="111"/>
              <w:spacing w:after="0" w:line="153" w:lineRule="exact"/>
              <w:rPr>
                <w:sz w:val="20"/>
                <w:szCs w:val="20"/>
                <w:color w:val="auto"/>
              </w:rPr>
            </w:pPr>
            <w:r>
              <w:rPr>
                <w:rFonts w:ascii="Arial" w:cs="Arial" w:eastAsia="Arial" w:hAnsi="Arial"/>
                <w:sz w:val="14"/>
                <w:szCs w:val="14"/>
                <w:b w:val="1"/>
                <w:bCs w:val="1"/>
                <w:color w:val="0A9E50"/>
                <w:w w:val="98"/>
              </w:rPr>
              <w:t>Have Not</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0A9E50"/>
                <w:w w:val="98"/>
              </w:rPr>
              <w:t>Have Not</w:t>
            </w:r>
          </w:p>
        </w:tc>
        <w:tc>
          <w:tcPr>
            <w:tcW w:w="2060" w:type="dxa"/>
            <w:vAlign w:val="bottom"/>
          </w:tcPr>
          <w:p>
            <w:pPr>
              <w:jc w:val="center"/>
              <w:spacing w:after="0" w:line="153" w:lineRule="exact"/>
              <w:rPr>
                <w:sz w:val="20"/>
                <w:szCs w:val="20"/>
                <w:color w:val="auto"/>
              </w:rPr>
            </w:pPr>
            <w:r>
              <w:rPr>
                <w:rFonts w:ascii="Arial" w:cs="Arial" w:eastAsia="Arial" w:hAnsi="Arial"/>
                <w:sz w:val="14"/>
                <w:szCs w:val="14"/>
                <w:b w:val="1"/>
                <w:bCs w:val="1"/>
                <w:color w:val="0A9E50"/>
                <w:w w:val="98"/>
              </w:rPr>
              <w:t>Other Rights That Have</w:t>
            </w:r>
          </w:p>
        </w:tc>
        <w:tc>
          <w:tcPr>
            <w:tcW w:w="1920" w:type="dxa"/>
            <w:vAlign w:val="bottom"/>
          </w:tcPr>
          <w:p>
            <w:pPr>
              <w:jc w:val="center"/>
              <w:ind w:left="71"/>
              <w:spacing w:after="0" w:line="153" w:lineRule="exact"/>
              <w:rPr>
                <w:sz w:val="20"/>
                <w:szCs w:val="20"/>
                <w:color w:val="auto"/>
              </w:rPr>
            </w:pPr>
            <w:r>
              <w:rPr>
                <w:rFonts w:ascii="Arial" w:cs="Arial" w:eastAsia="Arial" w:hAnsi="Arial"/>
                <w:sz w:val="14"/>
                <w:szCs w:val="14"/>
                <w:b w:val="1"/>
                <w:bCs w:val="1"/>
                <w:color w:val="0A9E50"/>
                <w:w w:val="99"/>
              </w:rPr>
              <w:t>Units or Other Rights That</w:t>
            </w:r>
          </w:p>
        </w:tc>
      </w:tr>
      <w:tr>
        <w:trPr>
          <w:trHeight w:val="160"/>
        </w:trPr>
        <w:tc>
          <w:tcPr>
            <w:tcW w:w="2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00" w:type="dxa"/>
            <w:vAlign w:val="bottom"/>
          </w:tcPr>
          <w:p>
            <w:pPr>
              <w:jc w:val="center"/>
              <w:ind w:left="91"/>
              <w:spacing w:after="0" w:line="160" w:lineRule="exact"/>
              <w:rPr>
                <w:sz w:val="20"/>
                <w:szCs w:val="20"/>
                <w:color w:val="auto"/>
              </w:rPr>
            </w:pPr>
            <w:r>
              <w:rPr>
                <w:rFonts w:ascii="Arial" w:cs="Arial" w:eastAsia="Arial" w:hAnsi="Arial"/>
                <w:sz w:val="13"/>
                <w:szCs w:val="13"/>
                <w:b w:val="1"/>
                <w:bCs w:val="1"/>
                <w:color w:val="0A9E50"/>
                <w:w w:val="97"/>
              </w:rPr>
              <w:t>Vested</w:t>
            </w:r>
            <w:r>
              <w:rPr>
                <w:rFonts w:ascii="Arial" w:cs="Arial" w:eastAsia="Arial" w:hAnsi="Arial"/>
                <w:sz w:val="18"/>
                <w:szCs w:val="18"/>
                <w:b w:val="1"/>
                <w:bCs w:val="1"/>
                <w:color w:val="0A9E50"/>
                <w:w w:val="97"/>
                <w:vertAlign w:val="superscript"/>
              </w:rPr>
              <w:t>(2)(3)</w:t>
            </w:r>
          </w:p>
        </w:tc>
        <w:tc>
          <w:tcPr>
            <w:tcW w:w="1340" w:type="dxa"/>
            <w:vAlign w:val="bottom"/>
          </w:tcPr>
          <w:p>
            <w:pPr>
              <w:jc w:val="center"/>
              <w:spacing w:after="0" w:line="160" w:lineRule="exact"/>
              <w:rPr>
                <w:sz w:val="20"/>
                <w:szCs w:val="20"/>
                <w:color w:val="auto"/>
              </w:rPr>
            </w:pPr>
            <w:r>
              <w:rPr>
                <w:rFonts w:ascii="Arial" w:cs="Arial" w:eastAsia="Arial" w:hAnsi="Arial"/>
                <w:sz w:val="13"/>
                <w:szCs w:val="13"/>
                <w:b w:val="1"/>
                <w:bCs w:val="1"/>
                <w:color w:val="0A9E50"/>
              </w:rPr>
              <w:t>Vested</w:t>
            </w:r>
            <w:r>
              <w:rPr>
                <w:rFonts w:ascii="Arial" w:cs="Arial" w:eastAsia="Arial" w:hAnsi="Arial"/>
                <w:sz w:val="18"/>
                <w:szCs w:val="18"/>
                <w:b w:val="1"/>
                <w:bCs w:val="1"/>
                <w:color w:val="0A9E50"/>
                <w:vertAlign w:val="superscript"/>
              </w:rPr>
              <w:t>(4)</w:t>
            </w:r>
          </w:p>
        </w:tc>
        <w:tc>
          <w:tcPr>
            <w:tcW w:w="2060" w:type="dxa"/>
            <w:vAlign w:val="bottom"/>
          </w:tcPr>
          <w:p>
            <w:pPr>
              <w:jc w:val="center"/>
              <w:spacing w:after="0" w:line="160" w:lineRule="exact"/>
              <w:rPr>
                <w:sz w:val="20"/>
                <w:szCs w:val="20"/>
                <w:color w:val="auto"/>
              </w:rPr>
            </w:pPr>
            <w:r>
              <w:rPr>
                <w:rFonts w:ascii="Arial" w:cs="Arial" w:eastAsia="Arial" w:hAnsi="Arial"/>
                <w:sz w:val="13"/>
                <w:szCs w:val="13"/>
                <w:b w:val="1"/>
                <w:bCs w:val="1"/>
                <w:color w:val="0A9E50"/>
              </w:rPr>
              <w:t>Not Vested</w:t>
            </w:r>
            <w:r>
              <w:rPr>
                <w:rFonts w:ascii="Arial" w:cs="Arial" w:eastAsia="Arial" w:hAnsi="Arial"/>
                <w:sz w:val="18"/>
                <w:szCs w:val="18"/>
                <w:b w:val="1"/>
                <w:bCs w:val="1"/>
                <w:color w:val="0A9E50"/>
                <w:vertAlign w:val="superscript"/>
              </w:rPr>
              <w:t>(5)</w:t>
            </w:r>
          </w:p>
        </w:tc>
        <w:tc>
          <w:tcPr>
            <w:tcW w:w="1920" w:type="dxa"/>
            <w:vAlign w:val="bottom"/>
          </w:tcPr>
          <w:p>
            <w:pPr>
              <w:jc w:val="center"/>
              <w:ind w:left="71"/>
              <w:spacing w:after="0" w:line="160" w:lineRule="exact"/>
              <w:rPr>
                <w:sz w:val="20"/>
                <w:szCs w:val="20"/>
                <w:color w:val="auto"/>
              </w:rPr>
            </w:pPr>
            <w:r>
              <w:rPr>
                <w:rFonts w:ascii="Arial" w:cs="Arial" w:eastAsia="Arial" w:hAnsi="Arial"/>
                <w:sz w:val="13"/>
                <w:szCs w:val="13"/>
                <w:b w:val="1"/>
                <w:bCs w:val="1"/>
                <w:color w:val="0A9E50"/>
              </w:rPr>
              <w:t>Have Not Vested</w:t>
            </w:r>
            <w:r>
              <w:rPr>
                <w:rFonts w:ascii="Arial" w:cs="Arial" w:eastAsia="Arial" w:hAnsi="Arial"/>
                <w:sz w:val="18"/>
                <w:szCs w:val="18"/>
                <w:b w:val="1"/>
                <w:bCs w:val="1"/>
                <w:color w:val="0A9E50"/>
                <w:vertAlign w:val="superscript"/>
              </w:rPr>
              <w:t>(4)</w:t>
            </w:r>
          </w:p>
        </w:tc>
      </w:tr>
      <w:tr>
        <w:trPr>
          <w:trHeight w:val="192"/>
        </w:trPr>
        <w:tc>
          <w:tcPr>
            <w:tcW w:w="2240" w:type="dxa"/>
            <w:vAlign w:val="bottom"/>
          </w:tcPr>
          <w:p>
            <w:pPr>
              <w:ind w:left="60"/>
              <w:spacing w:after="0"/>
              <w:rPr>
                <w:sz w:val="20"/>
                <w:szCs w:val="20"/>
                <w:color w:val="auto"/>
              </w:rPr>
            </w:pPr>
            <w:r>
              <w:rPr>
                <w:rFonts w:ascii="Arial" w:cs="Arial" w:eastAsia="Arial" w:hAnsi="Arial"/>
                <w:sz w:val="14"/>
                <w:szCs w:val="14"/>
                <w:b w:val="1"/>
                <w:bCs w:val="1"/>
                <w:color w:val="0A9E50"/>
              </w:rPr>
              <w:t>Name</w:t>
            </w:r>
          </w:p>
        </w:tc>
        <w:tc>
          <w:tcPr>
            <w:tcW w:w="1560" w:type="dxa"/>
            <w:vAlign w:val="bottom"/>
          </w:tcPr>
          <w:p>
            <w:pPr>
              <w:jc w:val="center"/>
              <w:ind w:left="791"/>
              <w:spacing w:after="0"/>
              <w:rPr>
                <w:sz w:val="20"/>
                <w:szCs w:val="20"/>
                <w:color w:val="auto"/>
              </w:rPr>
            </w:pPr>
            <w:r>
              <w:rPr>
                <w:rFonts w:ascii="Arial" w:cs="Arial" w:eastAsia="Arial" w:hAnsi="Arial"/>
                <w:sz w:val="14"/>
                <w:szCs w:val="14"/>
                <w:b w:val="1"/>
                <w:bCs w:val="1"/>
                <w:color w:val="0A9E50"/>
                <w:w w:val="97"/>
              </w:rPr>
              <w:t>Grant Year</w:t>
            </w:r>
          </w:p>
        </w:tc>
        <w:tc>
          <w:tcPr>
            <w:tcW w:w="1500" w:type="dxa"/>
            <w:vAlign w:val="bottom"/>
          </w:tcPr>
          <w:p>
            <w:pPr>
              <w:jc w:val="center"/>
              <w:ind w:left="91"/>
              <w:spacing w:after="0"/>
              <w:rPr>
                <w:sz w:val="20"/>
                <w:szCs w:val="20"/>
                <w:color w:val="auto"/>
              </w:rPr>
            </w:pPr>
            <w:r>
              <w:rPr>
                <w:rFonts w:ascii="Arial" w:cs="Arial" w:eastAsia="Arial" w:hAnsi="Arial"/>
                <w:sz w:val="14"/>
                <w:szCs w:val="14"/>
                <w:b w:val="1"/>
                <w:bCs w:val="1"/>
                <w:color w:val="0A9E50"/>
              </w:rPr>
              <w: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A9E50"/>
              </w:rPr>
              <w:t>($)</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0A9E50"/>
              </w:rPr>
              <w:t>(#)</w:t>
            </w:r>
          </w:p>
        </w:tc>
        <w:tc>
          <w:tcPr>
            <w:tcW w:w="1920" w:type="dxa"/>
            <w:vAlign w:val="bottom"/>
          </w:tcPr>
          <w:p>
            <w:pPr>
              <w:jc w:val="center"/>
              <w:ind w:left="71"/>
              <w:spacing w:after="0"/>
              <w:rPr>
                <w:sz w:val="20"/>
                <w:szCs w:val="20"/>
                <w:color w:val="auto"/>
              </w:rPr>
            </w:pPr>
            <w:r>
              <w:rPr>
                <w:rFonts w:ascii="Arial" w:cs="Arial" w:eastAsia="Arial" w:hAnsi="Arial"/>
                <w:sz w:val="14"/>
                <w:szCs w:val="14"/>
                <w:b w:val="1"/>
                <w:bCs w:val="1"/>
                <w:color w:val="0A9E50"/>
              </w:rPr>
              <w:t>($)</w:t>
            </w:r>
          </w:p>
        </w:tc>
      </w:tr>
      <w:tr>
        <w:trPr>
          <w:trHeight w:val="52"/>
        </w:trPr>
        <w:tc>
          <w:tcPr>
            <w:tcW w:w="22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r>
      <w:tr>
        <w:trPr>
          <w:trHeight w:val="227"/>
        </w:trPr>
        <w:tc>
          <w:tcPr>
            <w:tcW w:w="2240" w:type="dxa"/>
            <w:vAlign w:val="bottom"/>
          </w:tcPr>
          <w:p>
            <w:pPr>
              <w:ind w:left="60"/>
              <w:spacing w:after="0"/>
              <w:rPr>
                <w:sz w:val="20"/>
                <w:szCs w:val="20"/>
                <w:color w:val="auto"/>
              </w:rPr>
            </w:pPr>
            <w:r>
              <w:rPr>
                <w:rFonts w:ascii="Arial" w:cs="Arial" w:eastAsia="Arial" w:hAnsi="Arial"/>
                <w:sz w:val="14"/>
                <w:szCs w:val="14"/>
                <w:b w:val="1"/>
                <w:bCs w:val="1"/>
                <w:color w:val="auto"/>
              </w:rPr>
              <w:t>Peter W. Quigley</w:t>
            </w: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2023</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7"/>
              </w:rPr>
              <w:t>52,635</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1,137,969</w:t>
            </w:r>
          </w:p>
        </w:tc>
        <w:tc>
          <w:tcPr>
            <w:tcW w:w="2060" w:type="dxa"/>
            <w:vAlign w:val="bottom"/>
          </w:tcPr>
          <w:p>
            <w:pPr>
              <w:jc w:val="center"/>
              <w:spacing w:after="0"/>
              <w:rPr>
                <w:sz w:val="20"/>
                <w:szCs w:val="20"/>
                <w:color w:val="auto"/>
              </w:rPr>
            </w:pPr>
            <w:r>
              <w:rPr>
                <w:rFonts w:ascii="Arial" w:cs="Arial" w:eastAsia="Arial" w:hAnsi="Arial"/>
                <w:sz w:val="14"/>
                <w:szCs w:val="14"/>
                <w:color w:val="auto"/>
                <w:w w:val="97"/>
              </w:rPr>
              <w:t>70,182</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9"/>
              </w:rPr>
              <w:t>1,517,335</w:t>
            </w:r>
          </w:p>
        </w:tc>
      </w:tr>
      <w:tr>
        <w:trPr>
          <w:trHeight w:val="200"/>
        </w:trPr>
        <w:tc>
          <w:tcPr>
            <w:tcW w:w="2240" w:type="dxa"/>
            <w:vAlign w:val="bottom"/>
          </w:tcPr>
          <w:p>
            <w:pPr>
              <w:spacing w:after="0"/>
              <w:rPr>
                <w:sz w:val="17"/>
                <w:szCs w:val="17"/>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2022</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7"/>
              </w:rPr>
              <w:t>41,776</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903,197</w:t>
            </w:r>
          </w:p>
        </w:tc>
        <w:tc>
          <w:tcPr>
            <w:tcW w:w="2060" w:type="dxa"/>
            <w:vAlign w:val="bottom"/>
          </w:tcPr>
          <w:p>
            <w:pPr>
              <w:jc w:val="center"/>
              <w:spacing w:after="0"/>
              <w:rPr>
                <w:sz w:val="20"/>
                <w:szCs w:val="20"/>
                <w:color w:val="auto"/>
              </w:rPr>
            </w:pPr>
            <w:r>
              <w:rPr>
                <w:rFonts w:ascii="Arial" w:cs="Arial" w:eastAsia="Arial" w:hAnsi="Arial"/>
                <w:sz w:val="14"/>
                <w:szCs w:val="14"/>
                <w:color w:val="auto"/>
                <w:w w:val="97"/>
              </w:rPr>
              <w:t>21,222</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458,820</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2021</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7"/>
              </w:rPr>
              <w:t>41,054</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887,587</w:t>
            </w:r>
          </w:p>
        </w:tc>
        <w:tc>
          <w:tcPr>
            <w:tcW w:w="2060" w:type="dxa"/>
            <w:vAlign w:val="bottom"/>
          </w:tcPr>
          <w:p>
            <w:pPr>
              <w:jc w:val="center"/>
              <w:spacing w:after="0"/>
              <w:rPr>
                <w:sz w:val="20"/>
                <w:szCs w:val="20"/>
                <w:color w:val="auto"/>
              </w:rPr>
            </w:pPr>
            <w:r>
              <w:rPr>
                <w:rFonts w:ascii="Arial" w:cs="Arial" w:eastAsia="Arial" w:hAnsi="Arial"/>
                <w:sz w:val="14"/>
                <w:szCs w:val="14"/>
                <w:color w:val="auto"/>
                <w:w w:val="97"/>
              </w:rPr>
              <w:t>21,857</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472,548</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2020</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7"/>
              </w:rPr>
              <w:t>18,592</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401,959</w:t>
            </w:r>
          </w:p>
        </w:tc>
        <w:tc>
          <w:tcPr>
            <w:tcW w:w="2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9"/>
              </w:rPr>
              <w:t>—</w:t>
            </w:r>
          </w:p>
        </w:tc>
      </w:tr>
      <w:tr>
        <w:trPr>
          <w:trHeight w:val="34"/>
        </w:trPr>
        <w:tc>
          <w:tcPr>
            <w:tcW w:w="2240" w:type="dxa"/>
            <w:vAlign w:val="bottom"/>
            <w:tcBorders>
              <w:bottom w:val="single" w:sz="8" w:color="7F7F7F"/>
            </w:tcBorders>
          </w:tcPr>
          <w:p>
            <w:pPr>
              <w:spacing w:after="0"/>
              <w:rPr>
                <w:sz w:val="2"/>
                <w:szCs w:val="2"/>
                <w:color w:val="auto"/>
              </w:rPr>
            </w:pPr>
          </w:p>
        </w:tc>
        <w:tc>
          <w:tcPr>
            <w:tcW w:w="1560" w:type="dxa"/>
            <w:vAlign w:val="bottom"/>
            <w:tcBorders>
              <w:bottom w:val="single" w:sz="8" w:color="7F7F7F"/>
            </w:tcBorders>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1340" w:type="dxa"/>
            <w:vAlign w:val="bottom"/>
            <w:tcBorders>
              <w:bottom w:val="single" w:sz="8" w:color="7F7F7F"/>
            </w:tcBorders>
          </w:tcPr>
          <w:p>
            <w:pPr>
              <w:spacing w:after="0"/>
              <w:rPr>
                <w:sz w:val="2"/>
                <w:szCs w:val="2"/>
                <w:color w:val="auto"/>
              </w:rPr>
            </w:pPr>
          </w:p>
        </w:tc>
        <w:tc>
          <w:tcPr>
            <w:tcW w:w="2060" w:type="dxa"/>
            <w:vAlign w:val="bottom"/>
            <w:tcBorders>
              <w:bottom w:val="single" w:sz="8" w:color="7F7F7F"/>
            </w:tcBorders>
          </w:tcPr>
          <w:p>
            <w:pPr>
              <w:spacing w:after="0"/>
              <w:rPr>
                <w:sz w:val="2"/>
                <w:szCs w:val="2"/>
                <w:color w:val="auto"/>
              </w:rPr>
            </w:pPr>
          </w:p>
        </w:tc>
        <w:tc>
          <w:tcPr>
            <w:tcW w:w="1920" w:type="dxa"/>
            <w:vAlign w:val="bottom"/>
            <w:tcBorders>
              <w:bottom w:val="single" w:sz="8" w:color="7F7F7F"/>
            </w:tcBorders>
          </w:tcPr>
          <w:p>
            <w:pPr>
              <w:spacing w:after="0"/>
              <w:rPr>
                <w:sz w:val="2"/>
                <w:szCs w:val="2"/>
                <w:color w:val="auto"/>
              </w:rPr>
            </w:pPr>
          </w:p>
        </w:tc>
      </w:tr>
      <w:tr>
        <w:trPr>
          <w:trHeight w:val="227"/>
        </w:trPr>
        <w:tc>
          <w:tcPr>
            <w:tcW w:w="2240" w:type="dxa"/>
            <w:vAlign w:val="bottom"/>
          </w:tcPr>
          <w:p>
            <w:pPr>
              <w:ind w:left="60"/>
              <w:spacing w:after="0"/>
              <w:rPr>
                <w:sz w:val="20"/>
                <w:szCs w:val="20"/>
                <w:color w:val="auto"/>
              </w:rPr>
            </w:pPr>
            <w:r>
              <w:rPr>
                <w:rFonts w:ascii="Arial" w:cs="Arial" w:eastAsia="Arial" w:hAnsi="Arial"/>
                <w:sz w:val="14"/>
                <w:szCs w:val="14"/>
                <w:b w:val="1"/>
                <w:bCs w:val="1"/>
                <w:color w:val="auto"/>
              </w:rPr>
              <w:t>Olivier G. Thirot</w:t>
            </w: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2023</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7"/>
              </w:rPr>
              <w:t>28,922</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625,294</w:t>
            </w:r>
          </w:p>
        </w:tc>
        <w:tc>
          <w:tcPr>
            <w:tcW w:w="2060" w:type="dxa"/>
            <w:vAlign w:val="bottom"/>
          </w:tcPr>
          <w:p>
            <w:pPr>
              <w:jc w:val="center"/>
              <w:spacing w:after="0"/>
              <w:rPr>
                <w:sz w:val="20"/>
                <w:szCs w:val="20"/>
                <w:color w:val="auto"/>
              </w:rPr>
            </w:pPr>
            <w:r>
              <w:rPr>
                <w:rFonts w:ascii="Arial" w:cs="Arial" w:eastAsia="Arial" w:hAnsi="Arial"/>
                <w:sz w:val="14"/>
                <w:szCs w:val="14"/>
                <w:color w:val="auto"/>
                <w:w w:val="97"/>
              </w:rPr>
              <w:t>23,140</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500,287</w:t>
            </w:r>
          </w:p>
        </w:tc>
      </w:tr>
      <w:tr>
        <w:trPr>
          <w:trHeight w:val="200"/>
        </w:trPr>
        <w:tc>
          <w:tcPr>
            <w:tcW w:w="2240" w:type="dxa"/>
            <w:vAlign w:val="bottom"/>
          </w:tcPr>
          <w:p>
            <w:pPr>
              <w:spacing w:after="0"/>
              <w:rPr>
                <w:sz w:val="17"/>
                <w:szCs w:val="17"/>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2022</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7"/>
              </w:rPr>
              <w:t>19,938</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431,060</w:t>
            </w:r>
          </w:p>
        </w:tc>
        <w:tc>
          <w:tcPr>
            <w:tcW w:w="2060" w:type="dxa"/>
            <w:vAlign w:val="bottom"/>
          </w:tcPr>
          <w:p>
            <w:pPr>
              <w:jc w:val="center"/>
              <w:spacing w:after="0"/>
              <w:rPr>
                <w:sz w:val="20"/>
                <w:szCs w:val="20"/>
                <w:color w:val="auto"/>
              </w:rPr>
            </w:pPr>
            <w:r>
              <w:rPr>
                <w:rFonts w:ascii="Arial" w:cs="Arial" w:eastAsia="Arial" w:hAnsi="Arial"/>
                <w:sz w:val="14"/>
                <w:szCs w:val="14"/>
                <w:color w:val="auto"/>
                <w:w w:val="97"/>
              </w:rPr>
              <w:t>10,130</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219,011</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2021</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7"/>
              </w:rPr>
              <w:t>24,229</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523,831</w:t>
            </w:r>
          </w:p>
        </w:tc>
        <w:tc>
          <w:tcPr>
            <w:tcW w:w="2060" w:type="dxa"/>
            <w:vAlign w:val="bottom"/>
          </w:tcPr>
          <w:p>
            <w:pPr>
              <w:jc w:val="center"/>
              <w:spacing w:after="0"/>
              <w:rPr>
                <w:sz w:val="20"/>
                <w:szCs w:val="20"/>
                <w:color w:val="auto"/>
              </w:rPr>
            </w:pPr>
            <w:r>
              <w:rPr>
                <w:rFonts w:ascii="Arial" w:cs="Arial" w:eastAsia="Arial" w:hAnsi="Arial"/>
                <w:sz w:val="14"/>
                <w:szCs w:val="14"/>
                <w:color w:val="auto"/>
                <w:w w:val="97"/>
              </w:rPr>
              <w:t>17,971</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388,533</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2020</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6"/>
              </w:rPr>
              <w:t>9,406</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203,358</w:t>
            </w:r>
          </w:p>
        </w:tc>
        <w:tc>
          <w:tcPr>
            <w:tcW w:w="2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9"/>
              </w:rPr>
              <w:t>—</w:t>
            </w:r>
          </w:p>
        </w:tc>
      </w:tr>
      <w:tr>
        <w:trPr>
          <w:trHeight w:val="34"/>
        </w:trPr>
        <w:tc>
          <w:tcPr>
            <w:tcW w:w="2240" w:type="dxa"/>
            <w:vAlign w:val="bottom"/>
            <w:tcBorders>
              <w:bottom w:val="single" w:sz="8" w:color="7F7F7F"/>
            </w:tcBorders>
          </w:tcPr>
          <w:p>
            <w:pPr>
              <w:spacing w:after="0"/>
              <w:rPr>
                <w:sz w:val="2"/>
                <w:szCs w:val="2"/>
                <w:color w:val="auto"/>
              </w:rPr>
            </w:pPr>
          </w:p>
        </w:tc>
        <w:tc>
          <w:tcPr>
            <w:tcW w:w="1560" w:type="dxa"/>
            <w:vAlign w:val="bottom"/>
            <w:tcBorders>
              <w:bottom w:val="single" w:sz="8" w:color="7F7F7F"/>
            </w:tcBorders>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1340" w:type="dxa"/>
            <w:vAlign w:val="bottom"/>
            <w:tcBorders>
              <w:bottom w:val="single" w:sz="8" w:color="7F7F7F"/>
            </w:tcBorders>
          </w:tcPr>
          <w:p>
            <w:pPr>
              <w:spacing w:after="0"/>
              <w:rPr>
                <w:sz w:val="2"/>
                <w:szCs w:val="2"/>
                <w:color w:val="auto"/>
              </w:rPr>
            </w:pPr>
          </w:p>
        </w:tc>
        <w:tc>
          <w:tcPr>
            <w:tcW w:w="2060" w:type="dxa"/>
            <w:vAlign w:val="bottom"/>
            <w:tcBorders>
              <w:bottom w:val="single" w:sz="8" w:color="7F7F7F"/>
            </w:tcBorders>
          </w:tcPr>
          <w:p>
            <w:pPr>
              <w:spacing w:after="0"/>
              <w:rPr>
                <w:sz w:val="2"/>
                <w:szCs w:val="2"/>
                <w:color w:val="auto"/>
              </w:rPr>
            </w:pPr>
          </w:p>
        </w:tc>
        <w:tc>
          <w:tcPr>
            <w:tcW w:w="1920" w:type="dxa"/>
            <w:vAlign w:val="bottom"/>
            <w:tcBorders>
              <w:bottom w:val="single" w:sz="8" w:color="7F7F7F"/>
            </w:tcBorders>
          </w:tcPr>
          <w:p>
            <w:pPr>
              <w:spacing w:after="0"/>
              <w:rPr>
                <w:sz w:val="2"/>
                <w:szCs w:val="2"/>
                <w:color w:val="auto"/>
              </w:rPr>
            </w:pPr>
          </w:p>
        </w:tc>
      </w:tr>
      <w:tr>
        <w:trPr>
          <w:trHeight w:val="227"/>
        </w:trPr>
        <w:tc>
          <w:tcPr>
            <w:tcW w:w="2240" w:type="dxa"/>
            <w:vAlign w:val="bottom"/>
          </w:tcPr>
          <w:p>
            <w:pPr>
              <w:ind w:left="60"/>
              <w:spacing w:after="0"/>
              <w:rPr>
                <w:sz w:val="20"/>
                <w:szCs w:val="20"/>
                <w:color w:val="auto"/>
              </w:rPr>
            </w:pPr>
            <w:r>
              <w:rPr>
                <w:rFonts w:ascii="Arial" w:cs="Arial" w:eastAsia="Arial" w:hAnsi="Arial"/>
                <w:sz w:val="14"/>
                <w:szCs w:val="14"/>
                <w:b w:val="1"/>
                <w:bCs w:val="1"/>
                <w:color w:val="auto"/>
              </w:rPr>
              <w:t>Daniel H. Malan</w:t>
            </w: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2023</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7"/>
              </w:rPr>
              <w:t>24,306</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525,496</w:t>
            </w:r>
          </w:p>
        </w:tc>
        <w:tc>
          <w:tcPr>
            <w:tcW w:w="2060" w:type="dxa"/>
            <w:vAlign w:val="bottom"/>
          </w:tcPr>
          <w:p>
            <w:pPr>
              <w:jc w:val="center"/>
              <w:spacing w:after="0"/>
              <w:rPr>
                <w:sz w:val="20"/>
                <w:szCs w:val="20"/>
                <w:color w:val="auto"/>
              </w:rPr>
            </w:pPr>
            <w:r>
              <w:rPr>
                <w:rFonts w:ascii="Arial" w:cs="Arial" w:eastAsia="Arial" w:hAnsi="Arial"/>
                <w:sz w:val="14"/>
                <w:szCs w:val="14"/>
                <w:color w:val="auto"/>
                <w:w w:val="96"/>
              </w:rPr>
              <w:t>8,292</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179,273</w:t>
            </w:r>
          </w:p>
        </w:tc>
      </w:tr>
      <w:tr>
        <w:trPr>
          <w:trHeight w:val="200"/>
        </w:trPr>
        <w:tc>
          <w:tcPr>
            <w:tcW w:w="2240" w:type="dxa"/>
            <w:vAlign w:val="bottom"/>
          </w:tcPr>
          <w:p>
            <w:pPr>
              <w:spacing w:after="0"/>
              <w:rPr>
                <w:sz w:val="17"/>
                <w:szCs w:val="17"/>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2022</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6"/>
              </w:rPr>
              <w:t>6,804</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147,102</w:t>
            </w:r>
          </w:p>
        </w:tc>
        <w:tc>
          <w:tcPr>
            <w:tcW w:w="2060" w:type="dxa"/>
            <w:vAlign w:val="bottom"/>
          </w:tcPr>
          <w:p>
            <w:pPr>
              <w:jc w:val="center"/>
              <w:spacing w:after="0"/>
              <w:rPr>
                <w:sz w:val="20"/>
                <w:szCs w:val="20"/>
                <w:color w:val="auto"/>
              </w:rPr>
            </w:pPr>
            <w:r>
              <w:rPr>
                <w:rFonts w:ascii="Arial" w:cs="Arial" w:eastAsia="Arial" w:hAnsi="Arial"/>
                <w:sz w:val="14"/>
                <w:szCs w:val="14"/>
                <w:color w:val="auto"/>
                <w:w w:val="96"/>
              </w:rPr>
              <w:t>3,458</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7"/>
              </w:rPr>
              <w:t>74,762</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2021</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6"/>
              </w:rPr>
              <w:t>8,654</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187,099</w:t>
            </w:r>
          </w:p>
        </w:tc>
        <w:tc>
          <w:tcPr>
            <w:tcW w:w="2060" w:type="dxa"/>
            <w:vAlign w:val="bottom"/>
          </w:tcPr>
          <w:p>
            <w:pPr>
              <w:jc w:val="center"/>
              <w:spacing w:after="0"/>
              <w:rPr>
                <w:sz w:val="20"/>
                <w:szCs w:val="20"/>
                <w:color w:val="auto"/>
              </w:rPr>
            </w:pPr>
            <w:r>
              <w:rPr>
                <w:rFonts w:ascii="Arial" w:cs="Arial" w:eastAsia="Arial" w:hAnsi="Arial"/>
                <w:sz w:val="14"/>
                <w:szCs w:val="14"/>
                <w:color w:val="auto"/>
                <w:w w:val="96"/>
              </w:rPr>
              <w:t>7,286</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157,523</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2020</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7"/>
              </w:rPr>
              <w:t>13,907</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300,669</w:t>
            </w:r>
          </w:p>
        </w:tc>
        <w:tc>
          <w:tcPr>
            <w:tcW w:w="2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9"/>
              </w:rPr>
              <w:t>—</w:t>
            </w:r>
          </w:p>
        </w:tc>
      </w:tr>
      <w:tr>
        <w:trPr>
          <w:trHeight w:val="34"/>
        </w:trPr>
        <w:tc>
          <w:tcPr>
            <w:tcW w:w="2240" w:type="dxa"/>
            <w:vAlign w:val="bottom"/>
            <w:tcBorders>
              <w:bottom w:val="single" w:sz="8" w:color="7F7F7F"/>
            </w:tcBorders>
          </w:tcPr>
          <w:p>
            <w:pPr>
              <w:spacing w:after="0"/>
              <w:rPr>
                <w:sz w:val="2"/>
                <w:szCs w:val="2"/>
                <w:color w:val="auto"/>
              </w:rPr>
            </w:pPr>
          </w:p>
        </w:tc>
        <w:tc>
          <w:tcPr>
            <w:tcW w:w="1560" w:type="dxa"/>
            <w:vAlign w:val="bottom"/>
            <w:tcBorders>
              <w:bottom w:val="single" w:sz="8" w:color="7F7F7F"/>
            </w:tcBorders>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1340" w:type="dxa"/>
            <w:vAlign w:val="bottom"/>
            <w:tcBorders>
              <w:bottom w:val="single" w:sz="8" w:color="7F7F7F"/>
            </w:tcBorders>
          </w:tcPr>
          <w:p>
            <w:pPr>
              <w:spacing w:after="0"/>
              <w:rPr>
                <w:sz w:val="2"/>
                <w:szCs w:val="2"/>
                <w:color w:val="auto"/>
              </w:rPr>
            </w:pPr>
          </w:p>
        </w:tc>
        <w:tc>
          <w:tcPr>
            <w:tcW w:w="2060" w:type="dxa"/>
            <w:vAlign w:val="bottom"/>
            <w:tcBorders>
              <w:bottom w:val="single" w:sz="8" w:color="7F7F7F"/>
            </w:tcBorders>
          </w:tcPr>
          <w:p>
            <w:pPr>
              <w:spacing w:after="0"/>
              <w:rPr>
                <w:sz w:val="2"/>
                <w:szCs w:val="2"/>
                <w:color w:val="auto"/>
              </w:rPr>
            </w:pPr>
          </w:p>
        </w:tc>
        <w:tc>
          <w:tcPr>
            <w:tcW w:w="1920" w:type="dxa"/>
            <w:vAlign w:val="bottom"/>
            <w:tcBorders>
              <w:bottom w:val="single" w:sz="8" w:color="7F7F7F"/>
            </w:tcBorders>
          </w:tcPr>
          <w:p>
            <w:pPr>
              <w:spacing w:after="0"/>
              <w:rPr>
                <w:sz w:val="2"/>
                <w:szCs w:val="2"/>
                <w:color w:val="auto"/>
              </w:rPr>
            </w:pPr>
          </w:p>
        </w:tc>
      </w:tr>
      <w:tr>
        <w:trPr>
          <w:trHeight w:val="227"/>
        </w:trPr>
        <w:tc>
          <w:tcPr>
            <w:tcW w:w="2240" w:type="dxa"/>
            <w:vAlign w:val="bottom"/>
          </w:tcPr>
          <w:p>
            <w:pPr>
              <w:ind w:left="60"/>
              <w:spacing w:after="0"/>
              <w:rPr>
                <w:sz w:val="20"/>
                <w:szCs w:val="20"/>
                <w:color w:val="auto"/>
              </w:rPr>
            </w:pPr>
            <w:r>
              <w:rPr>
                <w:rFonts w:ascii="Arial" w:cs="Arial" w:eastAsia="Arial" w:hAnsi="Arial"/>
                <w:sz w:val="14"/>
                <w:szCs w:val="14"/>
                <w:b w:val="1"/>
                <w:bCs w:val="1"/>
                <w:color w:val="auto"/>
              </w:rPr>
              <w:t>Vanessa P. Williams</w:t>
            </w: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2023</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7"/>
              </w:rPr>
              <w:t>12,913</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279,179</w:t>
            </w:r>
          </w:p>
        </w:tc>
        <w:tc>
          <w:tcPr>
            <w:tcW w:w="2060" w:type="dxa"/>
            <w:vAlign w:val="bottom"/>
          </w:tcPr>
          <w:p>
            <w:pPr>
              <w:jc w:val="center"/>
              <w:spacing w:after="0"/>
              <w:rPr>
                <w:sz w:val="20"/>
                <w:szCs w:val="20"/>
                <w:color w:val="auto"/>
              </w:rPr>
            </w:pPr>
            <w:r>
              <w:rPr>
                <w:rFonts w:ascii="Arial" w:cs="Arial" w:eastAsia="Arial" w:hAnsi="Arial"/>
                <w:sz w:val="14"/>
                <w:szCs w:val="14"/>
                <w:color w:val="auto"/>
                <w:w w:val="97"/>
              </w:rPr>
              <w:t>10,332</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223,378</w:t>
            </w:r>
          </w:p>
        </w:tc>
      </w:tr>
      <w:tr>
        <w:trPr>
          <w:trHeight w:val="200"/>
        </w:trPr>
        <w:tc>
          <w:tcPr>
            <w:tcW w:w="2240" w:type="dxa"/>
            <w:vAlign w:val="bottom"/>
          </w:tcPr>
          <w:p>
            <w:pPr>
              <w:spacing w:after="0"/>
              <w:rPr>
                <w:sz w:val="17"/>
                <w:szCs w:val="17"/>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2022</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6"/>
              </w:rPr>
              <w:t>9,359</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202,342</w:t>
            </w:r>
          </w:p>
        </w:tc>
        <w:tc>
          <w:tcPr>
            <w:tcW w:w="2060" w:type="dxa"/>
            <w:vAlign w:val="bottom"/>
          </w:tcPr>
          <w:p>
            <w:pPr>
              <w:jc w:val="center"/>
              <w:spacing w:after="0"/>
              <w:rPr>
                <w:sz w:val="20"/>
                <w:szCs w:val="20"/>
                <w:color w:val="auto"/>
              </w:rPr>
            </w:pPr>
            <w:r>
              <w:rPr>
                <w:rFonts w:ascii="Arial" w:cs="Arial" w:eastAsia="Arial" w:hAnsi="Arial"/>
                <w:sz w:val="14"/>
                <w:szCs w:val="14"/>
                <w:color w:val="auto"/>
                <w:w w:val="96"/>
              </w:rPr>
              <w:t>4,754</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102,781</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2021</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6"/>
              </w:rPr>
              <w:t>8,948</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193,456</w:t>
            </w:r>
          </w:p>
        </w:tc>
        <w:tc>
          <w:tcPr>
            <w:tcW w:w="2060" w:type="dxa"/>
            <w:vAlign w:val="bottom"/>
          </w:tcPr>
          <w:p>
            <w:pPr>
              <w:jc w:val="center"/>
              <w:spacing w:after="0"/>
              <w:rPr>
                <w:sz w:val="20"/>
                <w:szCs w:val="20"/>
                <w:color w:val="auto"/>
              </w:rPr>
            </w:pPr>
            <w:r>
              <w:rPr>
                <w:rFonts w:ascii="Arial" w:cs="Arial" w:eastAsia="Arial" w:hAnsi="Arial"/>
                <w:sz w:val="14"/>
                <w:szCs w:val="14"/>
                <w:color w:val="auto"/>
                <w:w w:val="96"/>
              </w:rPr>
              <w:t>5,343</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115,516</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2020</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6"/>
              </w:rPr>
              <w:t>5,042</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109,008</w:t>
            </w:r>
          </w:p>
        </w:tc>
        <w:tc>
          <w:tcPr>
            <w:tcW w:w="2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9"/>
              </w:rPr>
              <w:t>—</w:t>
            </w:r>
          </w:p>
        </w:tc>
      </w:tr>
      <w:tr>
        <w:trPr>
          <w:trHeight w:val="34"/>
        </w:trPr>
        <w:tc>
          <w:tcPr>
            <w:tcW w:w="2240" w:type="dxa"/>
            <w:vAlign w:val="bottom"/>
            <w:tcBorders>
              <w:bottom w:val="single" w:sz="8" w:color="7F7F7F"/>
            </w:tcBorders>
          </w:tcPr>
          <w:p>
            <w:pPr>
              <w:spacing w:after="0"/>
              <w:rPr>
                <w:sz w:val="2"/>
                <w:szCs w:val="2"/>
                <w:color w:val="auto"/>
              </w:rPr>
            </w:pPr>
          </w:p>
        </w:tc>
        <w:tc>
          <w:tcPr>
            <w:tcW w:w="1560" w:type="dxa"/>
            <w:vAlign w:val="bottom"/>
            <w:tcBorders>
              <w:bottom w:val="single" w:sz="8" w:color="7F7F7F"/>
            </w:tcBorders>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1340" w:type="dxa"/>
            <w:vAlign w:val="bottom"/>
            <w:tcBorders>
              <w:bottom w:val="single" w:sz="8" w:color="7F7F7F"/>
            </w:tcBorders>
          </w:tcPr>
          <w:p>
            <w:pPr>
              <w:spacing w:after="0"/>
              <w:rPr>
                <w:sz w:val="2"/>
                <w:szCs w:val="2"/>
                <w:color w:val="auto"/>
              </w:rPr>
            </w:pPr>
          </w:p>
        </w:tc>
        <w:tc>
          <w:tcPr>
            <w:tcW w:w="2060" w:type="dxa"/>
            <w:vAlign w:val="bottom"/>
            <w:tcBorders>
              <w:bottom w:val="single" w:sz="8" w:color="7F7F7F"/>
            </w:tcBorders>
          </w:tcPr>
          <w:p>
            <w:pPr>
              <w:spacing w:after="0"/>
              <w:rPr>
                <w:sz w:val="2"/>
                <w:szCs w:val="2"/>
                <w:color w:val="auto"/>
              </w:rPr>
            </w:pPr>
          </w:p>
        </w:tc>
        <w:tc>
          <w:tcPr>
            <w:tcW w:w="1920" w:type="dxa"/>
            <w:vAlign w:val="bottom"/>
            <w:tcBorders>
              <w:bottom w:val="single" w:sz="8" w:color="7F7F7F"/>
            </w:tcBorders>
          </w:tcPr>
          <w:p>
            <w:pPr>
              <w:spacing w:after="0"/>
              <w:rPr>
                <w:sz w:val="2"/>
                <w:szCs w:val="2"/>
                <w:color w:val="auto"/>
              </w:rPr>
            </w:pPr>
          </w:p>
        </w:tc>
      </w:tr>
      <w:tr>
        <w:trPr>
          <w:trHeight w:val="227"/>
        </w:trPr>
        <w:tc>
          <w:tcPr>
            <w:tcW w:w="2240" w:type="dxa"/>
            <w:vAlign w:val="bottom"/>
          </w:tcPr>
          <w:p>
            <w:pPr>
              <w:ind w:left="60"/>
              <w:spacing w:after="0"/>
              <w:rPr>
                <w:sz w:val="20"/>
                <w:szCs w:val="20"/>
                <w:color w:val="auto"/>
              </w:rPr>
            </w:pPr>
            <w:r>
              <w:rPr>
                <w:rFonts w:ascii="Arial" w:cs="Arial" w:eastAsia="Arial" w:hAnsi="Arial"/>
                <w:sz w:val="14"/>
                <w:szCs w:val="14"/>
                <w:b w:val="1"/>
                <w:bCs w:val="1"/>
                <w:color w:val="auto"/>
              </w:rPr>
              <w:t>Dinette Koolhaas</w:t>
            </w: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2023</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7"/>
              </w:rPr>
              <w:t>11,281</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243,895</w:t>
            </w:r>
          </w:p>
        </w:tc>
        <w:tc>
          <w:tcPr>
            <w:tcW w:w="2060" w:type="dxa"/>
            <w:vAlign w:val="bottom"/>
          </w:tcPr>
          <w:p>
            <w:pPr>
              <w:jc w:val="center"/>
              <w:spacing w:after="0"/>
              <w:rPr>
                <w:sz w:val="20"/>
                <w:szCs w:val="20"/>
                <w:color w:val="auto"/>
              </w:rPr>
            </w:pPr>
            <w:r>
              <w:rPr>
                <w:rFonts w:ascii="Arial" w:cs="Arial" w:eastAsia="Arial" w:hAnsi="Arial"/>
                <w:sz w:val="14"/>
                <w:szCs w:val="14"/>
                <w:color w:val="auto"/>
                <w:w w:val="96"/>
              </w:rPr>
              <w:t>9,026</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195,142</w:t>
            </w:r>
          </w:p>
        </w:tc>
      </w:tr>
      <w:tr>
        <w:trPr>
          <w:trHeight w:val="200"/>
        </w:trPr>
        <w:tc>
          <w:tcPr>
            <w:tcW w:w="2240" w:type="dxa"/>
            <w:vAlign w:val="bottom"/>
          </w:tcPr>
          <w:p>
            <w:pPr>
              <w:spacing w:after="0"/>
              <w:rPr>
                <w:sz w:val="17"/>
                <w:szCs w:val="17"/>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2022</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6"/>
              </w:rPr>
              <w:t>8,500</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183,770</w:t>
            </w:r>
          </w:p>
        </w:tc>
        <w:tc>
          <w:tcPr>
            <w:tcW w:w="2060" w:type="dxa"/>
            <w:vAlign w:val="bottom"/>
          </w:tcPr>
          <w:p>
            <w:pPr>
              <w:jc w:val="center"/>
              <w:spacing w:after="0"/>
              <w:rPr>
                <w:sz w:val="20"/>
                <w:szCs w:val="20"/>
                <w:color w:val="auto"/>
              </w:rPr>
            </w:pPr>
            <w:r>
              <w:rPr>
                <w:rFonts w:ascii="Arial" w:cs="Arial" w:eastAsia="Arial" w:hAnsi="Arial"/>
                <w:sz w:val="14"/>
                <w:szCs w:val="14"/>
                <w:color w:val="auto"/>
                <w:w w:val="96"/>
              </w:rPr>
              <w:t>4,318</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7"/>
              </w:rPr>
              <w:t>93,355</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2021</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6"/>
              </w:rPr>
              <w:t>7,243</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156,594</w:t>
            </w:r>
          </w:p>
        </w:tc>
        <w:tc>
          <w:tcPr>
            <w:tcW w:w="2060" w:type="dxa"/>
            <w:vAlign w:val="bottom"/>
          </w:tcPr>
          <w:p>
            <w:pPr>
              <w:jc w:val="center"/>
              <w:spacing w:after="0"/>
              <w:rPr>
                <w:sz w:val="20"/>
                <w:szCs w:val="20"/>
                <w:color w:val="auto"/>
              </w:rPr>
            </w:pPr>
            <w:r>
              <w:rPr>
                <w:rFonts w:ascii="Arial" w:cs="Arial" w:eastAsia="Arial" w:hAnsi="Arial"/>
                <w:sz w:val="14"/>
                <w:szCs w:val="14"/>
                <w:color w:val="auto"/>
                <w:w w:val="96"/>
              </w:rPr>
              <w:t>4,856</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104,987</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2020</w:t>
            </w:r>
          </w:p>
        </w:tc>
        <w:tc>
          <w:tcPr>
            <w:tcW w:w="1500" w:type="dxa"/>
            <w:vAlign w:val="bottom"/>
          </w:tcPr>
          <w:p>
            <w:pPr>
              <w:jc w:val="center"/>
              <w:ind w:left="91"/>
              <w:spacing w:after="0"/>
              <w:rPr>
                <w:sz w:val="20"/>
                <w:szCs w:val="20"/>
                <w:color w:val="auto"/>
              </w:rPr>
            </w:pPr>
            <w:r>
              <w:rPr>
                <w:rFonts w:ascii="Arial" w:cs="Arial" w:eastAsia="Arial" w:hAnsi="Arial"/>
                <w:sz w:val="14"/>
                <w:szCs w:val="14"/>
                <w:color w:val="auto"/>
                <w:w w:val="96"/>
              </w:rPr>
              <w:t>2,972</w:t>
            </w:r>
          </w:p>
        </w:tc>
        <w:tc>
          <w:tcPr>
            <w:tcW w:w="1340" w:type="dxa"/>
            <w:vAlign w:val="bottom"/>
          </w:tcPr>
          <w:p>
            <w:pPr>
              <w:jc w:val="center"/>
              <w:spacing w:after="0"/>
              <w:rPr>
                <w:sz w:val="20"/>
                <w:szCs w:val="20"/>
                <w:color w:val="auto"/>
              </w:rPr>
            </w:pPr>
            <w:r>
              <w:rPr>
                <w:rFonts w:ascii="Arial" w:cs="Arial" w:eastAsia="Arial" w:hAnsi="Arial"/>
                <w:sz w:val="14"/>
                <w:szCs w:val="14"/>
                <w:color w:val="auto"/>
                <w:w w:val="97"/>
              </w:rPr>
              <w:t>64,255</w:t>
            </w:r>
          </w:p>
        </w:tc>
        <w:tc>
          <w:tcPr>
            <w:tcW w:w="2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9"/>
              </w:rPr>
              <w:t>—</w:t>
            </w:r>
          </w:p>
        </w:tc>
      </w:tr>
      <w:tr>
        <w:trPr>
          <w:trHeight w:val="34"/>
        </w:trPr>
        <w:tc>
          <w:tcPr>
            <w:tcW w:w="2240" w:type="dxa"/>
            <w:vAlign w:val="bottom"/>
            <w:tcBorders>
              <w:bottom w:val="single" w:sz="8" w:color="7F7F7F"/>
            </w:tcBorders>
          </w:tcPr>
          <w:p>
            <w:pPr>
              <w:spacing w:after="0"/>
              <w:rPr>
                <w:sz w:val="2"/>
                <w:szCs w:val="2"/>
                <w:color w:val="auto"/>
              </w:rPr>
            </w:pPr>
          </w:p>
        </w:tc>
        <w:tc>
          <w:tcPr>
            <w:tcW w:w="1560" w:type="dxa"/>
            <w:vAlign w:val="bottom"/>
            <w:tcBorders>
              <w:bottom w:val="single" w:sz="8" w:color="7F7F7F"/>
            </w:tcBorders>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1340" w:type="dxa"/>
            <w:vAlign w:val="bottom"/>
            <w:tcBorders>
              <w:bottom w:val="single" w:sz="8" w:color="7F7F7F"/>
            </w:tcBorders>
          </w:tcPr>
          <w:p>
            <w:pPr>
              <w:spacing w:after="0"/>
              <w:rPr>
                <w:sz w:val="2"/>
                <w:szCs w:val="2"/>
                <w:color w:val="auto"/>
              </w:rPr>
            </w:pPr>
          </w:p>
        </w:tc>
        <w:tc>
          <w:tcPr>
            <w:tcW w:w="2060" w:type="dxa"/>
            <w:vAlign w:val="bottom"/>
            <w:tcBorders>
              <w:bottom w:val="single" w:sz="8" w:color="7F7F7F"/>
            </w:tcBorders>
          </w:tcPr>
          <w:p>
            <w:pPr>
              <w:spacing w:after="0"/>
              <w:rPr>
                <w:sz w:val="2"/>
                <w:szCs w:val="2"/>
                <w:color w:val="auto"/>
              </w:rPr>
            </w:pPr>
          </w:p>
        </w:tc>
        <w:tc>
          <w:tcPr>
            <w:tcW w:w="1920" w:type="dxa"/>
            <w:vAlign w:val="bottom"/>
            <w:tcBorders>
              <w:bottom w:val="single" w:sz="8" w:color="7F7F7F"/>
            </w:tcBorders>
          </w:tcPr>
          <w:p>
            <w:pPr>
              <w:spacing w:after="0"/>
              <w:rPr>
                <w:sz w:val="2"/>
                <w:szCs w:val="2"/>
                <w:color w:val="auto"/>
              </w:rPr>
            </w:pPr>
          </w:p>
        </w:tc>
      </w:tr>
    </w:tbl>
    <w:p>
      <w:pPr>
        <w:spacing w:after="0" w:line="99" w:lineRule="exact"/>
        <w:rPr>
          <w:sz w:val="20"/>
          <w:szCs w:val="20"/>
          <w:color w:val="auto"/>
        </w:rPr>
      </w:pPr>
    </w:p>
    <w:p>
      <w:pPr>
        <w:ind w:left="620" w:right="80" w:hanging="304"/>
        <w:spacing w:after="0" w:line="264" w:lineRule="auto"/>
        <w:tabs>
          <w:tab w:leader="none" w:pos="6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Company did not grant stock options during the 2023 fiscal year. All previously outstanding granted stock options for the named executive officers expired during the 2014 fiscal year. As a result, there are no outstanding options to report and, accordingly, these columns have been eliminated from the table.</w:t>
      </w:r>
    </w:p>
    <w:p>
      <w:pPr>
        <w:spacing w:after="0" w:line="34" w:lineRule="exact"/>
        <w:rPr>
          <w:rFonts w:ascii="Arial" w:cs="Arial" w:eastAsia="Arial" w:hAnsi="Arial"/>
          <w:sz w:val="12"/>
          <w:szCs w:val="12"/>
          <w:color w:val="auto"/>
        </w:rPr>
      </w:pPr>
    </w:p>
    <w:p>
      <w:pPr>
        <w:ind w:left="620" w:right="100" w:hanging="304"/>
        <w:spacing w:after="0" w:line="245" w:lineRule="auto"/>
        <w:tabs>
          <w:tab w:leader="none" w:pos="6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All outstanding Restricted Stock Awards/Units granted before 2023 vest ratably over four years. Restricted Stock Awards/Units granted in 2023 and after vest ratably over three years, with the exception of Mr. Malan’s February 14, 2023 award which has a two-year cliff vest. 2021 total includes 50% of the Specialty GP mix portion of the KEEP award. The number of outstanding shares has been determined as of December 31, 2023, the last day of the Company’s fiscal year 2023.</w:t>
      </w:r>
    </w:p>
    <w:p>
      <w:pPr>
        <w:spacing w:after="0" w:line="45" w:lineRule="exact"/>
        <w:rPr>
          <w:rFonts w:ascii="Arial" w:cs="Arial" w:eastAsia="Arial" w:hAnsi="Arial"/>
          <w:sz w:val="12"/>
          <w:szCs w:val="12"/>
          <w:color w:val="auto"/>
        </w:rPr>
      </w:pPr>
    </w:p>
    <w:p>
      <w:pPr>
        <w:ind w:left="620" w:right="100" w:hanging="304"/>
        <w:spacing w:after="0" w:line="239" w:lineRule="auto"/>
        <w:tabs>
          <w:tab w:leader="none" w:pos="6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Performance results for the first, second and third year of the 2021-2023 LTI are reflected in these totals, which is detailed above in the “2021-2023 Long-Term Incentive Performance Results” section. Performance results for the first and second year of the 2022-2024 LTI are reflected in these totals, which is detailed above in the “2022-2024 Long-Term Incentive Performance Results” section. Performance results for the first year of the 2023-2025 LTI are reflected in these totals, which is detailed above in the “2023-2025 Long-Term Incentive Performance Results” section.</w:t>
      </w:r>
    </w:p>
    <w:p>
      <w:pPr>
        <w:spacing w:after="0" w:line="48" w:lineRule="exact"/>
        <w:rPr>
          <w:rFonts w:ascii="Arial" w:cs="Arial" w:eastAsia="Arial" w:hAnsi="Arial"/>
          <w:sz w:val="12"/>
          <w:szCs w:val="12"/>
          <w:color w:val="auto"/>
        </w:rPr>
      </w:pPr>
    </w:p>
    <w:p>
      <w:pPr>
        <w:ind w:left="620" w:hanging="304"/>
        <w:spacing w:after="0"/>
        <w:tabs>
          <w:tab w:leader="none" w:pos="6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market value is determined based on the closing market price of our common shares on the last trading day of the 2023 fiscal year, December 29, 2023 ($21.62).</w:t>
      </w:r>
    </w:p>
    <w:p>
      <w:pPr>
        <w:spacing w:after="0" w:line="70" w:lineRule="exact"/>
        <w:rPr>
          <w:rFonts w:ascii="Arial" w:cs="Arial" w:eastAsia="Arial" w:hAnsi="Arial"/>
          <w:sz w:val="12"/>
          <w:szCs w:val="12"/>
          <w:color w:val="auto"/>
        </w:rPr>
      </w:pPr>
    </w:p>
    <w:p>
      <w:pPr>
        <w:ind w:left="620" w:right="200" w:hanging="304"/>
        <w:spacing w:after="0" w:line="243" w:lineRule="auto"/>
        <w:tabs>
          <w:tab w:leader="none" w:pos="6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Performance Shares granted in 2021, 2022 and 2023 are earned based upon achievement of selected financial measures over three one-year periods. If the minimum or threshold performance is not attained, the performance shares will be forfeited. The table includes the 2022 Performance Shares year three and the 2023 Performance Shares years two and three, at target.</w:t>
      </w:r>
    </w:p>
    <w:p>
      <w:pPr>
        <w:ind w:left="9380" w:hanging="281"/>
        <w:spacing w:after="0"/>
        <w:tabs>
          <w:tab w:leader="none" w:pos="9380" w:val="left"/>
        </w:tabs>
        <w:numPr>
          <w:ilvl w:val="1"/>
          <w:numId w:val="45"/>
        </w:numPr>
        <w:rPr>
          <w:rFonts w:ascii="Arial" w:cs="Arial" w:eastAsia="Arial" w:hAnsi="Arial"/>
          <w:sz w:val="21"/>
          <w:szCs w:val="21"/>
          <w:color w:val="auto"/>
          <w:vertAlign w:val="subscript"/>
        </w:rPr>
      </w:pPr>
      <w:r>
        <w:rPr>
          <w:sz w:val="1"/>
          <w:szCs w:val="1"/>
          <w:color w:val="auto"/>
        </w:rPr>
        <w:drawing>
          <wp:inline distT="0" distB="0" distL="0" distR="0">
            <wp:extent cx="396240" cy="189865"/>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1"/>
          <w:szCs w:val="21"/>
          <w:color w:val="auto"/>
          <w:vertAlign w:val="subscript"/>
        </w:rPr>
        <w:t xml:space="preserve">    </w:t>
      </w:r>
      <w:r>
        <w:rPr>
          <w:rFonts w:ascii="Arial" w:cs="Arial" w:eastAsia="Arial" w:hAnsi="Arial"/>
          <w:sz w:val="21"/>
          <w:szCs w:val="21"/>
          <w:color w:val="auto"/>
        </w:rPr>
        <w: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-134620</wp:posOffset>
            </wp:positionV>
            <wp:extent cx="8255" cy="2228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2023 Executive Compensation Tables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Option Exercises and Stock Vested 2023</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160" w:type="dxa"/>
            <w:vAlign w:val="bottom"/>
            <w:gridSpan w:val="2"/>
          </w:tcPr>
          <w:p>
            <w:pPr>
              <w:ind w:left="1240"/>
              <w:spacing w:after="0"/>
              <w:rPr>
                <w:sz w:val="20"/>
                <w:szCs w:val="20"/>
                <w:color w:val="auto"/>
              </w:rPr>
            </w:pPr>
            <w:r>
              <w:rPr>
                <w:rFonts w:ascii="Arial" w:cs="Arial" w:eastAsia="Arial" w:hAnsi="Arial"/>
                <w:sz w:val="14"/>
                <w:szCs w:val="14"/>
                <w:b w:val="1"/>
                <w:bCs w:val="1"/>
                <w:color w:val="0A9E50"/>
              </w:rPr>
              <w:t>Option Awards</w:t>
            </w:r>
          </w:p>
        </w:tc>
        <w:tc>
          <w:tcPr>
            <w:tcW w:w="2360" w:type="dxa"/>
            <w:vAlign w:val="bottom"/>
            <w:gridSpan w:val="2"/>
          </w:tcPr>
          <w:p>
            <w:pPr>
              <w:ind w:left="880"/>
              <w:spacing w:after="0"/>
              <w:rPr>
                <w:sz w:val="20"/>
                <w:szCs w:val="20"/>
                <w:color w:val="auto"/>
              </w:rPr>
            </w:pPr>
            <w:r>
              <w:rPr>
                <w:rFonts w:ascii="Arial" w:cs="Arial" w:eastAsia="Arial" w:hAnsi="Arial"/>
                <w:sz w:val="14"/>
                <w:szCs w:val="14"/>
                <w:b w:val="1"/>
                <w:bCs w:val="1"/>
                <w:color w:val="0A9E50"/>
              </w:rPr>
              <w:t>Stock Awards</w:t>
            </w:r>
          </w:p>
        </w:tc>
      </w:tr>
      <w:tr>
        <w:trPr>
          <w:trHeight w:val="39"/>
        </w:trPr>
        <w:tc>
          <w:tcPr>
            <w:tcW w:w="510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40"/>
        </w:trPr>
        <w:tc>
          <w:tcPr>
            <w:tcW w:w="5100" w:type="dxa"/>
            <w:vAlign w:val="bottom"/>
          </w:tcPr>
          <w:p>
            <w:pPr>
              <w:spacing w:after="0"/>
              <w:rPr>
                <w:sz w:val="12"/>
                <w:szCs w:val="12"/>
                <w:color w:val="auto"/>
              </w:rPr>
            </w:pPr>
          </w:p>
        </w:tc>
        <w:tc>
          <w:tcPr>
            <w:tcW w:w="1760" w:type="dxa"/>
            <w:vAlign w:val="bottom"/>
          </w:tcPr>
          <w:p>
            <w:pPr>
              <w:jc w:val="center"/>
              <w:ind w:left="231"/>
              <w:spacing w:after="0" w:line="140" w:lineRule="exact"/>
              <w:rPr>
                <w:sz w:val="20"/>
                <w:szCs w:val="20"/>
                <w:color w:val="auto"/>
              </w:rPr>
            </w:pPr>
            <w:r>
              <w:rPr>
                <w:rFonts w:ascii="Arial" w:cs="Arial" w:eastAsia="Arial" w:hAnsi="Arial"/>
                <w:sz w:val="14"/>
                <w:szCs w:val="14"/>
                <w:b w:val="1"/>
                <w:bCs w:val="1"/>
                <w:color w:val="0A9E50"/>
                <w:w w:val="99"/>
              </w:rPr>
              <w:t>Number of</w:t>
            </w:r>
          </w:p>
        </w:tc>
        <w:tc>
          <w:tcPr>
            <w:tcW w:w="1400" w:type="dxa"/>
            <w:vAlign w:val="bottom"/>
          </w:tcPr>
          <w:p>
            <w:pPr>
              <w:spacing w:after="0"/>
              <w:rPr>
                <w:sz w:val="12"/>
                <w:szCs w:val="12"/>
                <w:color w:val="auto"/>
              </w:rPr>
            </w:pPr>
          </w:p>
        </w:tc>
        <w:tc>
          <w:tcPr>
            <w:tcW w:w="1340" w:type="dxa"/>
            <w:vAlign w:val="bottom"/>
          </w:tcPr>
          <w:p>
            <w:pPr>
              <w:jc w:val="center"/>
              <w:ind w:left="31"/>
              <w:spacing w:after="0" w:line="140" w:lineRule="exact"/>
              <w:rPr>
                <w:sz w:val="20"/>
                <w:szCs w:val="20"/>
                <w:color w:val="auto"/>
              </w:rPr>
            </w:pPr>
            <w:r>
              <w:rPr>
                <w:rFonts w:ascii="Arial" w:cs="Arial" w:eastAsia="Arial" w:hAnsi="Arial"/>
                <w:sz w:val="14"/>
                <w:szCs w:val="14"/>
                <w:b w:val="1"/>
                <w:bCs w:val="1"/>
                <w:color w:val="0A9E50"/>
                <w:w w:val="97"/>
              </w:rPr>
              <w:t>Number of</w:t>
            </w:r>
          </w:p>
        </w:tc>
        <w:tc>
          <w:tcPr>
            <w:tcW w:w="1020" w:type="dxa"/>
            <w:vAlign w:val="bottom"/>
          </w:tcPr>
          <w:p>
            <w:pPr>
              <w:spacing w:after="0"/>
              <w:rPr>
                <w:sz w:val="12"/>
                <w:szCs w:val="12"/>
                <w:color w:val="auto"/>
              </w:rPr>
            </w:pPr>
          </w:p>
        </w:tc>
      </w:tr>
      <w:tr>
        <w:trPr>
          <w:trHeight w:val="156"/>
        </w:trPr>
        <w:tc>
          <w:tcPr>
            <w:tcW w:w="5100" w:type="dxa"/>
            <w:vAlign w:val="bottom"/>
          </w:tcPr>
          <w:p>
            <w:pPr>
              <w:spacing w:after="0"/>
              <w:rPr>
                <w:sz w:val="13"/>
                <w:szCs w:val="13"/>
                <w:color w:val="auto"/>
              </w:rPr>
            </w:pPr>
          </w:p>
        </w:tc>
        <w:tc>
          <w:tcPr>
            <w:tcW w:w="1760" w:type="dxa"/>
            <w:vAlign w:val="bottom"/>
          </w:tcPr>
          <w:p>
            <w:pPr>
              <w:jc w:val="center"/>
              <w:ind w:left="231"/>
              <w:spacing w:after="0" w:line="156" w:lineRule="exact"/>
              <w:rPr>
                <w:sz w:val="20"/>
                <w:szCs w:val="20"/>
                <w:color w:val="auto"/>
              </w:rPr>
            </w:pPr>
            <w:r>
              <w:rPr>
                <w:rFonts w:ascii="Arial" w:cs="Arial" w:eastAsia="Arial" w:hAnsi="Arial"/>
                <w:sz w:val="14"/>
                <w:szCs w:val="14"/>
                <w:b w:val="1"/>
                <w:bCs w:val="1"/>
                <w:color w:val="0A9E50"/>
                <w:w w:val="98"/>
              </w:rPr>
              <w:t>Shares</w:t>
            </w:r>
          </w:p>
        </w:tc>
        <w:tc>
          <w:tcPr>
            <w:tcW w:w="140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6"/>
              </w:rPr>
              <w:t>Value</w:t>
            </w:r>
          </w:p>
        </w:tc>
        <w:tc>
          <w:tcPr>
            <w:tcW w:w="1340" w:type="dxa"/>
            <w:vAlign w:val="bottom"/>
          </w:tcPr>
          <w:p>
            <w:pPr>
              <w:jc w:val="center"/>
              <w:ind w:left="31"/>
              <w:spacing w:after="0" w:line="156" w:lineRule="exact"/>
              <w:rPr>
                <w:sz w:val="20"/>
                <w:szCs w:val="20"/>
                <w:color w:val="auto"/>
              </w:rPr>
            </w:pPr>
            <w:r>
              <w:rPr>
                <w:rFonts w:ascii="Arial" w:cs="Arial" w:eastAsia="Arial" w:hAnsi="Arial"/>
                <w:sz w:val="14"/>
                <w:szCs w:val="14"/>
                <w:b w:val="1"/>
                <w:bCs w:val="1"/>
                <w:color w:val="0A9E50"/>
              </w:rPr>
              <w:t>Shares</w:t>
            </w:r>
          </w:p>
        </w:tc>
        <w:tc>
          <w:tcPr>
            <w:tcW w:w="1020" w:type="dxa"/>
            <w:vAlign w:val="bottom"/>
          </w:tcPr>
          <w:p>
            <w:pPr>
              <w:jc w:val="center"/>
              <w:ind w:left="151"/>
              <w:spacing w:after="0" w:line="156" w:lineRule="exact"/>
              <w:rPr>
                <w:sz w:val="20"/>
                <w:szCs w:val="20"/>
                <w:color w:val="auto"/>
              </w:rPr>
            </w:pPr>
            <w:r>
              <w:rPr>
                <w:rFonts w:ascii="Arial" w:cs="Arial" w:eastAsia="Arial" w:hAnsi="Arial"/>
                <w:sz w:val="14"/>
                <w:szCs w:val="14"/>
                <w:b w:val="1"/>
                <w:bCs w:val="1"/>
                <w:color w:val="0A9E50"/>
                <w:w w:val="96"/>
              </w:rPr>
              <w:t>Value</w:t>
            </w:r>
          </w:p>
        </w:tc>
      </w:tr>
      <w:tr>
        <w:trPr>
          <w:trHeight w:val="152"/>
        </w:trPr>
        <w:tc>
          <w:tcPr>
            <w:tcW w:w="5100" w:type="dxa"/>
            <w:vAlign w:val="bottom"/>
          </w:tcPr>
          <w:p>
            <w:pPr>
              <w:spacing w:after="0"/>
              <w:rPr>
                <w:sz w:val="13"/>
                <w:szCs w:val="13"/>
                <w:color w:val="auto"/>
              </w:rPr>
            </w:pPr>
          </w:p>
        </w:tc>
        <w:tc>
          <w:tcPr>
            <w:tcW w:w="1760" w:type="dxa"/>
            <w:vAlign w:val="bottom"/>
          </w:tcPr>
          <w:p>
            <w:pPr>
              <w:jc w:val="center"/>
              <w:ind w:left="231"/>
              <w:spacing w:after="0" w:line="153" w:lineRule="exact"/>
              <w:rPr>
                <w:sz w:val="20"/>
                <w:szCs w:val="20"/>
                <w:color w:val="auto"/>
              </w:rPr>
            </w:pPr>
            <w:r>
              <w:rPr>
                <w:rFonts w:ascii="Arial" w:cs="Arial" w:eastAsia="Arial" w:hAnsi="Arial"/>
                <w:sz w:val="14"/>
                <w:szCs w:val="14"/>
                <w:b w:val="1"/>
                <w:bCs w:val="1"/>
                <w:color w:val="0A9E50"/>
              </w:rPr>
              <w:t>Acquired on</w:t>
            </w: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0A9E50"/>
              </w:rPr>
              <w:t>Realized on</w:t>
            </w:r>
          </w:p>
        </w:tc>
        <w:tc>
          <w:tcPr>
            <w:tcW w:w="1340" w:type="dxa"/>
            <w:vAlign w:val="bottom"/>
          </w:tcPr>
          <w:p>
            <w:pPr>
              <w:jc w:val="center"/>
              <w:ind w:left="31"/>
              <w:spacing w:after="0" w:line="153" w:lineRule="exact"/>
              <w:rPr>
                <w:sz w:val="20"/>
                <w:szCs w:val="20"/>
                <w:color w:val="auto"/>
              </w:rPr>
            </w:pPr>
            <w:r>
              <w:rPr>
                <w:rFonts w:ascii="Arial" w:cs="Arial" w:eastAsia="Arial" w:hAnsi="Arial"/>
                <w:sz w:val="14"/>
                <w:szCs w:val="14"/>
                <w:b w:val="1"/>
                <w:bCs w:val="1"/>
                <w:color w:val="0A9E50"/>
                <w:w w:val="97"/>
              </w:rPr>
              <w:t>Acquired on</w:t>
            </w:r>
          </w:p>
        </w:tc>
        <w:tc>
          <w:tcPr>
            <w:tcW w:w="1020" w:type="dxa"/>
            <w:vAlign w:val="bottom"/>
          </w:tcPr>
          <w:p>
            <w:pPr>
              <w:jc w:val="center"/>
              <w:ind w:left="151"/>
              <w:spacing w:after="0" w:line="153" w:lineRule="exact"/>
              <w:rPr>
                <w:sz w:val="20"/>
                <w:szCs w:val="20"/>
                <w:color w:val="auto"/>
              </w:rPr>
            </w:pPr>
            <w:r>
              <w:rPr>
                <w:rFonts w:ascii="Arial" w:cs="Arial" w:eastAsia="Arial" w:hAnsi="Arial"/>
                <w:sz w:val="14"/>
                <w:szCs w:val="14"/>
                <w:b w:val="1"/>
                <w:bCs w:val="1"/>
                <w:color w:val="0A9E50"/>
                <w:w w:val="97"/>
              </w:rPr>
              <w:t>Realized on</w:t>
            </w:r>
          </w:p>
        </w:tc>
      </w:tr>
      <w:tr>
        <w:trPr>
          <w:trHeight w:val="160"/>
        </w:trPr>
        <w:tc>
          <w:tcPr>
            <w:tcW w:w="5100" w:type="dxa"/>
            <w:vAlign w:val="bottom"/>
          </w:tcPr>
          <w:p>
            <w:pPr>
              <w:spacing w:after="0"/>
              <w:rPr>
                <w:sz w:val="13"/>
                <w:szCs w:val="13"/>
                <w:color w:val="auto"/>
              </w:rPr>
            </w:pPr>
          </w:p>
        </w:tc>
        <w:tc>
          <w:tcPr>
            <w:tcW w:w="1760" w:type="dxa"/>
            <w:vAlign w:val="bottom"/>
          </w:tcPr>
          <w:p>
            <w:pPr>
              <w:jc w:val="center"/>
              <w:ind w:left="231"/>
              <w:spacing w:after="0" w:line="160" w:lineRule="exact"/>
              <w:rPr>
                <w:sz w:val="20"/>
                <w:szCs w:val="20"/>
                <w:color w:val="auto"/>
              </w:rPr>
            </w:pPr>
            <w:r>
              <w:rPr>
                <w:rFonts w:ascii="Arial" w:cs="Arial" w:eastAsia="Arial" w:hAnsi="Arial"/>
                <w:sz w:val="14"/>
                <w:szCs w:val="14"/>
                <w:b w:val="1"/>
                <w:bCs w:val="1"/>
                <w:color w:val="0A9E50"/>
              </w:rPr>
              <w:t>Exercise</w:t>
            </w:r>
          </w:p>
        </w:tc>
        <w:tc>
          <w:tcPr>
            <w:tcW w:w="1400" w:type="dxa"/>
            <w:vAlign w:val="bottom"/>
          </w:tcPr>
          <w:p>
            <w:pPr>
              <w:jc w:val="center"/>
              <w:spacing w:after="0" w:line="160" w:lineRule="exact"/>
              <w:rPr>
                <w:sz w:val="20"/>
                <w:szCs w:val="20"/>
                <w:color w:val="auto"/>
              </w:rPr>
            </w:pPr>
            <w:r>
              <w:rPr>
                <w:rFonts w:ascii="Arial" w:cs="Arial" w:eastAsia="Arial" w:hAnsi="Arial"/>
                <w:sz w:val="14"/>
                <w:szCs w:val="14"/>
                <w:b w:val="1"/>
                <w:bCs w:val="1"/>
                <w:color w:val="0A9E50"/>
              </w:rPr>
              <w:t>Exercise</w:t>
            </w:r>
          </w:p>
        </w:tc>
        <w:tc>
          <w:tcPr>
            <w:tcW w:w="1340" w:type="dxa"/>
            <w:vAlign w:val="bottom"/>
          </w:tcPr>
          <w:p>
            <w:pPr>
              <w:jc w:val="center"/>
              <w:ind w:left="31"/>
              <w:spacing w:after="0" w:line="160" w:lineRule="exact"/>
              <w:rPr>
                <w:sz w:val="20"/>
                <w:szCs w:val="20"/>
                <w:color w:val="auto"/>
              </w:rPr>
            </w:pPr>
            <w:r>
              <w:rPr>
                <w:rFonts w:ascii="Arial" w:cs="Arial" w:eastAsia="Arial" w:hAnsi="Arial"/>
                <w:sz w:val="14"/>
                <w:szCs w:val="14"/>
                <w:b w:val="1"/>
                <w:bCs w:val="1"/>
                <w:color w:val="0A9E50"/>
                <w:w w:val="94"/>
              </w:rPr>
              <w:t>Vesting</w:t>
            </w:r>
          </w:p>
        </w:tc>
        <w:tc>
          <w:tcPr>
            <w:tcW w:w="1020" w:type="dxa"/>
            <w:vAlign w:val="bottom"/>
          </w:tcPr>
          <w:p>
            <w:pPr>
              <w:jc w:val="center"/>
              <w:ind w:left="171"/>
              <w:spacing w:after="0" w:line="160" w:lineRule="exact"/>
              <w:rPr>
                <w:sz w:val="20"/>
                <w:szCs w:val="20"/>
                <w:color w:val="auto"/>
              </w:rPr>
            </w:pPr>
            <w:r>
              <w:rPr>
                <w:rFonts w:ascii="Arial" w:cs="Arial" w:eastAsia="Arial" w:hAnsi="Arial"/>
                <w:sz w:val="13"/>
                <w:szCs w:val="13"/>
                <w:b w:val="1"/>
                <w:bCs w:val="1"/>
                <w:color w:val="0A9E50"/>
              </w:rPr>
              <w:t>Vesting</w:t>
            </w:r>
            <w:r>
              <w:rPr>
                <w:rFonts w:ascii="Arial" w:cs="Arial" w:eastAsia="Arial" w:hAnsi="Arial"/>
                <w:sz w:val="18"/>
                <w:szCs w:val="18"/>
                <w:b w:val="1"/>
                <w:bCs w:val="1"/>
                <w:color w:val="0A9E50"/>
                <w:vertAlign w:val="superscript"/>
              </w:rPr>
              <w:t>(1)</w:t>
            </w:r>
          </w:p>
        </w:tc>
      </w:tr>
      <w:tr>
        <w:trPr>
          <w:trHeight w:val="192"/>
        </w:trPr>
        <w:tc>
          <w:tcPr>
            <w:tcW w:w="5100" w:type="dxa"/>
            <w:vAlign w:val="bottom"/>
          </w:tcPr>
          <w:p>
            <w:pPr>
              <w:spacing w:after="0"/>
              <w:rPr>
                <w:sz w:val="20"/>
                <w:szCs w:val="20"/>
                <w:color w:val="auto"/>
              </w:rPr>
            </w:pPr>
            <w:r>
              <w:rPr>
                <w:rFonts w:ascii="Arial" w:cs="Arial" w:eastAsia="Arial" w:hAnsi="Arial"/>
                <w:sz w:val="14"/>
                <w:szCs w:val="14"/>
                <w:b w:val="1"/>
                <w:bCs w:val="1"/>
                <w:color w:val="0A9E50"/>
              </w:rPr>
              <w:t>Name</w:t>
            </w:r>
          </w:p>
        </w:tc>
        <w:tc>
          <w:tcPr>
            <w:tcW w:w="1760" w:type="dxa"/>
            <w:vAlign w:val="bottom"/>
          </w:tcPr>
          <w:p>
            <w:pPr>
              <w:jc w:val="center"/>
              <w:ind w:left="231"/>
              <w:spacing w:after="0"/>
              <w:rPr>
                <w:sz w:val="20"/>
                <w:szCs w:val="20"/>
                <w:color w:val="auto"/>
              </w:rPr>
            </w:pPr>
            <w:r>
              <w:rPr>
                <w:rFonts w:ascii="Arial" w:cs="Arial" w:eastAsia="Arial" w:hAnsi="Arial"/>
                <w:sz w:val="14"/>
                <w:szCs w:val="14"/>
                <w:b w:val="1"/>
                <w:bCs w:val="1"/>
                <w:color w:val="0A9E50"/>
              </w:rPr>
              <w: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A9E50"/>
              </w:rPr>
              <w:t>($)</w:t>
            </w:r>
          </w:p>
        </w:tc>
        <w:tc>
          <w:tcPr>
            <w:tcW w:w="1340" w:type="dxa"/>
            <w:vAlign w:val="bottom"/>
          </w:tcPr>
          <w:p>
            <w:pPr>
              <w:jc w:val="center"/>
              <w:ind w:left="31"/>
              <w:spacing w:after="0"/>
              <w:rPr>
                <w:sz w:val="20"/>
                <w:szCs w:val="20"/>
                <w:color w:val="auto"/>
              </w:rPr>
            </w:pPr>
            <w:r>
              <w:rPr>
                <w:rFonts w:ascii="Arial" w:cs="Arial" w:eastAsia="Arial" w:hAnsi="Arial"/>
                <w:sz w:val="14"/>
                <w:szCs w:val="14"/>
                <w:b w:val="1"/>
                <w:bCs w:val="1"/>
                <w:color w:val="0A9E50"/>
                <w:w w:val="93"/>
              </w:rPr>
              <w:t>(#)</w:t>
            </w:r>
          </w:p>
        </w:tc>
        <w:tc>
          <w:tcPr>
            <w:tcW w:w="1020" w:type="dxa"/>
            <w:vAlign w:val="bottom"/>
          </w:tcPr>
          <w:p>
            <w:pPr>
              <w:jc w:val="center"/>
              <w:ind w:left="151"/>
              <w:spacing w:after="0"/>
              <w:rPr>
                <w:sz w:val="20"/>
                <w:szCs w:val="20"/>
                <w:color w:val="auto"/>
              </w:rPr>
            </w:pPr>
            <w:r>
              <w:rPr>
                <w:rFonts w:ascii="Arial" w:cs="Arial" w:eastAsia="Arial" w:hAnsi="Arial"/>
                <w:sz w:val="14"/>
                <w:szCs w:val="14"/>
                <w:b w:val="1"/>
                <w:bCs w:val="1"/>
                <w:color w:val="0A9E50"/>
                <w:w w:val="93"/>
              </w:rPr>
              <w:t>($)</w:t>
            </w:r>
          </w:p>
        </w:tc>
      </w:tr>
      <w:tr>
        <w:trPr>
          <w:trHeight w:val="39"/>
        </w:trPr>
        <w:tc>
          <w:tcPr>
            <w:tcW w:w="51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7"/>
        </w:trPr>
        <w:tc>
          <w:tcPr>
            <w:tcW w:w="5100" w:type="dxa"/>
            <w:vAlign w:val="bottom"/>
          </w:tcPr>
          <w:p>
            <w:pPr>
              <w:ind w:left="60"/>
              <w:spacing w:after="0"/>
              <w:rPr>
                <w:sz w:val="20"/>
                <w:szCs w:val="20"/>
                <w:color w:val="auto"/>
              </w:rPr>
            </w:pPr>
            <w:r>
              <w:rPr>
                <w:rFonts w:ascii="Arial" w:cs="Arial" w:eastAsia="Arial" w:hAnsi="Arial"/>
                <w:sz w:val="14"/>
                <w:szCs w:val="14"/>
                <w:b w:val="1"/>
                <w:bCs w:val="1"/>
                <w:color w:val="auto"/>
              </w:rPr>
              <w:t>Peter W. Quigley</w:t>
            </w:r>
          </w:p>
        </w:tc>
        <w:tc>
          <w:tcPr>
            <w:tcW w:w="1760" w:type="dxa"/>
            <w:vAlign w:val="bottom"/>
          </w:tcPr>
          <w:p>
            <w:pPr>
              <w:jc w:val="center"/>
              <w:ind w:left="231"/>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1"/>
              <w:spacing w:after="0"/>
              <w:rPr>
                <w:sz w:val="20"/>
                <w:szCs w:val="20"/>
                <w:color w:val="auto"/>
              </w:rPr>
            </w:pPr>
            <w:r>
              <w:rPr>
                <w:rFonts w:ascii="Arial" w:cs="Arial" w:eastAsia="Arial" w:hAnsi="Arial"/>
                <w:sz w:val="14"/>
                <w:szCs w:val="14"/>
                <w:color w:val="auto"/>
              </w:rPr>
              <w:t>62,249</w:t>
            </w:r>
          </w:p>
        </w:tc>
        <w:tc>
          <w:tcPr>
            <w:tcW w:w="1020" w:type="dxa"/>
            <w:vAlign w:val="bottom"/>
          </w:tcPr>
          <w:p>
            <w:pPr>
              <w:jc w:val="center"/>
              <w:ind w:left="151"/>
              <w:spacing w:after="0"/>
              <w:rPr>
                <w:sz w:val="20"/>
                <w:szCs w:val="20"/>
                <w:color w:val="auto"/>
              </w:rPr>
            </w:pPr>
            <w:r>
              <w:rPr>
                <w:rFonts w:ascii="Arial" w:cs="Arial" w:eastAsia="Arial" w:hAnsi="Arial"/>
                <w:sz w:val="14"/>
                <w:szCs w:val="14"/>
                <w:color w:val="auto"/>
                <w:w w:val="96"/>
              </w:rPr>
              <w:t>1,110,746</w:t>
            </w:r>
          </w:p>
        </w:tc>
      </w:tr>
      <w:tr>
        <w:trPr>
          <w:trHeight w:val="39"/>
        </w:trPr>
        <w:tc>
          <w:tcPr>
            <w:tcW w:w="5100" w:type="dxa"/>
            <w:vAlign w:val="bottom"/>
            <w:tcBorders>
              <w:bottom w:val="single" w:sz="8" w:color="7F7F7F"/>
            </w:tcBorders>
          </w:tcPr>
          <w:p>
            <w:pPr>
              <w:spacing w:after="0"/>
              <w:rPr>
                <w:sz w:val="3"/>
                <w:szCs w:val="3"/>
                <w:color w:val="auto"/>
              </w:rPr>
            </w:pPr>
          </w:p>
        </w:tc>
        <w:tc>
          <w:tcPr>
            <w:tcW w:w="1760" w:type="dxa"/>
            <w:vAlign w:val="bottom"/>
            <w:tcBorders>
              <w:bottom w:val="single" w:sz="8" w:color="7F7F7F"/>
            </w:tcBorders>
          </w:tcPr>
          <w:p>
            <w:pPr>
              <w:spacing w:after="0"/>
              <w:rPr>
                <w:sz w:val="3"/>
                <w:szCs w:val="3"/>
                <w:color w:val="auto"/>
              </w:rPr>
            </w:pPr>
          </w:p>
        </w:tc>
        <w:tc>
          <w:tcPr>
            <w:tcW w:w="1400" w:type="dxa"/>
            <w:vAlign w:val="bottom"/>
            <w:tcBorders>
              <w:bottom w:val="single" w:sz="8" w:color="7F7F7F"/>
            </w:tcBorders>
          </w:tcPr>
          <w:p>
            <w:pPr>
              <w:spacing w:after="0"/>
              <w:rPr>
                <w:sz w:val="3"/>
                <w:szCs w:val="3"/>
                <w:color w:val="auto"/>
              </w:rPr>
            </w:pPr>
          </w:p>
        </w:tc>
        <w:tc>
          <w:tcPr>
            <w:tcW w:w="134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r>
      <w:tr>
        <w:trPr>
          <w:trHeight w:val="227"/>
        </w:trPr>
        <w:tc>
          <w:tcPr>
            <w:tcW w:w="5100" w:type="dxa"/>
            <w:vAlign w:val="bottom"/>
          </w:tcPr>
          <w:p>
            <w:pPr>
              <w:ind w:left="60"/>
              <w:spacing w:after="0"/>
              <w:rPr>
                <w:sz w:val="20"/>
                <w:szCs w:val="20"/>
                <w:color w:val="auto"/>
              </w:rPr>
            </w:pPr>
            <w:r>
              <w:rPr>
                <w:rFonts w:ascii="Arial" w:cs="Arial" w:eastAsia="Arial" w:hAnsi="Arial"/>
                <w:sz w:val="14"/>
                <w:szCs w:val="14"/>
                <w:b w:val="1"/>
                <w:bCs w:val="1"/>
                <w:color w:val="auto"/>
              </w:rPr>
              <w:t>Olivier G. Thirot</w:t>
            </w:r>
          </w:p>
        </w:tc>
        <w:tc>
          <w:tcPr>
            <w:tcW w:w="1760" w:type="dxa"/>
            <w:vAlign w:val="bottom"/>
          </w:tcPr>
          <w:p>
            <w:pPr>
              <w:jc w:val="center"/>
              <w:ind w:left="231"/>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1"/>
              <w:spacing w:after="0"/>
              <w:rPr>
                <w:sz w:val="20"/>
                <w:szCs w:val="20"/>
                <w:color w:val="auto"/>
              </w:rPr>
            </w:pPr>
            <w:r>
              <w:rPr>
                <w:rFonts w:ascii="Arial" w:cs="Arial" w:eastAsia="Arial" w:hAnsi="Arial"/>
                <w:sz w:val="14"/>
                <w:szCs w:val="14"/>
                <w:color w:val="auto"/>
              </w:rPr>
              <w:t>42,447</w:t>
            </w:r>
          </w:p>
        </w:tc>
        <w:tc>
          <w:tcPr>
            <w:tcW w:w="1020" w:type="dxa"/>
            <w:vAlign w:val="bottom"/>
          </w:tcPr>
          <w:p>
            <w:pPr>
              <w:jc w:val="center"/>
              <w:ind w:left="171"/>
              <w:spacing w:after="0"/>
              <w:rPr>
                <w:sz w:val="20"/>
                <w:szCs w:val="20"/>
                <w:color w:val="auto"/>
              </w:rPr>
            </w:pPr>
            <w:r>
              <w:rPr>
                <w:rFonts w:ascii="Arial" w:cs="Arial" w:eastAsia="Arial" w:hAnsi="Arial"/>
                <w:sz w:val="14"/>
                <w:szCs w:val="14"/>
                <w:color w:val="auto"/>
                <w:w w:val="98"/>
              </w:rPr>
              <w:t>757,156</w:t>
            </w:r>
          </w:p>
        </w:tc>
      </w:tr>
      <w:tr>
        <w:trPr>
          <w:trHeight w:val="39"/>
        </w:trPr>
        <w:tc>
          <w:tcPr>
            <w:tcW w:w="5100" w:type="dxa"/>
            <w:vAlign w:val="bottom"/>
            <w:tcBorders>
              <w:bottom w:val="single" w:sz="8" w:color="7F7F7F"/>
            </w:tcBorders>
          </w:tcPr>
          <w:p>
            <w:pPr>
              <w:spacing w:after="0"/>
              <w:rPr>
                <w:sz w:val="3"/>
                <w:szCs w:val="3"/>
                <w:color w:val="auto"/>
              </w:rPr>
            </w:pPr>
          </w:p>
        </w:tc>
        <w:tc>
          <w:tcPr>
            <w:tcW w:w="1760" w:type="dxa"/>
            <w:vAlign w:val="bottom"/>
            <w:tcBorders>
              <w:bottom w:val="single" w:sz="8" w:color="7F7F7F"/>
            </w:tcBorders>
          </w:tcPr>
          <w:p>
            <w:pPr>
              <w:spacing w:after="0"/>
              <w:rPr>
                <w:sz w:val="3"/>
                <w:szCs w:val="3"/>
                <w:color w:val="auto"/>
              </w:rPr>
            </w:pPr>
          </w:p>
        </w:tc>
        <w:tc>
          <w:tcPr>
            <w:tcW w:w="1400" w:type="dxa"/>
            <w:vAlign w:val="bottom"/>
            <w:tcBorders>
              <w:bottom w:val="single" w:sz="8" w:color="7F7F7F"/>
            </w:tcBorders>
          </w:tcPr>
          <w:p>
            <w:pPr>
              <w:spacing w:after="0"/>
              <w:rPr>
                <w:sz w:val="3"/>
                <w:szCs w:val="3"/>
                <w:color w:val="auto"/>
              </w:rPr>
            </w:pPr>
          </w:p>
        </w:tc>
        <w:tc>
          <w:tcPr>
            <w:tcW w:w="134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r>
      <w:tr>
        <w:trPr>
          <w:trHeight w:val="227"/>
        </w:trPr>
        <w:tc>
          <w:tcPr>
            <w:tcW w:w="5100" w:type="dxa"/>
            <w:vAlign w:val="bottom"/>
          </w:tcPr>
          <w:p>
            <w:pPr>
              <w:ind w:left="60"/>
              <w:spacing w:after="0"/>
              <w:rPr>
                <w:sz w:val="20"/>
                <w:szCs w:val="20"/>
                <w:color w:val="auto"/>
              </w:rPr>
            </w:pPr>
            <w:r>
              <w:rPr>
                <w:rFonts w:ascii="Arial" w:cs="Arial" w:eastAsia="Arial" w:hAnsi="Arial"/>
                <w:sz w:val="14"/>
                <w:szCs w:val="14"/>
                <w:b w:val="1"/>
                <w:bCs w:val="1"/>
                <w:color w:val="auto"/>
              </w:rPr>
              <w:t>Daniel H. Malan</w:t>
            </w:r>
          </w:p>
        </w:tc>
        <w:tc>
          <w:tcPr>
            <w:tcW w:w="1760" w:type="dxa"/>
            <w:vAlign w:val="bottom"/>
          </w:tcPr>
          <w:p>
            <w:pPr>
              <w:jc w:val="center"/>
              <w:ind w:left="231"/>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1"/>
              <w:spacing w:after="0"/>
              <w:rPr>
                <w:sz w:val="20"/>
                <w:szCs w:val="20"/>
                <w:color w:val="auto"/>
              </w:rPr>
            </w:pPr>
            <w:r>
              <w:rPr>
                <w:rFonts w:ascii="Arial" w:cs="Arial" w:eastAsia="Arial" w:hAnsi="Arial"/>
                <w:sz w:val="14"/>
                <w:szCs w:val="14"/>
                <w:color w:val="auto"/>
              </w:rPr>
              <w:t>26,199</w:t>
            </w:r>
          </w:p>
        </w:tc>
        <w:tc>
          <w:tcPr>
            <w:tcW w:w="1020" w:type="dxa"/>
            <w:vAlign w:val="bottom"/>
          </w:tcPr>
          <w:p>
            <w:pPr>
              <w:jc w:val="center"/>
              <w:ind w:left="171"/>
              <w:spacing w:after="0"/>
              <w:rPr>
                <w:sz w:val="20"/>
                <w:szCs w:val="20"/>
                <w:color w:val="auto"/>
              </w:rPr>
            </w:pPr>
            <w:r>
              <w:rPr>
                <w:rFonts w:ascii="Arial" w:cs="Arial" w:eastAsia="Arial" w:hAnsi="Arial"/>
                <w:sz w:val="14"/>
                <w:szCs w:val="14"/>
                <w:color w:val="auto"/>
                <w:w w:val="98"/>
              </w:rPr>
              <w:t>444,538</w:t>
            </w:r>
          </w:p>
        </w:tc>
      </w:tr>
      <w:tr>
        <w:trPr>
          <w:trHeight w:val="39"/>
        </w:trPr>
        <w:tc>
          <w:tcPr>
            <w:tcW w:w="5100" w:type="dxa"/>
            <w:vAlign w:val="bottom"/>
            <w:tcBorders>
              <w:bottom w:val="single" w:sz="8" w:color="7F7F7F"/>
            </w:tcBorders>
          </w:tcPr>
          <w:p>
            <w:pPr>
              <w:spacing w:after="0"/>
              <w:rPr>
                <w:sz w:val="3"/>
                <w:szCs w:val="3"/>
                <w:color w:val="auto"/>
              </w:rPr>
            </w:pPr>
          </w:p>
        </w:tc>
        <w:tc>
          <w:tcPr>
            <w:tcW w:w="1760" w:type="dxa"/>
            <w:vAlign w:val="bottom"/>
            <w:tcBorders>
              <w:bottom w:val="single" w:sz="8" w:color="7F7F7F"/>
            </w:tcBorders>
          </w:tcPr>
          <w:p>
            <w:pPr>
              <w:spacing w:after="0"/>
              <w:rPr>
                <w:sz w:val="3"/>
                <w:szCs w:val="3"/>
                <w:color w:val="auto"/>
              </w:rPr>
            </w:pPr>
          </w:p>
        </w:tc>
        <w:tc>
          <w:tcPr>
            <w:tcW w:w="1400" w:type="dxa"/>
            <w:vAlign w:val="bottom"/>
            <w:tcBorders>
              <w:bottom w:val="single" w:sz="8" w:color="7F7F7F"/>
            </w:tcBorders>
          </w:tcPr>
          <w:p>
            <w:pPr>
              <w:spacing w:after="0"/>
              <w:rPr>
                <w:sz w:val="3"/>
                <w:szCs w:val="3"/>
                <w:color w:val="auto"/>
              </w:rPr>
            </w:pPr>
          </w:p>
        </w:tc>
        <w:tc>
          <w:tcPr>
            <w:tcW w:w="134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r>
      <w:tr>
        <w:trPr>
          <w:trHeight w:val="227"/>
        </w:trPr>
        <w:tc>
          <w:tcPr>
            <w:tcW w:w="5100" w:type="dxa"/>
            <w:vAlign w:val="bottom"/>
          </w:tcPr>
          <w:p>
            <w:pPr>
              <w:ind w:left="60"/>
              <w:spacing w:after="0"/>
              <w:rPr>
                <w:sz w:val="20"/>
                <w:szCs w:val="20"/>
                <w:color w:val="auto"/>
              </w:rPr>
            </w:pPr>
            <w:r>
              <w:rPr>
                <w:rFonts w:ascii="Arial" w:cs="Arial" w:eastAsia="Arial" w:hAnsi="Arial"/>
                <w:sz w:val="14"/>
                <w:szCs w:val="14"/>
                <w:b w:val="1"/>
                <w:bCs w:val="1"/>
                <w:color w:val="auto"/>
              </w:rPr>
              <w:t>Vanessa P. Williams</w:t>
            </w:r>
          </w:p>
        </w:tc>
        <w:tc>
          <w:tcPr>
            <w:tcW w:w="1760" w:type="dxa"/>
            <w:vAlign w:val="bottom"/>
          </w:tcPr>
          <w:p>
            <w:pPr>
              <w:jc w:val="center"/>
              <w:ind w:left="231"/>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1"/>
              <w:spacing w:after="0"/>
              <w:rPr>
                <w:sz w:val="20"/>
                <w:szCs w:val="20"/>
                <w:color w:val="auto"/>
              </w:rPr>
            </w:pPr>
            <w:r>
              <w:rPr>
                <w:rFonts w:ascii="Arial" w:cs="Arial" w:eastAsia="Arial" w:hAnsi="Arial"/>
                <w:sz w:val="14"/>
                <w:szCs w:val="14"/>
                <w:color w:val="auto"/>
              </w:rPr>
              <w:t>14,860</w:t>
            </w:r>
          </w:p>
        </w:tc>
        <w:tc>
          <w:tcPr>
            <w:tcW w:w="1020" w:type="dxa"/>
            <w:vAlign w:val="bottom"/>
          </w:tcPr>
          <w:p>
            <w:pPr>
              <w:jc w:val="center"/>
              <w:ind w:left="171"/>
              <w:spacing w:after="0"/>
              <w:rPr>
                <w:sz w:val="20"/>
                <w:szCs w:val="20"/>
                <w:color w:val="auto"/>
              </w:rPr>
            </w:pPr>
            <w:r>
              <w:rPr>
                <w:rFonts w:ascii="Arial" w:cs="Arial" w:eastAsia="Arial" w:hAnsi="Arial"/>
                <w:sz w:val="14"/>
                <w:szCs w:val="14"/>
                <w:color w:val="auto"/>
                <w:w w:val="98"/>
              </w:rPr>
              <w:t>268,693</w:t>
            </w:r>
          </w:p>
        </w:tc>
      </w:tr>
      <w:tr>
        <w:trPr>
          <w:trHeight w:val="39"/>
        </w:trPr>
        <w:tc>
          <w:tcPr>
            <w:tcW w:w="5100" w:type="dxa"/>
            <w:vAlign w:val="bottom"/>
            <w:tcBorders>
              <w:bottom w:val="single" w:sz="8" w:color="7F7F7F"/>
            </w:tcBorders>
          </w:tcPr>
          <w:p>
            <w:pPr>
              <w:spacing w:after="0"/>
              <w:rPr>
                <w:sz w:val="3"/>
                <w:szCs w:val="3"/>
                <w:color w:val="auto"/>
              </w:rPr>
            </w:pPr>
          </w:p>
        </w:tc>
        <w:tc>
          <w:tcPr>
            <w:tcW w:w="1760" w:type="dxa"/>
            <w:vAlign w:val="bottom"/>
            <w:tcBorders>
              <w:bottom w:val="single" w:sz="8" w:color="7F7F7F"/>
            </w:tcBorders>
          </w:tcPr>
          <w:p>
            <w:pPr>
              <w:spacing w:after="0"/>
              <w:rPr>
                <w:sz w:val="3"/>
                <w:szCs w:val="3"/>
                <w:color w:val="auto"/>
              </w:rPr>
            </w:pPr>
          </w:p>
        </w:tc>
        <w:tc>
          <w:tcPr>
            <w:tcW w:w="1400" w:type="dxa"/>
            <w:vAlign w:val="bottom"/>
            <w:tcBorders>
              <w:bottom w:val="single" w:sz="8" w:color="7F7F7F"/>
            </w:tcBorders>
          </w:tcPr>
          <w:p>
            <w:pPr>
              <w:spacing w:after="0"/>
              <w:rPr>
                <w:sz w:val="3"/>
                <w:szCs w:val="3"/>
                <w:color w:val="auto"/>
              </w:rPr>
            </w:pPr>
          </w:p>
        </w:tc>
        <w:tc>
          <w:tcPr>
            <w:tcW w:w="134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r>
      <w:tr>
        <w:trPr>
          <w:trHeight w:val="227"/>
        </w:trPr>
        <w:tc>
          <w:tcPr>
            <w:tcW w:w="5100" w:type="dxa"/>
            <w:vAlign w:val="bottom"/>
          </w:tcPr>
          <w:p>
            <w:pPr>
              <w:ind w:left="60"/>
              <w:spacing w:after="0"/>
              <w:rPr>
                <w:sz w:val="20"/>
                <w:szCs w:val="20"/>
                <w:color w:val="auto"/>
              </w:rPr>
            </w:pPr>
            <w:r>
              <w:rPr>
                <w:rFonts w:ascii="Arial" w:cs="Arial" w:eastAsia="Arial" w:hAnsi="Arial"/>
                <w:sz w:val="14"/>
                <w:szCs w:val="14"/>
                <w:b w:val="1"/>
                <w:bCs w:val="1"/>
                <w:color w:val="auto"/>
              </w:rPr>
              <w:t>Dinette Koolhaas</w:t>
            </w:r>
          </w:p>
        </w:tc>
        <w:tc>
          <w:tcPr>
            <w:tcW w:w="1760" w:type="dxa"/>
            <w:vAlign w:val="bottom"/>
          </w:tcPr>
          <w:p>
            <w:pPr>
              <w:jc w:val="center"/>
              <w:ind w:left="231"/>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1"/>
              <w:spacing w:after="0"/>
              <w:rPr>
                <w:sz w:val="20"/>
                <w:szCs w:val="20"/>
                <w:color w:val="auto"/>
              </w:rPr>
            </w:pPr>
            <w:r>
              <w:rPr>
                <w:rFonts w:ascii="Arial" w:cs="Arial" w:eastAsia="Arial" w:hAnsi="Arial"/>
                <w:sz w:val="14"/>
                <w:szCs w:val="14"/>
                <w:color w:val="auto"/>
              </w:rPr>
              <w:t>12,572</w:t>
            </w:r>
          </w:p>
        </w:tc>
        <w:tc>
          <w:tcPr>
            <w:tcW w:w="1020" w:type="dxa"/>
            <w:vAlign w:val="bottom"/>
          </w:tcPr>
          <w:p>
            <w:pPr>
              <w:jc w:val="center"/>
              <w:ind w:left="171"/>
              <w:spacing w:after="0"/>
              <w:rPr>
                <w:sz w:val="20"/>
                <w:szCs w:val="20"/>
                <w:color w:val="auto"/>
              </w:rPr>
            </w:pPr>
            <w:r>
              <w:rPr>
                <w:rFonts w:ascii="Arial" w:cs="Arial" w:eastAsia="Arial" w:hAnsi="Arial"/>
                <w:sz w:val="14"/>
                <w:szCs w:val="14"/>
                <w:color w:val="auto"/>
                <w:w w:val="98"/>
              </w:rPr>
              <w:t>224,469</w:t>
            </w:r>
          </w:p>
        </w:tc>
      </w:tr>
      <w:tr>
        <w:trPr>
          <w:trHeight w:val="39"/>
        </w:trPr>
        <w:tc>
          <w:tcPr>
            <w:tcW w:w="5100" w:type="dxa"/>
            <w:vAlign w:val="bottom"/>
            <w:tcBorders>
              <w:bottom w:val="single" w:sz="8" w:color="7F7F7F"/>
            </w:tcBorders>
          </w:tcPr>
          <w:p>
            <w:pPr>
              <w:spacing w:after="0"/>
              <w:rPr>
                <w:sz w:val="3"/>
                <w:szCs w:val="3"/>
                <w:color w:val="auto"/>
              </w:rPr>
            </w:pPr>
          </w:p>
        </w:tc>
        <w:tc>
          <w:tcPr>
            <w:tcW w:w="1760" w:type="dxa"/>
            <w:vAlign w:val="bottom"/>
            <w:tcBorders>
              <w:bottom w:val="single" w:sz="8" w:color="7F7F7F"/>
            </w:tcBorders>
          </w:tcPr>
          <w:p>
            <w:pPr>
              <w:spacing w:after="0"/>
              <w:rPr>
                <w:sz w:val="3"/>
                <w:szCs w:val="3"/>
                <w:color w:val="auto"/>
              </w:rPr>
            </w:pPr>
          </w:p>
        </w:tc>
        <w:tc>
          <w:tcPr>
            <w:tcW w:w="1400" w:type="dxa"/>
            <w:vAlign w:val="bottom"/>
            <w:tcBorders>
              <w:bottom w:val="single" w:sz="8" w:color="7F7F7F"/>
            </w:tcBorders>
          </w:tcPr>
          <w:p>
            <w:pPr>
              <w:spacing w:after="0"/>
              <w:rPr>
                <w:sz w:val="3"/>
                <w:szCs w:val="3"/>
                <w:color w:val="auto"/>
              </w:rPr>
            </w:pPr>
          </w:p>
        </w:tc>
        <w:tc>
          <w:tcPr>
            <w:tcW w:w="134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r>
    </w:tbl>
    <w:p>
      <w:pPr>
        <w:spacing w:after="0" w:line="99" w:lineRule="exact"/>
        <w:rPr>
          <w:sz w:val="20"/>
          <w:szCs w:val="20"/>
          <w:color w:val="auto"/>
        </w:rPr>
      </w:pPr>
    </w:p>
    <w:p>
      <w:pPr>
        <w:ind w:left="620" w:hanging="304"/>
        <w:spacing w:after="0"/>
        <w:tabs>
          <w:tab w:leader="none" w:pos="6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Value Realized on Vesting is calculated by multiplying the shares vested times the stock closing price on the day of vesting.</w:t>
      </w:r>
    </w:p>
    <w:p>
      <w:pPr>
        <w:spacing w:after="0" w:line="296"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Nonqualified Deferred Compensation 2023</w:t>
      </w: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940" w:type="dxa"/>
            <w:vAlign w:val="bottom"/>
          </w:tcPr>
          <w:p>
            <w:pPr>
              <w:jc w:val="center"/>
              <w:ind w:left="1591"/>
              <w:spacing w:after="0"/>
              <w:rPr>
                <w:sz w:val="20"/>
                <w:szCs w:val="20"/>
                <w:color w:val="auto"/>
              </w:rPr>
            </w:pPr>
            <w:r>
              <w:rPr>
                <w:rFonts w:ascii="Arial" w:cs="Arial" w:eastAsia="Arial" w:hAnsi="Arial"/>
                <w:sz w:val="14"/>
                <w:szCs w:val="14"/>
                <w:b w:val="1"/>
                <w:bCs w:val="1"/>
                <w:color w:val="0A9E50"/>
                <w:w w:val="97"/>
              </w:rPr>
              <w:t>Executive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A9E50"/>
              </w:rPr>
              <w:t>Registrant</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Arial" w:cs="Arial" w:eastAsia="Arial" w:hAnsi="Arial"/>
                <w:sz w:val="14"/>
                <w:szCs w:val="14"/>
                <w:b w:val="1"/>
                <w:bCs w:val="1"/>
                <w:color w:val="0A9E50"/>
              </w:rPr>
              <w:t>Aggregate</w:t>
            </w:r>
          </w:p>
        </w:tc>
      </w:tr>
      <w:tr>
        <w:trPr>
          <w:trHeight w:val="156"/>
        </w:trPr>
        <w:tc>
          <w:tcPr>
            <w:tcW w:w="3120" w:type="dxa"/>
            <w:vAlign w:val="bottom"/>
          </w:tcPr>
          <w:p>
            <w:pPr>
              <w:spacing w:after="0"/>
              <w:rPr>
                <w:sz w:val="13"/>
                <w:szCs w:val="13"/>
                <w:color w:val="auto"/>
              </w:rPr>
            </w:pPr>
          </w:p>
        </w:tc>
        <w:tc>
          <w:tcPr>
            <w:tcW w:w="2940" w:type="dxa"/>
            <w:vAlign w:val="bottom"/>
          </w:tcPr>
          <w:p>
            <w:pPr>
              <w:jc w:val="center"/>
              <w:ind w:left="1571"/>
              <w:spacing w:after="0" w:line="156" w:lineRule="exact"/>
              <w:rPr>
                <w:sz w:val="20"/>
                <w:szCs w:val="20"/>
                <w:color w:val="auto"/>
              </w:rPr>
            </w:pPr>
            <w:r>
              <w:rPr>
                <w:rFonts w:ascii="Arial" w:cs="Arial" w:eastAsia="Arial" w:hAnsi="Arial"/>
                <w:sz w:val="14"/>
                <w:szCs w:val="14"/>
                <w:b w:val="1"/>
                <w:bCs w:val="1"/>
                <w:color w:val="0A9E50"/>
                <w:w w:val="98"/>
              </w:rPr>
              <w:t>Contributions in</w:t>
            </w:r>
          </w:p>
        </w:tc>
        <w:tc>
          <w:tcPr>
            <w:tcW w:w="12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8"/>
              </w:rPr>
              <w:t>Contributions in</w:t>
            </w:r>
          </w:p>
        </w:tc>
        <w:tc>
          <w:tcPr>
            <w:tcW w:w="128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8"/>
              </w:rPr>
              <w:t>Aggregate</w:t>
            </w:r>
          </w:p>
        </w:tc>
        <w:tc>
          <w:tcPr>
            <w:tcW w:w="118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8"/>
              </w:rPr>
              <w:t>Aggregate</w:t>
            </w:r>
          </w:p>
        </w:tc>
        <w:tc>
          <w:tcPr>
            <w:tcW w:w="840" w:type="dxa"/>
            <w:vAlign w:val="bottom"/>
          </w:tcPr>
          <w:p>
            <w:pPr>
              <w:ind w:left="120"/>
              <w:spacing w:after="0" w:line="156" w:lineRule="exact"/>
              <w:rPr>
                <w:sz w:val="20"/>
                <w:szCs w:val="20"/>
                <w:color w:val="auto"/>
              </w:rPr>
            </w:pPr>
            <w:r>
              <w:rPr>
                <w:rFonts w:ascii="Arial" w:cs="Arial" w:eastAsia="Arial" w:hAnsi="Arial"/>
                <w:sz w:val="14"/>
                <w:szCs w:val="14"/>
                <w:b w:val="1"/>
                <w:bCs w:val="1"/>
                <w:color w:val="0A9E50"/>
                <w:w w:val="99"/>
              </w:rPr>
              <w:t>Balance at</w:t>
            </w:r>
          </w:p>
        </w:tc>
      </w:tr>
      <w:tr>
        <w:trPr>
          <w:trHeight w:val="152"/>
        </w:trPr>
        <w:tc>
          <w:tcPr>
            <w:tcW w:w="3120" w:type="dxa"/>
            <w:vAlign w:val="bottom"/>
          </w:tcPr>
          <w:p>
            <w:pPr>
              <w:spacing w:after="0"/>
              <w:rPr>
                <w:sz w:val="13"/>
                <w:szCs w:val="13"/>
                <w:color w:val="auto"/>
              </w:rPr>
            </w:pPr>
          </w:p>
        </w:tc>
        <w:tc>
          <w:tcPr>
            <w:tcW w:w="2940" w:type="dxa"/>
            <w:vAlign w:val="bottom"/>
          </w:tcPr>
          <w:p>
            <w:pPr>
              <w:jc w:val="center"/>
              <w:ind w:left="1591"/>
              <w:spacing w:after="0" w:line="153" w:lineRule="exact"/>
              <w:rPr>
                <w:sz w:val="20"/>
                <w:szCs w:val="20"/>
                <w:color w:val="auto"/>
              </w:rPr>
            </w:pPr>
            <w:r>
              <w:rPr>
                <w:rFonts w:ascii="Arial" w:cs="Arial" w:eastAsia="Arial" w:hAnsi="Arial"/>
                <w:sz w:val="14"/>
                <w:szCs w:val="14"/>
                <w:b w:val="1"/>
                <w:bCs w:val="1"/>
                <w:color w:val="0A9E50"/>
                <w:w w:val="99"/>
              </w:rPr>
              <w:t>Last Fiscal</w:t>
            </w: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0A9E50"/>
                <w:w w:val="96"/>
              </w:rPr>
              <w:t>Last Fiscal</w:t>
            </w: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0A9E50"/>
                <w:w w:val="99"/>
              </w:rPr>
              <w:t>Earnings in Last</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0A9E50"/>
                <w:w w:val="99"/>
              </w:rPr>
              <w:t>Withdrawals/</w:t>
            </w:r>
          </w:p>
        </w:tc>
        <w:tc>
          <w:tcPr>
            <w:tcW w:w="840" w:type="dxa"/>
            <w:vAlign w:val="bottom"/>
          </w:tcPr>
          <w:p>
            <w:pPr>
              <w:ind w:left="100"/>
              <w:spacing w:after="0" w:line="153" w:lineRule="exact"/>
              <w:rPr>
                <w:sz w:val="20"/>
                <w:szCs w:val="20"/>
                <w:color w:val="auto"/>
              </w:rPr>
            </w:pPr>
            <w:r>
              <w:rPr>
                <w:rFonts w:ascii="Arial" w:cs="Arial" w:eastAsia="Arial" w:hAnsi="Arial"/>
                <w:sz w:val="14"/>
                <w:szCs w:val="14"/>
                <w:b w:val="1"/>
                <w:bCs w:val="1"/>
                <w:color w:val="0A9E50"/>
                <w:w w:val="99"/>
              </w:rPr>
              <w:t>Last Fiscal</w:t>
            </w:r>
          </w:p>
        </w:tc>
      </w:tr>
      <w:tr>
        <w:trPr>
          <w:trHeight w:val="160"/>
        </w:trPr>
        <w:tc>
          <w:tcPr>
            <w:tcW w:w="3120" w:type="dxa"/>
            <w:vAlign w:val="bottom"/>
          </w:tcPr>
          <w:p>
            <w:pPr>
              <w:spacing w:after="0"/>
              <w:rPr>
                <w:sz w:val="13"/>
                <w:szCs w:val="13"/>
                <w:color w:val="auto"/>
              </w:rPr>
            </w:pPr>
          </w:p>
        </w:tc>
        <w:tc>
          <w:tcPr>
            <w:tcW w:w="2940" w:type="dxa"/>
            <w:vAlign w:val="bottom"/>
          </w:tcPr>
          <w:p>
            <w:pPr>
              <w:jc w:val="center"/>
              <w:ind w:left="1571"/>
              <w:spacing w:after="0" w:line="160" w:lineRule="exact"/>
              <w:rPr>
                <w:sz w:val="20"/>
                <w:szCs w:val="20"/>
                <w:color w:val="auto"/>
              </w:rPr>
            </w:pPr>
            <w:r>
              <w:rPr>
                <w:rFonts w:ascii="Arial" w:cs="Arial" w:eastAsia="Arial" w:hAnsi="Arial"/>
                <w:sz w:val="13"/>
                <w:szCs w:val="13"/>
                <w:b w:val="1"/>
                <w:bCs w:val="1"/>
                <w:color w:val="0A9E50"/>
                <w:w w:val="97"/>
              </w:rPr>
              <w:t>Year</w:t>
            </w:r>
            <w:r>
              <w:rPr>
                <w:rFonts w:ascii="Arial" w:cs="Arial" w:eastAsia="Arial" w:hAnsi="Arial"/>
                <w:sz w:val="18"/>
                <w:szCs w:val="18"/>
                <w:b w:val="1"/>
                <w:bCs w:val="1"/>
                <w:color w:val="0A9E50"/>
                <w:w w:val="97"/>
                <w:vertAlign w:val="superscript"/>
              </w:rPr>
              <w:t>(1)</w:t>
            </w:r>
          </w:p>
        </w:tc>
        <w:tc>
          <w:tcPr>
            <w:tcW w:w="1260" w:type="dxa"/>
            <w:vAlign w:val="bottom"/>
          </w:tcPr>
          <w:p>
            <w:pPr>
              <w:jc w:val="center"/>
              <w:spacing w:after="0" w:line="160" w:lineRule="exact"/>
              <w:rPr>
                <w:sz w:val="20"/>
                <w:szCs w:val="20"/>
                <w:color w:val="auto"/>
              </w:rPr>
            </w:pPr>
            <w:r>
              <w:rPr>
                <w:rFonts w:ascii="Arial" w:cs="Arial" w:eastAsia="Arial" w:hAnsi="Arial"/>
                <w:sz w:val="13"/>
                <w:szCs w:val="13"/>
                <w:b w:val="1"/>
                <w:bCs w:val="1"/>
                <w:color w:val="0A9E50"/>
                <w:w w:val="97"/>
              </w:rPr>
              <w:t>Year</w:t>
            </w:r>
            <w:r>
              <w:rPr>
                <w:rFonts w:ascii="Arial" w:cs="Arial" w:eastAsia="Arial" w:hAnsi="Arial"/>
                <w:sz w:val="18"/>
                <w:szCs w:val="18"/>
                <w:b w:val="1"/>
                <w:bCs w:val="1"/>
                <w:color w:val="0A9E50"/>
                <w:w w:val="97"/>
                <w:vertAlign w:val="superscript"/>
              </w:rPr>
              <w:t>(2)</w:t>
            </w:r>
          </w:p>
        </w:tc>
        <w:tc>
          <w:tcPr>
            <w:tcW w:w="1280" w:type="dxa"/>
            <w:vAlign w:val="bottom"/>
          </w:tcPr>
          <w:p>
            <w:pPr>
              <w:jc w:val="center"/>
              <w:spacing w:after="0" w:line="160" w:lineRule="exact"/>
              <w:rPr>
                <w:sz w:val="20"/>
                <w:szCs w:val="20"/>
                <w:color w:val="auto"/>
              </w:rPr>
            </w:pPr>
            <w:r>
              <w:rPr>
                <w:rFonts w:ascii="Arial" w:cs="Arial" w:eastAsia="Arial" w:hAnsi="Arial"/>
                <w:sz w:val="13"/>
                <w:szCs w:val="13"/>
                <w:b w:val="1"/>
                <w:bCs w:val="1"/>
                <w:color w:val="0A9E50"/>
              </w:rPr>
              <w:t>Fiscal Year</w:t>
            </w:r>
            <w:r>
              <w:rPr>
                <w:rFonts w:ascii="Arial" w:cs="Arial" w:eastAsia="Arial" w:hAnsi="Arial"/>
                <w:sz w:val="18"/>
                <w:szCs w:val="18"/>
                <w:b w:val="1"/>
                <w:bCs w:val="1"/>
                <w:color w:val="0A9E50"/>
                <w:vertAlign w:val="superscript"/>
              </w:rPr>
              <w:t>(3)</w:t>
            </w:r>
          </w:p>
        </w:tc>
        <w:tc>
          <w:tcPr>
            <w:tcW w:w="1180" w:type="dxa"/>
            <w:vAlign w:val="bottom"/>
          </w:tcPr>
          <w:p>
            <w:pPr>
              <w:jc w:val="center"/>
              <w:spacing w:after="0" w:line="160" w:lineRule="exact"/>
              <w:rPr>
                <w:sz w:val="20"/>
                <w:szCs w:val="20"/>
                <w:color w:val="auto"/>
              </w:rPr>
            </w:pPr>
            <w:r>
              <w:rPr>
                <w:rFonts w:ascii="Arial" w:cs="Arial" w:eastAsia="Arial" w:hAnsi="Arial"/>
                <w:sz w:val="13"/>
                <w:szCs w:val="13"/>
                <w:b w:val="1"/>
                <w:bCs w:val="1"/>
                <w:color w:val="0A9E50"/>
              </w:rPr>
              <w:t>Distributions</w:t>
            </w:r>
            <w:r>
              <w:rPr>
                <w:rFonts w:ascii="Arial" w:cs="Arial" w:eastAsia="Arial" w:hAnsi="Arial"/>
                <w:sz w:val="18"/>
                <w:szCs w:val="18"/>
                <w:b w:val="1"/>
                <w:bCs w:val="1"/>
                <w:color w:val="0A9E50"/>
                <w:vertAlign w:val="superscript"/>
              </w:rPr>
              <w:t>(4)</w:t>
            </w:r>
          </w:p>
        </w:tc>
        <w:tc>
          <w:tcPr>
            <w:tcW w:w="840" w:type="dxa"/>
            <w:vAlign w:val="bottom"/>
          </w:tcPr>
          <w:p>
            <w:pPr>
              <w:ind w:left="100"/>
              <w:spacing w:after="0" w:line="160" w:lineRule="exact"/>
              <w:rPr>
                <w:sz w:val="20"/>
                <w:szCs w:val="20"/>
                <w:color w:val="auto"/>
              </w:rPr>
            </w:pPr>
            <w:r>
              <w:rPr>
                <w:rFonts w:ascii="Arial" w:cs="Arial" w:eastAsia="Arial" w:hAnsi="Arial"/>
                <w:sz w:val="13"/>
                <w:szCs w:val="13"/>
                <w:b w:val="1"/>
                <w:bCs w:val="1"/>
                <w:color w:val="0A9E50"/>
              </w:rPr>
              <w:t>Year End</w:t>
            </w:r>
            <w:r>
              <w:rPr>
                <w:rFonts w:ascii="Arial" w:cs="Arial" w:eastAsia="Arial" w:hAnsi="Arial"/>
                <w:sz w:val="18"/>
                <w:szCs w:val="18"/>
                <w:b w:val="1"/>
                <w:bCs w:val="1"/>
                <w:color w:val="0A9E50"/>
                <w:vertAlign w:val="superscript"/>
              </w:rPr>
              <w:t>(5)</w:t>
            </w:r>
          </w:p>
        </w:tc>
      </w:tr>
      <w:tr>
        <w:trPr>
          <w:trHeight w:val="192"/>
        </w:trPr>
        <w:tc>
          <w:tcPr>
            <w:tcW w:w="3120" w:type="dxa"/>
            <w:vAlign w:val="bottom"/>
          </w:tcPr>
          <w:p>
            <w:pPr>
              <w:spacing w:after="0"/>
              <w:rPr>
                <w:sz w:val="20"/>
                <w:szCs w:val="20"/>
                <w:color w:val="auto"/>
              </w:rPr>
            </w:pPr>
            <w:r>
              <w:rPr>
                <w:rFonts w:ascii="Arial" w:cs="Arial" w:eastAsia="Arial" w:hAnsi="Arial"/>
                <w:sz w:val="14"/>
                <w:szCs w:val="14"/>
                <w:b w:val="1"/>
                <w:bCs w:val="1"/>
                <w:color w:val="0A9E50"/>
              </w:rPr>
              <w:t>Name</w:t>
            </w:r>
          </w:p>
        </w:tc>
        <w:tc>
          <w:tcPr>
            <w:tcW w:w="2940" w:type="dxa"/>
            <w:vAlign w:val="bottom"/>
          </w:tcPr>
          <w:p>
            <w:pPr>
              <w:jc w:val="center"/>
              <w:ind w:left="1571"/>
              <w:spacing w:after="0"/>
              <w:rPr>
                <w:sz w:val="20"/>
                <w:szCs w:val="20"/>
                <w:color w:val="auto"/>
              </w:rPr>
            </w:pPr>
            <w:r>
              <w:rPr>
                <w:rFonts w:ascii="Arial" w:cs="Arial" w:eastAsia="Arial" w:hAnsi="Arial"/>
                <w:sz w:val="14"/>
                <w:szCs w:val="14"/>
                <w:b w:val="1"/>
                <w:bCs w:val="1"/>
                <w:color w:val="0A9E50"/>
              </w:rPr>
              <w: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A9E50"/>
              </w:rPr>
              <w: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A9E50"/>
                <w:w w:val="93"/>
              </w:rPr>
              <w: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A9E50"/>
              </w:rPr>
              <w:t>($)</w:t>
            </w:r>
          </w:p>
        </w:tc>
        <w:tc>
          <w:tcPr>
            <w:tcW w:w="840" w:type="dxa"/>
            <w:vAlign w:val="bottom"/>
          </w:tcPr>
          <w:p>
            <w:pPr>
              <w:jc w:val="center"/>
              <w:ind w:left="31"/>
              <w:spacing w:after="0"/>
              <w:rPr>
                <w:sz w:val="20"/>
                <w:szCs w:val="20"/>
                <w:color w:val="auto"/>
              </w:rPr>
            </w:pPr>
            <w:r>
              <w:rPr>
                <w:rFonts w:ascii="Arial" w:cs="Arial" w:eastAsia="Arial" w:hAnsi="Arial"/>
                <w:sz w:val="14"/>
                <w:szCs w:val="14"/>
                <w:b w:val="1"/>
                <w:bCs w:val="1"/>
                <w:color w:val="0A9E50"/>
              </w:rPr>
              <w:t>($)</w:t>
            </w:r>
          </w:p>
        </w:tc>
      </w:tr>
      <w:tr>
        <w:trPr>
          <w:trHeight w:val="39"/>
        </w:trPr>
        <w:tc>
          <w:tcPr>
            <w:tcW w:w="312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27"/>
        </w:trPr>
        <w:tc>
          <w:tcPr>
            <w:tcW w:w="3120" w:type="dxa"/>
            <w:vAlign w:val="bottom"/>
          </w:tcPr>
          <w:p>
            <w:pPr>
              <w:ind w:left="60"/>
              <w:spacing w:after="0"/>
              <w:rPr>
                <w:sz w:val="20"/>
                <w:szCs w:val="20"/>
                <w:color w:val="auto"/>
              </w:rPr>
            </w:pPr>
            <w:r>
              <w:rPr>
                <w:rFonts w:ascii="Arial" w:cs="Arial" w:eastAsia="Arial" w:hAnsi="Arial"/>
                <w:sz w:val="14"/>
                <w:szCs w:val="14"/>
                <w:b w:val="1"/>
                <w:bCs w:val="1"/>
                <w:color w:val="auto"/>
              </w:rPr>
              <w:t>Peter W. Quigley</w:t>
            </w:r>
          </w:p>
        </w:tc>
        <w:tc>
          <w:tcPr>
            <w:tcW w:w="2940" w:type="dxa"/>
            <w:vAlign w:val="bottom"/>
          </w:tcPr>
          <w:p>
            <w:pPr>
              <w:jc w:val="center"/>
              <w:ind w:left="1571"/>
              <w:spacing w:after="0"/>
              <w:rPr>
                <w:sz w:val="20"/>
                <w:szCs w:val="20"/>
                <w:color w:val="auto"/>
              </w:rPr>
            </w:pPr>
            <w:r>
              <w:rPr>
                <w:rFonts w:ascii="Arial" w:cs="Arial" w:eastAsia="Arial" w:hAnsi="Arial"/>
                <w:sz w:val="14"/>
                <w:szCs w:val="14"/>
                <w:color w:val="auto"/>
                <w:w w:val="98"/>
              </w:rPr>
              <w:t>167,799</w:t>
            </w:r>
          </w:p>
        </w:tc>
        <w:tc>
          <w:tcPr>
            <w:tcW w:w="1260" w:type="dxa"/>
            <w:vAlign w:val="bottom"/>
          </w:tcPr>
          <w:p>
            <w:pPr>
              <w:jc w:val="center"/>
              <w:spacing w:after="0"/>
              <w:rPr>
                <w:sz w:val="20"/>
                <w:szCs w:val="20"/>
                <w:color w:val="auto"/>
              </w:rPr>
            </w:pPr>
            <w:r>
              <w:rPr>
                <w:rFonts w:ascii="Arial" w:cs="Arial" w:eastAsia="Arial" w:hAnsi="Arial"/>
                <w:sz w:val="14"/>
                <w:szCs w:val="14"/>
                <w:color w:val="auto"/>
                <w:w w:val="97"/>
              </w:rPr>
              <w:t>83,899</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546,287</w:t>
            </w:r>
          </w:p>
        </w:tc>
        <w:tc>
          <w:tcPr>
            <w:tcW w:w="1180" w:type="dxa"/>
            <w:vAlign w:val="bottom"/>
          </w:tcPr>
          <w:p>
            <w:pPr>
              <w:jc w:val="center"/>
              <w:spacing w:after="0"/>
              <w:rPr>
                <w:sz w:val="20"/>
                <w:szCs w:val="20"/>
                <w:color w:val="auto"/>
              </w:rPr>
            </w:pPr>
            <w:r>
              <w:rPr>
                <w:rFonts w:ascii="Arial" w:cs="Arial" w:eastAsia="Arial" w:hAnsi="Arial"/>
                <w:sz w:val="14"/>
                <w:szCs w:val="14"/>
                <w:color w:val="auto"/>
              </w:rPr>
              <w:t>(164,178)</w:t>
            </w:r>
          </w:p>
        </w:tc>
        <w:tc>
          <w:tcPr>
            <w:tcW w:w="840" w:type="dxa"/>
            <w:vAlign w:val="bottom"/>
          </w:tcPr>
          <w:p>
            <w:pPr>
              <w:jc w:val="center"/>
              <w:ind w:left="31"/>
              <w:spacing w:after="0"/>
              <w:rPr>
                <w:sz w:val="20"/>
                <w:szCs w:val="20"/>
                <w:color w:val="auto"/>
              </w:rPr>
            </w:pPr>
            <w:r>
              <w:rPr>
                <w:rFonts w:ascii="Arial" w:cs="Arial" w:eastAsia="Arial" w:hAnsi="Arial"/>
                <w:sz w:val="14"/>
                <w:szCs w:val="14"/>
                <w:color w:val="auto"/>
                <w:w w:val="99"/>
              </w:rPr>
              <w:t>3,133,956</w:t>
            </w:r>
          </w:p>
        </w:tc>
      </w:tr>
      <w:tr>
        <w:trPr>
          <w:trHeight w:val="39"/>
        </w:trPr>
        <w:tc>
          <w:tcPr>
            <w:tcW w:w="3120" w:type="dxa"/>
            <w:vAlign w:val="bottom"/>
            <w:tcBorders>
              <w:bottom w:val="single" w:sz="8" w:color="7F7F7F"/>
            </w:tcBorders>
          </w:tcPr>
          <w:p>
            <w:pPr>
              <w:spacing w:after="0"/>
              <w:rPr>
                <w:sz w:val="3"/>
                <w:szCs w:val="3"/>
                <w:color w:val="auto"/>
              </w:rPr>
            </w:pPr>
          </w:p>
        </w:tc>
        <w:tc>
          <w:tcPr>
            <w:tcW w:w="294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11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r>
      <w:tr>
        <w:trPr>
          <w:trHeight w:val="227"/>
        </w:trPr>
        <w:tc>
          <w:tcPr>
            <w:tcW w:w="3120" w:type="dxa"/>
            <w:vAlign w:val="bottom"/>
          </w:tcPr>
          <w:p>
            <w:pPr>
              <w:ind w:left="60"/>
              <w:spacing w:after="0"/>
              <w:rPr>
                <w:sz w:val="20"/>
                <w:szCs w:val="20"/>
                <w:color w:val="auto"/>
              </w:rPr>
            </w:pPr>
            <w:r>
              <w:rPr>
                <w:rFonts w:ascii="Arial" w:cs="Arial" w:eastAsia="Arial" w:hAnsi="Arial"/>
                <w:sz w:val="14"/>
                <w:szCs w:val="14"/>
                <w:b w:val="1"/>
                <w:bCs w:val="1"/>
                <w:color w:val="auto"/>
              </w:rPr>
              <w:t>Olivier G. Thirot</w:t>
            </w:r>
          </w:p>
        </w:tc>
        <w:tc>
          <w:tcPr>
            <w:tcW w:w="2940" w:type="dxa"/>
            <w:vAlign w:val="bottom"/>
          </w:tcPr>
          <w:p>
            <w:pPr>
              <w:jc w:val="center"/>
              <w:ind w:left="1571"/>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7"/>
              </w:rPr>
              <w:t>25,464</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31"/>
              <w:spacing w:after="0"/>
              <w:rPr>
                <w:sz w:val="20"/>
                <w:szCs w:val="20"/>
                <w:color w:val="auto"/>
              </w:rPr>
            </w:pPr>
            <w:r>
              <w:rPr>
                <w:rFonts w:ascii="Arial" w:cs="Arial" w:eastAsia="Arial" w:hAnsi="Arial"/>
                <w:sz w:val="14"/>
                <w:szCs w:val="14"/>
                <w:color w:val="auto"/>
                <w:w w:val="99"/>
              </w:rPr>
              <w:t>1,020,411</w:t>
            </w:r>
          </w:p>
        </w:tc>
      </w:tr>
      <w:tr>
        <w:trPr>
          <w:trHeight w:val="39"/>
        </w:trPr>
        <w:tc>
          <w:tcPr>
            <w:tcW w:w="3120" w:type="dxa"/>
            <w:vAlign w:val="bottom"/>
            <w:tcBorders>
              <w:bottom w:val="single" w:sz="8" w:color="7F7F7F"/>
            </w:tcBorders>
          </w:tcPr>
          <w:p>
            <w:pPr>
              <w:spacing w:after="0"/>
              <w:rPr>
                <w:sz w:val="3"/>
                <w:szCs w:val="3"/>
                <w:color w:val="auto"/>
              </w:rPr>
            </w:pPr>
          </w:p>
        </w:tc>
        <w:tc>
          <w:tcPr>
            <w:tcW w:w="294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11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r>
      <w:tr>
        <w:trPr>
          <w:trHeight w:val="227"/>
        </w:trPr>
        <w:tc>
          <w:tcPr>
            <w:tcW w:w="3120" w:type="dxa"/>
            <w:vAlign w:val="bottom"/>
          </w:tcPr>
          <w:p>
            <w:pPr>
              <w:ind w:left="60"/>
              <w:spacing w:after="0"/>
              <w:rPr>
                <w:sz w:val="20"/>
                <w:szCs w:val="20"/>
                <w:color w:val="auto"/>
              </w:rPr>
            </w:pPr>
            <w:r>
              <w:rPr>
                <w:rFonts w:ascii="Arial" w:cs="Arial" w:eastAsia="Arial" w:hAnsi="Arial"/>
                <w:sz w:val="14"/>
                <w:szCs w:val="14"/>
                <w:b w:val="1"/>
                <w:bCs w:val="1"/>
                <w:color w:val="auto"/>
              </w:rPr>
              <w:t>Daniel H. Malan</w:t>
            </w:r>
          </w:p>
        </w:tc>
        <w:tc>
          <w:tcPr>
            <w:tcW w:w="2940" w:type="dxa"/>
            <w:vAlign w:val="bottom"/>
          </w:tcPr>
          <w:p>
            <w:pPr>
              <w:jc w:val="center"/>
              <w:ind w:left="1571"/>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31"/>
              <w:spacing w:after="0"/>
              <w:rPr>
                <w:sz w:val="20"/>
                <w:szCs w:val="20"/>
                <w:color w:val="auto"/>
              </w:rPr>
            </w:pPr>
            <w:r>
              <w:rPr>
                <w:rFonts w:ascii="Arial" w:cs="Arial" w:eastAsia="Arial" w:hAnsi="Arial"/>
                <w:sz w:val="14"/>
                <w:szCs w:val="14"/>
                <w:color w:val="auto"/>
                <w:w w:val="99"/>
              </w:rPr>
              <w:t>—</w:t>
            </w:r>
          </w:p>
        </w:tc>
      </w:tr>
      <w:tr>
        <w:trPr>
          <w:trHeight w:val="39"/>
        </w:trPr>
        <w:tc>
          <w:tcPr>
            <w:tcW w:w="3120" w:type="dxa"/>
            <w:vAlign w:val="bottom"/>
            <w:tcBorders>
              <w:bottom w:val="single" w:sz="8" w:color="7F7F7F"/>
            </w:tcBorders>
          </w:tcPr>
          <w:p>
            <w:pPr>
              <w:spacing w:after="0"/>
              <w:rPr>
                <w:sz w:val="3"/>
                <w:szCs w:val="3"/>
                <w:color w:val="auto"/>
              </w:rPr>
            </w:pPr>
          </w:p>
        </w:tc>
        <w:tc>
          <w:tcPr>
            <w:tcW w:w="294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11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r>
      <w:tr>
        <w:trPr>
          <w:trHeight w:val="227"/>
        </w:trPr>
        <w:tc>
          <w:tcPr>
            <w:tcW w:w="3120" w:type="dxa"/>
            <w:vAlign w:val="bottom"/>
          </w:tcPr>
          <w:p>
            <w:pPr>
              <w:ind w:left="60"/>
              <w:spacing w:after="0"/>
              <w:rPr>
                <w:sz w:val="20"/>
                <w:szCs w:val="20"/>
                <w:color w:val="auto"/>
              </w:rPr>
            </w:pPr>
            <w:r>
              <w:rPr>
                <w:rFonts w:ascii="Arial" w:cs="Arial" w:eastAsia="Arial" w:hAnsi="Arial"/>
                <w:sz w:val="14"/>
                <w:szCs w:val="14"/>
                <w:b w:val="1"/>
                <w:bCs w:val="1"/>
                <w:color w:val="auto"/>
              </w:rPr>
              <w:t>Vanessa P. Williams</w:t>
            </w:r>
          </w:p>
        </w:tc>
        <w:tc>
          <w:tcPr>
            <w:tcW w:w="2940" w:type="dxa"/>
            <w:vAlign w:val="bottom"/>
          </w:tcPr>
          <w:p>
            <w:pPr>
              <w:jc w:val="center"/>
              <w:ind w:left="1571"/>
              <w:spacing w:after="0"/>
              <w:rPr>
                <w:sz w:val="20"/>
                <w:szCs w:val="20"/>
                <w:color w:val="auto"/>
              </w:rPr>
            </w:pPr>
            <w:r>
              <w:rPr>
                <w:rFonts w:ascii="Arial" w:cs="Arial" w:eastAsia="Arial" w:hAnsi="Arial"/>
                <w:sz w:val="14"/>
                <w:szCs w:val="14"/>
                <w:color w:val="auto"/>
                <w:w w:val="97"/>
              </w:rPr>
              <w:t>47,383</w:t>
            </w:r>
          </w:p>
        </w:tc>
        <w:tc>
          <w:tcPr>
            <w:tcW w:w="1260" w:type="dxa"/>
            <w:vAlign w:val="bottom"/>
          </w:tcPr>
          <w:p>
            <w:pPr>
              <w:jc w:val="center"/>
              <w:spacing w:after="0"/>
              <w:rPr>
                <w:sz w:val="20"/>
                <w:szCs w:val="20"/>
                <w:color w:val="auto"/>
              </w:rPr>
            </w:pPr>
            <w:r>
              <w:rPr>
                <w:rFonts w:ascii="Arial" w:cs="Arial" w:eastAsia="Arial" w:hAnsi="Arial"/>
                <w:sz w:val="14"/>
                <w:szCs w:val="14"/>
                <w:color w:val="auto"/>
                <w:w w:val="97"/>
              </w:rPr>
              <w:t>23,691</w:t>
            </w:r>
          </w:p>
        </w:tc>
        <w:tc>
          <w:tcPr>
            <w:tcW w:w="1280" w:type="dxa"/>
            <w:vAlign w:val="bottom"/>
          </w:tcPr>
          <w:p>
            <w:pPr>
              <w:jc w:val="center"/>
              <w:spacing w:after="0"/>
              <w:rPr>
                <w:sz w:val="20"/>
                <w:szCs w:val="20"/>
                <w:color w:val="auto"/>
              </w:rPr>
            </w:pPr>
            <w:r>
              <w:rPr>
                <w:rFonts w:ascii="Arial" w:cs="Arial" w:eastAsia="Arial" w:hAnsi="Arial"/>
                <w:sz w:val="14"/>
                <w:szCs w:val="14"/>
                <w:color w:val="auto"/>
                <w:w w:val="97"/>
              </w:rPr>
              <w:t>43,460</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31"/>
              <w:spacing w:after="0"/>
              <w:rPr>
                <w:sz w:val="20"/>
                <w:szCs w:val="20"/>
                <w:color w:val="auto"/>
              </w:rPr>
            </w:pPr>
            <w:r>
              <w:rPr>
                <w:rFonts w:ascii="Arial" w:cs="Arial" w:eastAsia="Arial" w:hAnsi="Arial"/>
                <w:sz w:val="14"/>
                <w:szCs w:val="14"/>
                <w:color w:val="auto"/>
                <w:w w:val="98"/>
              </w:rPr>
              <w:t>231,791</w:t>
            </w:r>
          </w:p>
        </w:tc>
      </w:tr>
      <w:tr>
        <w:trPr>
          <w:trHeight w:val="39"/>
        </w:trPr>
        <w:tc>
          <w:tcPr>
            <w:tcW w:w="3120" w:type="dxa"/>
            <w:vAlign w:val="bottom"/>
            <w:tcBorders>
              <w:bottom w:val="single" w:sz="8" w:color="7F7F7F"/>
            </w:tcBorders>
          </w:tcPr>
          <w:p>
            <w:pPr>
              <w:spacing w:after="0"/>
              <w:rPr>
                <w:sz w:val="3"/>
                <w:szCs w:val="3"/>
                <w:color w:val="auto"/>
              </w:rPr>
            </w:pPr>
          </w:p>
        </w:tc>
        <w:tc>
          <w:tcPr>
            <w:tcW w:w="294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11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r>
    </w:tbl>
    <w:p>
      <w:pPr>
        <w:spacing w:after="0" w:line="99" w:lineRule="exact"/>
        <w:rPr>
          <w:sz w:val="20"/>
          <w:szCs w:val="20"/>
          <w:color w:val="auto"/>
        </w:rPr>
      </w:pPr>
    </w:p>
    <w:p>
      <w:pPr>
        <w:ind w:left="620" w:right="280" w:hanging="304"/>
        <w:spacing w:after="0" w:line="264" w:lineRule="auto"/>
        <w:tabs>
          <w:tab w:leader="none" w:pos="6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Executives may defer a percentage of their base salary (up to 25%) and incentive earnings (up to 50%) for retirement. These amounts, as applicable, are reported as a part of the salary or incentive earnings found in the Summary Compensation Table.</w:t>
      </w:r>
    </w:p>
    <w:p>
      <w:pPr>
        <w:spacing w:after="0" w:line="34" w:lineRule="exact"/>
        <w:rPr>
          <w:rFonts w:ascii="Arial" w:cs="Arial" w:eastAsia="Arial" w:hAnsi="Arial"/>
          <w:sz w:val="12"/>
          <w:szCs w:val="12"/>
          <w:color w:val="auto"/>
        </w:rPr>
      </w:pPr>
    </w:p>
    <w:p>
      <w:pPr>
        <w:ind w:left="620" w:right="120" w:hanging="304"/>
        <w:spacing w:after="0" w:line="264" w:lineRule="auto"/>
        <w:tabs>
          <w:tab w:leader="none" w:pos="6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Registrant Contributions in Last Fiscal Year above represent Company matching contributions (50% of the first 10% of salary and annual incentive deferrals), and they are also reported as All Other Compensation in the Summary Compensation Table.</w:t>
      </w:r>
    </w:p>
    <w:p>
      <w:pPr>
        <w:spacing w:after="0" w:line="34" w:lineRule="exact"/>
        <w:rPr>
          <w:rFonts w:ascii="Arial" w:cs="Arial" w:eastAsia="Arial" w:hAnsi="Arial"/>
          <w:sz w:val="12"/>
          <w:szCs w:val="12"/>
          <w:color w:val="auto"/>
        </w:rPr>
      </w:pPr>
    </w:p>
    <w:p>
      <w:pPr>
        <w:jc w:val="both"/>
        <w:ind w:left="620" w:right="120" w:hanging="304"/>
        <w:spacing w:after="0" w:line="245" w:lineRule="auto"/>
        <w:tabs>
          <w:tab w:leader="none" w:pos="6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Represents actual earnings (or loss) from the investment of the prior year aggregate balance plus the earnings on current year executive and Company contributions. The aggregate earnings are based on investment options that are also offered to employees who participate in the Company’s tax-qualified 401(k) plan. As these earnings are not “above market” interest payments or preferential earnings, they are not included in the Summary Compensation Table.</w:t>
      </w:r>
    </w:p>
    <w:p>
      <w:pPr>
        <w:spacing w:after="0" w:line="45" w:lineRule="exact"/>
        <w:rPr>
          <w:rFonts w:ascii="Arial" w:cs="Arial" w:eastAsia="Arial" w:hAnsi="Arial"/>
          <w:sz w:val="12"/>
          <w:szCs w:val="12"/>
          <w:color w:val="auto"/>
        </w:rPr>
      </w:pPr>
    </w:p>
    <w:p>
      <w:pPr>
        <w:ind w:left="620" w:right="20" w:hanging="304"/>
        <w:spacing w:after="0" w:line="264" w:lineRule="auto"/>
        <w:tabs>
          <w:tab w:leader="none" w:pos="6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Participants may elect to receive distributions after separation from service, the later of a specified age and separation of service or a scheduled in-service distribution. Amounts may be paid as a lump sum, monthly installments for up to 20 years, or a combination of the two as elected by the participant.</w:t>
      </w:r>
    </w:p>
    <w:p>
      <w:pPr>
        <w:spacing w:after="0" w:line="34" w:lineRule="exact"/>
        <w:rPr>
          <w:rFonts w:ascii="Arial" w:cs="Arial" w:eastAsia="Arial" w:hAnsi="Arial"/>
          <w:sz w:val="12"/>
          <w:szCs w:val="12"/>
          <w:color w:val="auto"/>
        </w:rPr>
      </w:pPr>
    </w:p>
    <w:p>
      <w:pPr>
        <w:ind w:left="620" w:hanging="304"/>
        <w:spacing w:after="0"/>
        <w:tabs>
          <w:tab w:leader="none" w:pos="6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Amounts reported in this column include the following amounts that have been reported in the Summary Compensation Table for fiscal years 2013-2023: Peter W. Quigley ($1,085,878); Named</w:t>
      </w:r>
    </w:p>
    <w:p>
      <w:pPr>
        <w:spacing w:after="0" w:line="4" w:lineRule="exact"/>
        <w:rPr>
          <w:rFonts w:ascii="Arial" w:cs="Arial" w:eastAsia="Arial" w:hAnsi="Arial"/>
          <w:sz w:val="12"/>
          <w:szCs w:val="12"/>
          <w:color w:val="auto"/>
        </w:rPr>
      </w:pPr>
    </w:p>
    <w:p>
      <w:pPr>
        <w:ind w:left="620"/>
        <w:spacing w:after="0"/>
        <w:rPr>
          <w:rFonts w:ascii="Arial" w:cs="Arial" w:eastAsia="Arial" w:hAnsi="Arial"/>
          <w:sz w:val="12"/>
          <w:szCs w:val="12"/>
          <w:color w:val="auto"/>
        </w:rPr>
      </w:pPr>
      <w:r>
        <w:rPr>
          <w:rFonts w:ascii="Arial" w:cs="Arial" w:eastAsia="Arial" w:hAnsi="Arial"/>
          <w:sz w:val="12"/>
          <w:szCs w:val="12"/>
          <w:color w:val="auto"/>
        </w:rPr>
        <w:t>in the proxies for fiscal years 2015-2023: Olivier G. Thirot ($791,800); Named in the proxies for fiscal years 2022-2023: Vanessa P. Williams ($44,347).</w:t>
      </w:r>
    </w:p>
    <w:p>
      <w:pPr>
        <w:spacing w:after="0" w:line="284"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Potential Payments Upon Termination or Change in Control 2023</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Summary of Potential Payments</w:t>
      </w:r>
    </w:p>
    <w:p>
      <w:pPr>
        <w:spacing w:after="0" w:line="82" w:lineRule="exact"/>
        <w:rPr>
          <w:sz w:val="20"/>
          <w:szCs w:val="20"/>
          <w:color w:val="auto"/>
        </w:rPr>
      </w:pPr>
    </w:p>
    <w:p>
      <w:pPr>
        <w:ind w:left="320" w:right="40"/>
        <w:spacing w:after="0" w:line="242" w:lineRule="auto"/>
        <w:rPr>
          <w:sz w:val="20"/>
          <w:szCs w:val="20"/>
          <w:color w:val="auto"/>
        </w:rPr>
      </w:pPr>
      <w:r>
        <w:rPr>
          <w:rFonts w:ascii="Arial" w:cs="Arial" w:eastAsia="Arial" w:hAnsi="Arial"/>
          <w:sz w:val="16"/>
          <w:szCs w:val="16"/>
          <w:color w:val="auto"/>
        </w:rPr>
        <w:t>This section describes the potential additional payments and benefits under our compensation and benefit plans and arrangements to which the named executive officers would be entitled upon termination of employment under certain circumstances. Named executive officers would also be entitled to vested benefits and generally available benefits under our various plans and arrangements, as discussed after the Potential Payments Upon Termination or Change in Control table. The Company does not maintain employment agreements with our named executive officers, other than where it is customary outside of the U.S., as in the case of Mr. Thirot and Ms. Koolhaas. The table following the narrative discussion summarizes the amounts payable upon termination under certain circumstances to our named executive officers, assuming that the executive’s employment terminated on December 31, 2023, the last day of our fiscal year.</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Senior Executive Severance Plan</w:t>
      </w:r>
    </w:p>
    <w:p>
      <w:pPr>
        <w:spacing w:after="0" w:line="69" w:lineRule="exact"/>
        <w:rPr>
          <w:sz w:val="20"/>
          <w:szCs w:val="20"/>
          <w:color w:val="auto"/>
        </w:rPr>
      </w:pPr>
    </w:p>
    <w:p>
      <w:pPr>
        <w:ind w:left="320" w:right="120"/>
        <w:spacing w:after="0" w:line="265" w:lineRule="auto"/>
        <w:rPr>
          <w:sz w:val="20"/>
          <w:szCs w:val="20"/>
          <w:color w:val="auto"/>
        </w:rPr>
      </w:pPr>
      <w:r>
        <w:rPr>
          <w:rFonts w:ascii="Arial" w:cs="Arial" w:eastAsia="Arial" w:hAnsi="Arial"/>
          <w:sz w:val="16"/>
          <w:szCs w:val="16"/>
          <w:color w:val="auto"/>
        </w:rPr>
        <w:t>The Company implemented the Senior Executive Severance Plan (“Severance Plan”) for a limited number of executive officers in March 2017. During its March 23, 2021 meeting, the Committee approved expanding the Severance Plan to include</w:t>
      </w:r>
    </w:p>
    <w:p>
      <w:pPr>
        <w:spacing w:after="0" w:line="38"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68 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8620"/>
        <w:spacing w:after="0"/>
        <w:rPr>
          <w:sz w:val="20"/>
          <w:szCs w:val="20"/>
          <w:color w:val="auto"/>
        </w:rPr>
      </w:pPr>
      <w:r>
        <w:rPr>
          <w:rFonts w:ascii="Arial" w:cs="Arial" w:eastAsia="Arial" w:hAnsi="Arial"/>
          <w:sz w:val="13"/>
          <w:szCs w:val="13"/>
          <w:b w:val="1"/>
          <w:bCs w:val="1"/>
          <w:color w:val="auto"/>
        </w:rPr>
        <w:t>2023 Executive Compensation Tables</w:t>
      </w:r>
    </w:p>
    <w:p>
      <w:pPr>
        <w:spacing w:after="0" w:line="137" w:lineRule="exact"/>
        <w:rPr>
          <w:sz w:val="20"/>
          <w:szCs w:val="20"/>
          <w:color w:val="auto"/>
        </w:rPr>
      </w:pPr>
    </w:p>
    <w:p>
      <w:pPr>
        <w:ind w:left="320" w:right="160"/>
        <w:spacing w:after="0" w:line="244" w:lineRule="auto"/>
        <w:rPr>
          <w:sz w:val="20"/>
          <w:szCs w:val="20"/>
          <w:color w:val="auto"/>
        </w:rPr>
      </w:pPr>
      <w:r>
        <w:rPr>
          <w:rFonts w:ascii="Arial" w:cs="Arial" w:eastAsia="Arial" w:hAnsi="Arial"/>
          <w:sz w:val="16"/>
          <w:szCs w:val="16"/>
          <w:color w:val="auto"/>
        </w:rPr>
        <w:t>other senior officers. Described below and illustrated in the table, Potential Payments Upon Termination or Change in Control, are the different elements payable under the Severance Plan if a named executive officer who was a party to the Severance Plan would experience a qualifying termination. All continuation amounts would be paid over the salary continuation period in compliance with Section 409A of the Code. Messrs. Quigley and Malan and Ms. Williams were covered in the Severance Plan for 2023. Mr. Thirot and Ms. Koolhaas are covered by the terms of their employment agreements as summarized below.</w:t>
      </w:r>
    </w:p>
    <w:p>
      <w:pPr>
        <w:spacing w:after="0" w:line="53" w:lineRule="exact"/>
        <w:rPr>
          <w:sz w:val="20"/>
          <w:szCs w:val="20"/>
          <w:color w:val="auto"/>
        </w:rPr>
      </w:pPr>
    </w:p>
    <w:p>
      <w:pPr>
        <w:ind w:left="320" w:right="100"/>
        <w:spacing w:after="0" w:line="278" w:lineRule="auto"/>
        <w:rPr>
          <w:sz w:val="20"/>
          <w:szCs w:val="20"/>
          <w:color w:val="auto"/>
        </w:rPr>
      </w:pPr>
      <w:r>
        <w:rPr>
          <w:rFonts w:ascii="Arial" w:cs="Arial" w:eastAsia="Arial" w:hAnsi="Arial"/>
          <w:sz w:val="14"/>
          <w:szCs w:val="14"/>
          <w:color w:val="auto"/>
        </w:rPr>
        <w:t>If one of the eligible named executive officers were to have experienced a qualifying termination under the Severance Plan in 2023, the named executive officer would have been entitled to severance benefits based on the type of qualified termination and whether they were a Tier 1, Tier 2, or Tier 3 participant. Mr. Quigley was the only Tier 1 participant in the Severance Plan. Ms. Williams was the only Tier 2 participant in the Severance Plan.</w:t>
      </w:r>
    </w:p>
    <w:p>
      <w:pPr>
        <w:spacing w:after="0" w:line="1" w:lineRule="exact"/>
        <w:rPr>
          <w:sz w:val="20"/>
          <w:szCs w:val="20"/>
          <w:color w:val="auto"/>
        </w:rPr>
      </w:pPr>
    </w:p>
    <w:p>
      <w:pPr>
        <w:ind w:left="320" w:right="280"/>
        <w:spacing w:after="0" w:line="294" w:lineRule="auto"/>
        <w:rPr>
          <w:sz w:val="20"/>
          <w:szCs w:val="20"/>
          <w:color w:val="auto"/>
        </w:rPr>
      </w:pPr>
      <w:r>
        <w:rPr>
          <w:rFonts w:ascii="Arial" w:cs="Arial" w:eastAsia="Arial" w:hAnsi="Arial"/>
          <w:sz w:val="14"/>
          <w:szCs w:val="14"/>
          <w:color w:val="auto"/>
        </w:rPr>
        <w:t>Mr. Thirot’s employment agreement provides him with similar Tier 2 severance benefits. Mr. Malan was a Tier 3 participant in the Severance Plan. Ms. Koolhaas’ employment agreement provides her with similar Tier 3 severance benefits. A “qualified termination” is any termination of a participant’s employment: by the Company other than for cause, disability, or death; or for “good reason” by a participant in connection with a change in control.</w:t>
      </w:r>
    </w:p>
    <w:p>
      <w:pPr>
        <w:spacing w:after="0" w:line="6" w:lineRule="exact"/>
        <w:rPr>
          <w:sz w:val="20"/>
          <w:szCs w:val="20"/>
          <w:color w:val="auto"/>
        </w:rPr>
      </w:pPr>
    </w:p>
    <w:p>
      <w:pPr>
        <w:ind w:left="320" w:right="20"/>
        <w:spacing w:after="0" w:line="280" w:lineRule="auto"/>
        <w:rPr>
          <w:sz w:val="20"/>
          <w:szCs w:val="20"/>
          <w:color w:val="auto"/>
        </w:rPr>
      </w:pPr>
      <w:r>
        <w:rPr>
          <w:rFonts w:ascii="Arial" w:cs="Arial" w:eastAsia="Arial" w:hAnsi="Arial"/>
          <w:sz w:val="14"/>
          <w:szCs w:val="14"/>
          <w:color w:val="auto"/>
        </w:rPr>
        <w:t>For a qualified termination that occurs not in connection with a change in control, a Tier 1 participant would receive severance payments in the form of base salary continuation for a period of 24 months, a Tier 2 participant would receive severance payments in the form of base salary continuation for a period of 18 months, and a Tier 3 participant would receive severance payments in the form of base salary continuation for a period of 12 months. In addition, Tier 1, Tier 2, and Tier 3 participants would receive a prorated portion of their annual incentive compensation for the fiscal year in which the termination occurred, based on the actual performance results for the year. The pro rata annual incentive payout will be determined based on the number of days in the fiscal year the eligible named executive officer was actually employed during such plan year divided by 365. Prorated annual incentive awards are paid at the same time that incentive compensation for the same year is paid to the other senior officers of the Company, following certification by the Committee that applicable performance goals have been attained. Salary continuation amounts would be paid by the Company in installments over the severance period and in accordance with the Company’s standard payroll practice, subject to the requirements of Section 409A.</w:t>
      </w:r>
    </w:p>
    <w:p>
      <w:pPr>
        <w:spacing w:after="0" w:line="202" w:lineRule="exact"/>
        <w:rPr>
          <w:sz w:val="20"/>
          <w:szCs w:val="20"/>
          <w:color w:val="auto"/>
        </w:rPr>
      </w:pPr>
    </w:p>
    <w:p>
      <w:pPr>
        <w:ind w:left="320" w:right="60"/>
        <w:spacing w:after="0" w:line="277" w:lineRule="auto"/>
        <w:rPr>
          <w:sz w:val="20"/>
          <w:szCs w:val="20"/>
          <w:color w:val="auto"/>
        </w:rPr>
      </w:pPr>
      <w:r>
        <w:rPr>
          <w:rFonts w:ascii="Arial" w:cs="Arial" w:eastAsia="Arial" w:hAnsi="Arial"/>
          <w:sz w:val="14"/>
          <w:szCs w:val="14"/>
          <w:color w:val="auto"/>
        </w:rPr>
        <w:t>For a qualified termination that occurs in connection with a change in control, a Tier 1 participant would receive a single lump sum severance payment equal to two times the sum of the participant’s annual base salary and target annual incentive compensation. A Tier 2 participant would receive a single lump sum severance payment equal to one and one-half times the sum of the participant’s annual base salary and target annual incentive compensation. A Tier 3 participant would receive a single lump sum severance payment equal to one time the sum of the participant’s annual base salary and target annual incentive compensation. In addition, Tier 1, Tier 2, and Tier 3 participants would receive a prorated portion of their annual incentive compensation. If the qualifying termination occurred in the same year as the change in control, a prorated portion of the participant’s annual incentive compensation is paid based on achievement of a target level of performance. If the qualifying termination occurred in the two years following a change in control, a prorated portion of the participant’s annual incentive compensation is paid based on the actual performance results achieved for the year. Any pro rata annual incentive payout will be determined based on the number of days in the fiscal year the eligible named executive officer was actually employed during such plan year divided by 365. Prorated annual incentive awards are paid in a lump sum at the same time that incentive compensation for the same year is paid to the other senior officers of the Company, following certification by the Committee that applicable performance goals have been attained. Participants are subject to a best-net cutback for 280G excise tax calculations with no excise tax gross-ups provided under the Severance Plan.</w:t>
      </w:r>
    </w:p>
    <w:p>
      <w:pPr>
        <w:spacing w:after="0" w:line="220" w:lineRule="exact"/>
        <w:rPr>
          <w:sz w:val="20"/>
          <w:szCs w:val="20"/>
          <w:color w:val="auto"/>
        </w:rPr>
      </w:pPr>
    </w:p>
    <w:p>
      <w:pPr>
        <w:ind w:left="320" w:right="40"/>
        <w:spacing w:after="0" w:line="244" w:lineRule="auto"/>
        <w:rPr>
          <w:sz w:val="20"/>
          <w:szCs w:val="20"/>
          <w:color w:val="auto"/>
        </w:rPr>
      </w:pPr>
      <w:r>
        <w:rPr>
          <w:rFonts w:ascii="Arial" w:cs="Arial" w:eastAsia="Arial" w:hAnsi="Arial"/>
          <w:sz w:val="16"/>
          <w:szCs w:val="16"/>
          <w:color w:val="auto"/>
        </w:rPr>
        <w:t>Subject to the participant’s timely election of continued coverage under the Consolidated Omnibus Budget Reconciliation Act of 1985, as amended (“COBRA”), the Company would provide comparable medical (including prescription drug), dental, vision, and hospitalization benefits to the eligible named executive officer and his or her eligible dependents for the severance period, provided the named executive officer continues to pay the applicable employee rate for such coverage and the named executive officer remains eligible for COBRA coverage. The severance period for a Tier 1 participant is 24 months, for a Tier 2 participant is 18 months, and for Tier 3 participant is 12 months.</w:t>
      </w:r>
    </w:p>
    <w:p>
      <w:pPr>
        <w:spacing w:after="0" w:line="40" w:lineRule="exact"/>
        <w:rPr>
          <w:sz w:val="20"/>
          <w:szCs w:val="20"/>
          <w:color w:val="auto"/>
        </w:rPr>
      </w:pPr>
    </w:p>
    <w:p>
      <w:pPr>
        <w:ind w:left="320" w:right="280"/>
        <w:spacing w:after="0" w:line="265" w:lineRule="auto"/>
        <w:rPr>
          <w:sz w:val="20"/>
          <w:szCs w:val="20"/>
          <w:color w:val="auto"/>
        </w:rPr>
      </w:pPr>
      <w:r>
        <w:rPr>
          <w:rFonts w:ascii="Arial" w:cs="Arial" w:eastAsia="Arial" w:hAnsi="Arial"/>
          <w:sz w:val="16"/>
          <w:szCs w:val="16"/>
          <w:color w:val="auto"/>
        </w:rPr>
        <w:t>The eligible named executive officer will be entitled to receive reimbursement for professional outplacement services actually incurred during the initial 12-month period following termination, not to exceed $10,000.</w:t>
      </w:r>
    </w:p>
    <w:p>
      <w:pPr>
        <w:spacing w:after="0" w:line="23" w:lineRule="exact"/>
        <w:rPr>
          <w:sz w:val="20"/>
          <w:szCs w:val="20"/>
          <w:color w:val="auto"/>
        </w:rPr>
      </w:pPr>
    </w:p>
    <w:p>
      <w:pPr>
        <w:ind w:left="320" w:right="200"/>
        <w:spacing w:after="0" w:line="245" w:lineRule="auto"/>
        <w:rPr>
          <w:sz w:val="20"/>
          <w:szCs w:val="20"/>
          <w:color w:val="auto"/>
        </w:rPr>
      </w:pPr>
      <w:r>
        <w:rPr>
          <w:rFonts w:ascii="Arial" w:cs="Arial" w:eastAsia="Arial" w:hAnsi="Arial"/>
          <w:sz w:val="16"/>
          <w:szCs w:val="16"/>
          <w:color w:val="auto"/>
        </w:rPr>
        <w:t>The eligible named executive officers, as a condition to receiving payments under the Severance Plan, are required to sign a general release of claims relating to their employment. In addition, they are required to agree not to directly or indirectly, individually or in any capacity or relationship, engage in any business or employment, or aid or endeavor to assist any business or legal entity, that is in direct competition with the business of the Company for the 12 months following termination.</w:t>
      </w: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-222250</wp:posOffset>
            </wp:positionV>
            <wp:extent cx="8255" cy="2228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2023 Executive Compensation Tables</w:t>
      </w:r>
    </w:p>
    <w:p>
      <w:pPr>
        <w:spacing w:after="0" w:line="137" w:lineRule="exact"/>
        <w:rPr>
          <w:sz w:val="20"/>
          <w:szCs w:val="20"/>
          <w:color w:val="auto"/>
        </w:rPr>
      </w:pPr>
    </w:p>
    <w:p>
      <w:pPr>
        <w:ind w:left="320" w:right="440"/>
        <w:spacing w:after="0" w:line="251" w:lineRule="auto"/>
        <w:rPr>
          <w:sz w:val="20"/>
          <w:szCs w:val="20"/>
          <w:color w:val="auto"/>
        </w:rPr>
      </w:pPr>
      <w:r>
        <w:rPr>
          <w:rFonts w:ascii="Arial" w:cs="Arial" w:eastAsia="Arial" w:hAnsi="Arial"/>
          <w:sz w:val="16"/>
          <w:szCs w:val="16"/>
          <w:color w:val="auto"/>
        </w:rPr>
        <w:t>During the 12 months following termination, the eligible named executive officers must also agree to not induce any employee of the Company to terminate employment with the Company, nor knowingly offer employment to any person who is or who was employed by the Company unless such person has ceased to be employed by the Company for a period of at least six months.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Named executive officers covered under the Severance Plan may not disparage, slander, or injure the business reputation or goodwill of the Company.</w:t>
      </w:r>
    </w:p>
    <w:p>
      <w:pPr>
        <w:spacing w:after="0" w:line="86" w:lineRule="exact"/>
        <w:rPr>
          <w:sz w:val="20"/>
          <w:szCs w:val="20"/>
          <w:color w:val="auto"/>
        </w:rPr>
      </w:pPr>
    </w:p>
    <w:p>
      <w:pPr>
        <w:jc w:val="both"/>
        <w:ind w:left="320" w:right="180"/>
        <w:spacing w:after="0" w:line="246" w:lineRule="auto"/>
        <w:rPr>
          <w:sz w:val="20"/>
          <w:szCs w:val="20"/>
          <w:color w:val="auto"/>
        </w:rPr>
      </w:pPr>
      <w:r>
        <w:rPr>
          <w:rFonts w:ascii="Arial" w:cs="Arial" w:eastAsia="Arial" w:hAnsi="Arial"/>
          <w:sz w:val="16"/>
          <w:szCs w:val="16"/>
          <w:color w:val="auto"/>
        </w:rPr>
        <w:t>Named executive officers must maintain as secret and confidential all protected information such as trade secrets, confidential and proprietary business information of the Company, and any other information of the Company, including but not limited to customer lists, sources of supply, processes, plans, materials, pricing information, internal memoranda, marketing plans, internal policies, and products and services which may be developed from time to time by the Company and its agents or employees, including the named executive officer.</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Noncompliance with any of the above may result in the loss of severance benefits.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Treatment of Long-Term Incentive Awards</w:t>
      </w:r>
    </w:p>
    <w:p>
      <w:pPr>
        <w:spacing w:after="0" w:line="82" w:lineRule="exact"/>
        <w:rPr>
          <w:sz w:val="20"/>
          <w:szCs w:val="20"/>
          <w:color w:val="auto"/>
        </w:rPr>
      </w:pPr>
    </w:p>
    <w:p>
      <w:pPr>
        <w:ind w:left="320" w:right="40"/>
        <w:spacing w:after="0" w:line="244" w:lineRule="auto"/>
        <w:rPr>
          <w:sz w:val="20"/>
          <w:szCs w:val="20"/>
          <w:color w:val="auto"/>
        </w:rPr>
      </w:pPr>
      <w:r>
        <w:rPr>
          <w:rFonts w:ascii="Arial" w:cs="Arial" w:eastAsia="Arial" w:hAnsi="Arial"/>
          <w:sz w:val="16"/>
          <w:szCs w:val="16"/>
          <w:color w:val="auto"/>
        </w:rPr>
        <w:t>Each equity-based award is conditioned upon the grantee’s acceptance of the terms of the EIP and the grant agreement, which includes restrictive covenants such as post-employment conditions not to solicit the Company’s employees or customers and not to compete against the Company for twelve months following any termination of employment, and indefinite covenants covering non-disparagement and confidentiality terms. Each of our named executive officer’s performance-based equity awards is subject to the Company’s Clawback Policy. Provisions for the treatment of long-term incentive awards upon various termination scenarios are outlined in the table below.</w:t>
      </w: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940" w:type="dxa"/>
            <w:vAlign w:val="bottom"/>
          </w:tcPr>
          <w:p>
            <w:pPr>
              <w:ind w:left="360"/>
              <w:spacing w:after="0"/>
              <w:rPr>
                <w:sz w:val="20"/>
                <w:szCs w:val="20"/>
                <w:color w:val="auto"/>
              </w:rPr>
            </w:pPr>
            <w:r>
              <w:rPr>
                <w:rFonts w:ascii="Arial" w:cs="Arial" w:eastAsia="Arial" w:hAnsi="Arial"/>
                <w:sz w:val="14"/>
                <w:szCs w:val="14"/>
                <w:b w:val="1"/>
                <w:bCs w:val="1"/>
                <w:color w:val="0A9E50"/>
              </w:rPr>
              <w:t>Restricted Stock/Units</w:t>
            </w:r>
          </w:p>
        </w:tc>
        <w:tc>
          <w:tcPr>
            <w:tcW w:w="4160" w:type="dxa"/>
            <w:vAlign w:val="bottom"/>
          </w:tcPr>
          <w:p>
            <w:pPr>
              <w:ind w:left="1460"/>
              <w:spacing w:after="0"/>
              <w:rPr>
                <w:sz w:val="20"/>
                <w:szCs w:val="20"/>
                <w:color w:val="auto"/>
              </w:rPr>
            </w:pPr>
            <w:r>
              <w:rPr>
                <w:rFonts w:ascii="Arial" w:cs="Arial" w:eastAsia="Arial" w:hAnsi="Arial"/>
                <w:sz w:val="14"/>
                <w:szCs w:val="14"/>
                <w:b w:val="1"/>
                <w:bCs w:val="1"/>
                <w:color w:val="0A9E50"/>
              </w:rPr>
              <w:t>Performance Shares</w:t>
            </w:r>
          </w:p>
        </w:tc>
      </w:tr>
      <w:tr>
        <w:trPr>
          <w:trHeight w:val="192"/>
        </w:trPr>
        <w:tc>
          <w:tcPr>
            <w:tcW w:w="4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9E50"/>
              </w:rPr>
              <w:t>Termination</w:t>
            </w:r>
          </w:p>
        </w:tc>
        <w:tc>
          <w:tcPr>
            <w:tcW w:w="19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0A9E50"/>
              </w:rPr>
              <w:t>(Time Vesting)</w:t>
            </w:r>
          </w:p>
        </w:tc>
        <w:tc>
          <w:tcPr>
            <w:tcW w:w="416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0A9E50"/>
              </w:rPr>
              <w:t>(Performance and Time Vesting)</w:t>
            </w:r>
          </w:p>
        </w:tc>
      </w:tr>
      <w:tr>
        <w:trPr>
          <w:trHeight w:val="202"/>
        </w:trPr>
        <w:tc>
          <w:tcPr>
            <w:tcW w:w="4520" w:type="dxa"/>
            <w:vAlign w:val="bottom"/>
          </w:tcPr>
          <w:p>
            <w:pPr>
              <w:ind w:left="80"/>
              <w:spacing w:after="0"/>
              <w:rPr>
                <w:sz w:val="20"/>
                <w:szCs w:val="20"/>
                <w:color w:val="auto"/>
              </w:rPr>
            </w:pPr>
            <w:r>
              <w:rPr>
                <w:rFonts w:ascii="Arial" w:cs="Arial" w:eastAsia="Arial" w:hAnsi="Arial"/>
                <w:sz w:val="16"/>
                <w:szCs w:val="16"/>
                <w:i w:val="1"/>
                <w:iCs w:val="1"/>
                <w:color w:val="auto"/>
              </w:rPr>
              <w:t>Termination not for Cause in connection with a Change In</w:t>
            </w:r>
          </w:p>
        </w:tc>
        <w:tc>
          <w:tcPr>
            <w:tcW w:w="1940" w:type="dxa"/>
            <w:vAlign w:val="bottom"/>
          </w:tcPr>
          <w:p>
            <w:pPr>
              <w:ind w:left="240"/>
              <w:spacing w:after="0"/>
              <w:rPr>
                <w:sz w:val="20"/>
                <w:szCs w:val="20"/>
                <w:color w:val="auto"/>
              </w:rPr>
            </w:pPr>
            <w:r>
              <w:rPr>
                <w:rFonts w:ascii="Arial" w:cs="Arial" w:eastAsia="Arial" w:hAnsi="Arial"/>
                <w:sz w:val="16"/>
                <w:szCs w:val="16"/>
                <w:color w:val="auto"/>
              </w:rPr>
              <w:t>Immediate Vesting</w:t>
            </w:r>
          </w:p>
        </w:tc>
        <w:tc>
          <w:tcPr>
            <w:tcW w:w="4160" w:type="dxa"/>
            <w:vAlign w:val="bottom"/>
          </w:tcPr>
          <w:p>
            <w:pPr>
              <w:ind w:left="120"/>
              <w:spacing w:after="0"/>
              <w:rPr>
                <w:sz w:val="20"/>
                <w:szCs w:val="20"/>
                <w:color w:val="auto"/>
              </w:rPr>
            </w:pPr>
            <w:r>
              <w:rPr>
                <w:rFonts w:ascii="Arial" w:cs="Arial" w:eastAsia="Arial" w:hAnsi="Arial"/>
                <w:sz w:val="16"/>
                <w:szCs w:val="16"/>
                <w:color w:val="auto"/>
              </w:rPr>
              <w:t>Immediate Vesting at Target</w:t>
            </w:r>
          </w:p>
        </w:tc>
      </w:tr>
      <w:tr>
        <w:trPr>
          <w:trHeight w:val="205"/>
        </w:trPr>
        <w:tc>
          <w:tcPr>
            <w:tcW w:w="4520" w:type="dxa"/>
            <w:vAlign w:val="bottom"/>
          </w:tcPr>
          <w:p>
            <w:pPr>
              <w:ind w:left="80"/>
              <w:spacing w:after="0"/>
              <w:rPr>
                <w:sz w:val="20"/>
                <w:szCs w:val="20"/>
                <w:color w:val="auto"/>
              </w:rPr>
            </w:pPr>
            <w:r>
              <w:rPr>
                <w:rFonts w:ascii="Arial" w:cs="Arial" w:eastAsia="Arial" w:hAnsi="Arial"/>
                <w:sz w:val="16"/>
                <w:szCs w:val="16"/>
                <w:i w:val="1"/>
                <w:iCs w:val="1"/>
                <w:color w:val="auto"/>
              </w:rPr>
              <w:t>Control</w:t>
            </w:r>
          </w:p>
        </w:tc>
        <w:tc>
          <w:tcPr>
            <w:tcW w:w="194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41"/>
        </w:trPr>
        <w:tc>
          <w:tcPr>
            <w:tcW w:w="4520" w:type="dxa"/>
            <w:vAlign w:val="bottom"/>
            <w:tcBorders>
              <w:bottom w:val="single" w:sz="8" w:color="7F7F7F"/>
            </w:tcBorders>
          </w:tcPr>
          <w:p>
            <w:pPr>
              <w:spacing w:after="0"/>
              <w:rPr>
                <w:sz w:val="3"/>
                <w:szCs w:val="3"/>
                <w:color w:val="auto"/>
              </w:rPr>
            </w:pPr>
          </w:p>
        </w:tc>
        <w:tc>
          <w:tcPr>
            <w:tcW w:w="194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r>
      <w:tr>
        <w:trPr>
          <w:trHeight w:val="202"/>
        </w:trPr>
        <w:tc>
          <w:tcPr>
            <w:tcW w:w="4520" w:type="dxa"/>
            <w:vAlign w:val="bottom"/>
          </w:tcPr>
          <w:p>
            <w:pPr>
              <w:ind w:left="80"/>
              <w:spacing w:after="0"/>
              <w:rPr>
                <w:sz w:val="20"/>
                <w:szCs w:val="20"/>
                <w:color w:val="auto"/>
              </w:rPr>
            </w:pPr>
            <w:r>
              <w:rPr>
                <w:rFonts w:ascii="Arial" w:cs="Arial" w:eastAsia="Arial" w:hAnsi="Arial"/>
                <w:sz w:val="16"/>
                <w:szCs w:val="16"/>
                <w:i w:val="1"/>
                <w:iCs w:val="1"/>
                <w:color w:val="auto"/>
              </w:rPr>
              <w:t>Other Termination not for Cause</w:t>
            </w:r>
          </w:p>
        </w:tc>
        <w:tc>
          <w:tcPr>
            <w:tcW w:w="1940" w:type="dxa"/>
            <w:vAlign w:val="bottom"/>
          </w:tcPr>
          <w:p>
            <w:pPr>
              <w:ind w:left="240"/>
              <w:spacing w:after="0"/>
              <w:rPr>
                <w:sz w:val="20"/>
                <w:szCs w:val="20"/>
                <w:color w:val="auto"/>
              </w:rPr>
            </w:pPr>
            <w:r>
              <w:rPr>
                <w:rFonts w:ascii="Arial" w:cs="Arial" w:eastAsia="Arial" w:hAnsi="Arial"/>
                <w:sz w:val="16"/>
                <w:szCs w:val="16"/>
                <w:color w:val="auto"/>
              </w:rPr>
              <w:t>Forfeit</w:t>
            </w:r>
          </w:p>
        </w:tc>
        <w:tc>
          <w:tcPr>
            <w:tcW w:w="4160" w:type="dxa"/>
            <w:vAlign w:val="bottom"/>
          </w:tcPr>
          <w:p>
            <w:pPr>
              <w:ind w:left="120"/>
              <w:spacing w:after="0"/>
              <w:rPr>
                <w:sz w:val="20"/>
                <w:szCs w:val="20"/>
                <w:color w:val="auto"/>
              </w:rPr>
            </w:pPr>
            <w:r>
              <w:rPr>
                <w:rFonts w:ascii="Arial" w:cs="Arial" w:eastAsia="Arial" w:hAnsi="Arial"/>
                <w:sz w:val="16"/>
                <w:szCs w:val="16"/>
                <w:color w:val="auto"/>
              </w:rPr>
              <w:t>Prorated based on actual results (as determined at the</w:t>
            </w:r>
          </w:p>
        </w:tc>
      </w:tr>
      <w:tr>
        <w:trPr>
          <w:trHeight w:val="182"/>
        </w:trPr>
        <w:tc>
          <w:tcPr>
            <w:tcW w:w="4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160" w:type="dxa"/>
            <w:vAlign w:val="bottom"/>
          </w:tcPr>
          <w:p>
            <w:pPr>
              <w:ind w:left="120"/>
              <w:spacing w:after="0" w:line="182" w:lineRule="exact"/>
              <w:rPr>
                <w:sz w:val="20"/>
                <w:szCs w:val="20"/>
                <w:color w:val="auto"/>
              </w:rPr>
            </w:pPr>
            <w:r>
              <w:rPr>
                <w:rFonts w:ascii="Arial" w:cs="Arial" w:eastAsia="Arial" w:hAnsi="Arial"/>
                <w:sz w:val="16"/>
                <w:szCs w:val="16"/>
                <w:color w:val="auto"/>
              </w:rPr>
              <w:t>end of the cycle), subject to employment for at least one</w:t>
            </w:r>
          </w:p>
        </w:tc>
      </w:tr>
      <w:tr>
        <w:trPr>
          <w:trHeight w:val="205"/>
        </w:trPr>
        <w:tc>
          <w:tcPr>
            <w:tcW w:w="45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160" w:type="dxa"/>
            <w:vAlign w:val="bottom"/>
          </w:tcPr>
          <w:p>
            <w:pPr>
              <w:ind w:left="120"/>
              <w:spacing w:after="0"/>
              <w:rPr>
                <w:sz w:val="20"/>
                <w:szCs w:val="20"/>
                <w:color w:val="auto"/>
              </w:rPr>
            </w:pPr>
            <w:r>
              <w:rPr>
                <w:rFonts w:ascii="Arial" w:cs="Arial" w:eastAsia="Arial" w:hAnsi="Arial"/>
                <w:sz w:val="16"/>
                <w:szCs w:val="16"/>
                <w:color w:val="auto"/>
              </w:rPr>
              <w:t>year after the date grant was approved</w:t>
            </w:r>
          </w:p>
        </w:tc>
      </w:tr>
      <w:tr>
        <w:trPr>
          <w:trHeight w:val="41"/>
        </w:trPr>
        <w:tc>
          <w:tcPr>
            <w:tcW w:w="4520" w:type="dxa"/>
            <w:vAlign w:val="bottom"/>
            <w:tcBorders>
              <w:bottom w:val="single" w:sz="8" w:color="7F7F7F"/>
            </w:tcBorders>
          </w:tcPr>
          <w:p>
            <w:pPr>
              <w:spacing w:after="0"/>
              <w:rPr>
                <w:sz w:val="3"/>
                <w:szCs w:val="3"/>
                <w:color w:val="auto"/>
              </w:rPr>
            </w:pPr>
          </w:p>
        </w:tc>
        <w:tc>
          <w:tcPr>
            <w:tcW w:w="194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r>
      <w:tr>
        <w:trPr>
          <w:trHeight w:val="202"/>
        </w:trPr>
        <w:tc>
          <w:tcPr>
            <w:tcW w:w="4520" w:type="dxa"/>
            <w:vAlign w:val="bottom"/>
          </w:tcPr>
          <w:p>
            <w:pPr>
              <w:ind w:left="80"/>
              <w:spacing w:after="0"/>
              <w:rPr>
                <w:sz w:val="20"/>
                <w:szCs w:val="20"/>
                <w:color w:val="auto"/>
              </w:rPr>
            </w:pPr>
            <w:r>
              <w:rPr>
                <w:rFonts w:ascii="Arial" w:cs="Arial" w:eastAsia="Arial" w:hAnsi="Arial"/>
                <w:sz w:val="16"/>
                <w:szCs w:val="16"/>
                <w:i w:val="1"/>
                <w:iCs w:val="1"/>
                <w:color w:val="auto"/>
              </w:rPr>
              <w:t>Termination for Good Reason in connection with a Change in</w:t>
            </w:r>
          </w:p>
        </w:tc>
        <w:tc>
          <w:tcPr>
            <w:tcW w:w="1940" w:type="dxa"/>
            <w:vAlign w:val="bottom"/>
          </w:tcPr>
          <w:p>
            <w:pPr>
              <w:ind w:left="240"/>
              <w:spacing w:after="0"/>
              <w:rPr>
                <w:sz w:val="20"/>
                <w:szCs w:val="20"/>
                <w:color w:val="auto"/>
              </w:rPr>
            </w:pPr>
            <w:r>
              <w:rPr>
                <w:rFonts w:ascii="Arial" w:cs="Arial" w:eastAsia="Arial" w:hAnsi="Arial"/>
                <w:sz w:val="16"/>
                <w:szCs w:val="16"/>
                <w:color w:val="auto"/>
              </w:rPr>
              <w:t>Immediate Vesting</w:t>
            </w:r>
          </w:p>
        </w:tc>
        <w:tc>
          <w:tcPr>
            <w:tcW w:w="4160" w:type="dxa"/>
            <w:vAlign w:val="bottom"/>
          </w:tcPr>
          <w:p>
            <w:pPr>
              <w:ind w:left="120"/>
              <w:spacing w:after="0"/>
              <w:rPr>
                <w:sz w:val="20"/>
                <w:szCs w:val="20"/>
                <w:color w:val="auto"/>
              </w:rPr>
            </w:pPr>
            <w:r>
              <w:rPr>
                <w:rFonts w:ascii="Arial" w:cs="Arial" w:eastAsia="Arial" w:hAnsi="Arial"/>
                <w:sz w:val="16"/>
                <w:szCs w:val="16"/>
                <w:color w:val="auto"/>
              </w:rPr>
              <w:t>Immediate Vesting at Target</w:t>
            </w:r>
          </w:p>
        </w:tc>
      </w:tr>
      <w:tr>
        <w:trPr>
          <w:trHeight w:val="205"/>
        </w:trPr>
        <w:tc>
          <w:tcPr>
            <w:tcW w:w="4520" w:type="dxa"/>
            <w:vAlign w:val="bottom"/>
          </w:tcPr>
          <w:p>
            <w:pPr>
              <w:ind w:left="80"/>
              <w:spacing w:after="0"/>
              <w:rPr>
                <w:sz w:val="20"/>
                <w:szCs w:val="20"/>
                <w:color w:val="auto"/>
              </w:rPr>
            </w:pPr>
            <w:r>
              <w:rPr>
                <w:rFonts w:ascii="Arial" w:cs="Arial" w:eastAsia="Arial" w:hAnsi="Arial"/>
                <w:sz w:val="16"/>
                <w:szCs w:val="16"/>
                <w:i w:val="1"/>
                <w:iCs w:val="1"/>
                <w:color w:val="auto"/>
              </w:rPr>
              <w:t>Control</w:t>
            </w:r>
          </w:p>
        </w:tc>
        <w:tc>
          <w:tcPr>
            <w:tcW w:w="194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41"/>
        </w:trPr>
        <w:tc>
          <w:tcPr>
            <w:tcW w:w="4520" w:type="dxa"/>
            <w:vAlign w:val="bottom"/>
            <w:tcBorders>
              <w:bottom w:val="single" w:sz="8" w:color="7F7F7F"/>
            </w:tcBorders>
          </w:tcPr>
          <w:p>
            <w:pPr>
              <w:spacing w:after="0"/>
              <w:rPr>
                <w:sz w:val="3"/>
                <w:szCs w:val="3"/>
                <w:color w:val="auto"/>
              </w:rPr>
            </w:pPr>
          </w:p>
        </w:tc>
        <w:tc>
          <w:tcPr>
            <w:tcW w:w="194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r>
      <w:tr>
        <w:trPr>
          <w:trHeight w:val="225"/>
        </w:trPr>
        <w:tc>
          <w:tcPr>
            <w:tcW w:w="4520" w:type="dxa"/>
            <w:vAlign w:val="bottom"/>
          </w:tcPr>
          <w:p>
            <w:pPr>
              <w:ind w:left="80"/>
              <w:spacing w:after="0"/>
              <w:rPr>
                <w:sz w:val="20"/>
                <w:szCs w:val="20"/>
                <w:color w:val="auto"/>
              </w:rPr>
            </w:pPr>
            <w:r>
              <w:rPr>
                <w:rFonts w:ascii="Arial" w:cs="Arial" w:eastAsia="Arial" w:hAnsi="Arial"/>
                <w:sz w:val="16"/>
                <w:szCs w:val="16"/>
                <w:i w:val="1"/>
                <w:iCs w:val="1"/>
                <w:color w:val="auto"/>
              </w:rPr>
              <w:t>Termination for Cause</w:t>
            </w:r>
          </w:p>
        </w:tc>
        <w:tc>
          <w:tcPr>
            <w:tcW w:w="1940" w:type="dxa"/>
            <w:vAlign w:val="bottom"/>
          </w:tcPr>
          <w:p>
            <w:pPr>
              <w:ind w:left="240"/>
              <w:spacing w:after="0"/>
              <w:rPr>
                <w:sz w:val="20"/>
                <w:szCs w:val="20"/>
                <w:color w:val="auto"/>
              </w:rPr>
            </w:pPr>
            <w:r>
              <w:rPr>
                <w:rFonts w:ascii="Arial" w:cs="Arial" w:eastAsia="Arial" w:hAnsi="Arial"/>
                <w:sz w:val="16"/>
                <w:szCs w:val="16"/>
                <w:color w:val="auto"/>
              </w:rPr>
              <w:t>Forfeit</w:t>
            </w:r>
          </w:p>
        </w:tc>
        <w:tc>
          <w:tcPr>
            <w:tcW w:w="4160" w:type="dxa"/>
            <w:vAlign w:val="bottom"/>
          </w:tcPr>
          <w:p>
            <w:pPr>
              <w:ind w:left="120"/>
              <w:spacing w:after="0"/>
              <w:rPr>
                <w:sz w:val="20"/>
                <w:szCs w:val="20"/>
                <w:color w:val="auto"/>
              </w:rPr>
            </w:pPr>
            <w:r>
              <w:rPr>
                <w:rFonts w:ascii="Arial" w:cs="Arial" w:eastAsia="Arial" w:hAnsi="Arial"/>
                <w:sz w:val="16"/>
                <w:szCs w:val="16"/>
                <w:color w:val="auto"/>
              </w:rPr>
              <w:t>Forfeit</w:t>
            </w:r>
          </w:p>
        </w:tc>
      </w:tr>
      <w:tr>
        <w:trPr>
          <w:trHeight w:val="41"/>
        </w:trPr>
        <w:tc>
          <w:tcPr>
            <w:tcW w:w="4520" w:type="dxa"/>
            <w:vAlign w:val="bottom"/>
            <w:tcBorders>
              <w:bottom w:val="single" w:sz="8" w:color="7F7F7F"/>
            </w:tcBorders>
          </w:tcPr>
          <w:p>
            <w:pPr>
              <w:spacing w:after="0"/>
              <w:rPr>
                <w:sz w:val="3"/>
                <w:szCs w:val="3"/>
                <w:color w:val="auto"/>
              </w:rPr>
            </w:pPr>
          </w:p>
        </w:tc>
        <w:tc>
          <w:tcPr>
            <w:tcW w:w="194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r>
      <w:tr>
        <w:trPr>
          <w:trHeight w:val="225"/>
        </w:trPr>
        <w:tc>
          <w:tcPr>
            <w:tcW w:w="4520" w:type="dxa"/>
            <w:vAlign w:val="bottom"/>
          </w:tcPr>
          <w:p>
            <w:pPr>
              <w:ind w:left="80"/>
              <w:spacing w:after="0"/>
              <w:rPr>
                <w:sz w:val="20"/>
                <w:szCs w:val="20"/>
                <w:color w:val="auto"/>
              </w:rPr>
            </w:pPr>
            <w:r>
              <w:rPr>
                <w:rFonts w:ascii="Arial" w:cs="Arial" w:eastAsia="Arial" w:hAnsi="Arial"/>
                <w:sz w:val="16"/>
                <w:szCs w:val="16"/>
                <w:i w:val="1"/>
                <w:iCs w:val="1"/>
                <w:color w:val="auto"/>
              </w:rPr>
              <w:t>Voluntarily Quit</w:t>
            </w:r>
          </w:p>
        </w:tc>
        <w:tc>
          <w:tcPr>
            <w:tcW w:w="1940" w:type="dxa"/>
            <w:vAlign w:val="bottom"/>
          </w:tcPr>
          <w:p>
            <w:pPr>
              <w:ind w:left="240"/>
              <w:spacing w:after="0"/>
              <w:rPr>
                <w:sz w:val="20"/>
                <w:szCs w:val="20"/>
                <w:color w:val="auto"/>
              </w:rPr>
            </w:pPr>
            <w:r>
              <w:rPr>
                <w:rFonts w:ascii="Arial" w:cs="Arial" w:eastAsia="Arial" w:hAnsi="Arial"/>
                <w:sz w:val="16"/>
                <w:szCs w:val="16"/>
                <w:color w:val="auto"/>
              </w:rPr>
              <w:t>Forfeit</w:t>
            </w:r>
          </w:p>
        </w:tc>
        <w:tc>
          <w:tcPr>
            <w:tcW w:w="4160" w:type="dxa"/>
            <w:vAlign w:val="bottom"/>
          </w:tcPr>
          <w:p>
            <w:pPr>
              <w:ind w:left="120"/>
              <w:spacing w:after="0"/>
              <w:rPr>
                <w:sz w:val="20"/>
                <w:szCs w:val="20"/>
                <w:color w:val="auto"/>
              </w:rPr>
            </w:pPr>
            <w:r>
              <w:rPr>
                <w:rFonts w:ascii="Arial" w:cs="Arial" w:eastAsia="Arial" w:hAnsi="Arial"/>
                <w:sz w:val="16"/>
                <w:szCs w:val="16"/>
                <w:color w:val="auto"/>
              </w:rPr>
              <w:t>Forfeit</w:t>
            </w:r>
          </w:p>
        </w:tc>
      </w:tr>
      <w:tr>
        <w:trPr>
          <w:trHeight w:val="41"/>
        </w:trPr>
        <w:tc>
          <w:tcPr>
            <w:tcW w:w="4520" w:type="dxa"/>
            <w:vAlign w:val="bottom"/>
            <w:tcBorders>
              <w:bottom w:val="single" w:sz="8" w:color="7F7F7F"/>
            </w:tcBorders>
          </w:tcPr>
          <w:p>
            <w:pPr>
              <w:spacing w:after="0"/>
              <w:rPr>
                <w:sz w:val="3"/>
                <w:szCs w:val="3"/>
                <w:color w:val="auto"/>
              </w:rPr>
            </w:pPr>
          </w:p>
        </w:tc>
        <w:tc>
          <w:tcPr>
            <w:tcW w:w="194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r>
      <w:tr>
        <w:trPr>
          <w:trHeight w:val="202"/>
        </w:trPr>
        <w:tc>
          <w:tcPr>
            <w:tcW w:w="4520" w:type="dxa"/>
            <w:vAlign w:val="bottom"/>
          </w:tcPr>
          <w:p>
            <w:pPr>
              <w:ind w:left="80"/>
              <w:spacing w:after="0"/>
              <w:rPr>
                <w:sz w:val="20"/>
                <w:szCs w:val="20"/>
                <w:color w:val="auto"/>
              </w:rPr>
            </w:pPr>
            <w:r>
              <w:rPr>
                <w:rFonts w:ascii="Arial" w:cs="Arial" w:eastAsia="Arial" w:hAnsi="Arial"/>
                <w:sz w:val="16"/>
                <w:szCs w:val="16"/>
                <w:i w:val="1"/>
                <w:iCs w:val="1"/>
                <w:color w:val="auto"/>
              </w:rPr>
              <w:t>Retirement</w:t>
            </w:r>
          </w:p>
        </w:tc>
        <w:tc>
          <w:tcPr>
            <w:tcW w:w="1940" w:type="dxa"/>
            <w:vAlign w:val="bottom"/>
          </w:tcPr>
          <w:p>
            <w:pPr>
              <w:ind w:left="240"/>
              <w:spacing w:after="0"/>
              <w:rPr>
                <w:sz w:val="20"/>
                <w:szCs w:val="20"/>
                <w:color w:val="auto"/>
              </w:rPr>
            </w:pPr>
            <w:r>
              <w:rPr>
                <w:rFonts w:ascii="Arial" w:cs="Arial" w:eastAsia="Arial" w:hAnsi="Arial"/>
                <w:sz w:val="16"/>
                <w:szCs w:val="16"/>
                <w:color w:val="auto"/>
              </w:rPr>
              <w:t>Forfeit</w:t>
            </w:r>
          </w:p>
        </w:tc>
        <w:tc>
          <w:tcPr>
            <w:tcW w:w="4160" w:type="dxa"/>
            <w:vAlign w:val="bottom"/>
          </w:tcPr>
          <w:p>
            <w:pPr>
              <w:ind w:left="120"/>
              <w:spacing w:after="0"/>
              <w:rPr>
                <w:sz w:val="20"/>
                <w:szCs w:val="20"/>
                <w:color w:val="auto"/>
              </w:rPr>
            </w:pPr>
            <w:r>
              <w:rPr>
                <w:rFonts w:ascii="Arial" w:cs="Arial" w:eastAsia="Arial" w:hAnsi="Arial"/>
                <w:sz w:val="16"/>
                <w:szCs w:val="16"/>
                <w:color w:val="auto"/>
              </w:rPr>
              <w:t>Prorated based on actual results (as determined at the</w:t>
            </w:r>
          </w:p>
        </w:tc>
      </w:tr>
      <w:tr>
        <w:trPr>
          <w:trHeight w:val="182"/>
        </w:trPr>
        <w:tc>
          <w:tcPr>
            <w:tcW w:w="4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160" w:type="dxa"/>
            <w:vAlign w:val="bottom"/>
          </w:tcPr>
          <w:p>
            <w:pPr>
              <w:ind w:left="120"/>
              <w:spacing w:after="0" w:line="182" w:lineRule="exact"/>
              <w:rPr>
                <w:sz w:val="20"/>
                <w:szCs w:val="20"/>
                <w:color w:val="auto"/>
              </w:rPr>
            </w:pPr>
            <w:r>
              <w:rPr>
                <w:rFonts w:ascii="Arial" w:cs="Arial" w:eastAsia="Arial" w:hAnsi="Arial"/>
                <w:sz w:val="16"/>
                <w:szCs w:val="16"/>
                <w:color w:val="auto"/>
              </w:rPr>
              <w:t>end of the cycle) for “Normal Retirement” defined as age</w:t>
            </w:r>
          </w:p>
        </w:tc>
      </w:tr>
      <w:tr>
        <w:trPr>
          <w:trHeight w:val="182"/>
        </w:trPr>
        <w:tc>
          <w:tcPr>
            <w:tcW w:w="4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160" w:type="dxa"/>
            <w:vAlign w:val="bottom"/>
          </w:tcPr>
          <w:p>
            <w:pPr>
              <w:ind w:left="120"/>
              <w:spacing w:after="0" w:line="182" w:lineRule="exact"/>
              <w:rPr>
                <w:sz w:val="20"/>
                <w:szCs w:val="20"/>
                <w:color w:val="auto"/>
              </w:rPr>
            </w:pPr>
            <w:r>
              <w:rPr>
                <w:rFonts w:ascii="Arial" w:cs="Arial" w:eastAsia="Arial" w:hAnsi="Arial"/>
                <w:sz w:val="16"/>
                <w:szCs w:val="16"/>
                <w:color w:val="auto"/>
                <w:w w:val="98"/>
              </w:rPr>
              <w:t>62 with 5 years of service or as a combination of age plus</w:t>
            </w:r>
          </w:p>
        </w:tc>
      </w:tr>
      <w:tr>
        <w:trPr>
          <w:trHeight w:val="205"/>
        </w:trPr>
        <w:tc>
          <w:tcPr>
            <w:tcW w:w="45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160" w:type="dxa"/>
            <w:vAlign w:val="bottom"/>
          </w:tcPr>
          <w:p>
            <w:pPr>
              <w:ind w:left="120"/>
              <w:spacing w:after="0"/>
              <w:rPr>
                <w:sz w:val="20"/>
                <w:szCs w:val="20"/>
                <w:color w:val="auto"/>
              </w:rPr>
            </w:pPr>
            <w:r>
              <w:rPr>
                <w:rFonts w:ascii="Arial" w:cs="Arial" w:eastAsia="Arial" w:hAnsi="Arial"/>
                <w:sz w:val="16"/>
                <w:szCs w:val="16"/>
                <w:color w:val="auto"/>
              </w:rPr>
              <w:t>years of service equal to 70, with a minimum age of 60</w:t>
            </w:r>
          </w:p>
        </w:tc>
      </w:tr>
      <w:tr>
        <w:trPr>
          <w:trHeight w:val="41"/>
        </w:trPr>
        <w:tc>
          <w:tcPr>
            <w:tcW w:w="4520" w:type="dxa"/>
            <w:vAlign w:val="bottom"/>
            <w:tcBorders>
              <w:bottom w:val="single" w:sz="8" w:color="7F7F7F"/>
            </w:tcBorders>
          </w:tcPr>
          <w:p>
            <w:pPr>
              <w:spacing w:after="0"/>
              <w:rPr>
                <w:sz w:val="3"/>
                <w:szCs w:val="3"/>
                <w:color w:val="auto"/>
              </w:rPr>
            </w:pPr>
          </w:p>
        </w:tc>
        <w:tc>
          <w:tcPr>
            <w:tcW w:w="194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r>
      <w:tr>
        <w:trPr>
          <w:trHeight w:val="225"/>
        </w:trPr>
        <w:tc>
          <w:tcPr>
            <w:tcW w:w="4520" w:type="dxa"/>
            <w:vAlign w:val="bottom"/>
          </w:tcPr>
          <w:p>
            <w:pPr>
              <w:ind w:left="80"/>
              <w:spacing w:after="0"/>
              <w:rPr>
                <w:sz w:val="20"/>
                <w:szCs w:val="20"/>
                <w:color w:val="auto"/>
              </w:rPr>
            </w:pPr>
            <w:r>
              <w:rPr>
                <w:rFonts w:ascii="Arial" w:cs="Arial" w:eastAsia="Arial" w:hAnsi="Arial"/>
                <w:sz w:val="16"/>
                <w:szCs w:val="16"/>
                <w:i w:val="1"/>
                <w:iCs w:val="1"/>
                <w:color w:val="auto"/>
              </w:rPr>
              <w:t>Death or Disability</w:t>
            </w:r>
          </w:p>
        </w:tc>
        <w:tc>
          <w:tcPr>
            <w:tcW w:w="1940" w:type="dxa"/>
            <w:vAlign w:val="bottom"/>
          </w:tcPr>
          <w:p>
            <w:pPr>
              <w:ind w:left="240"/>
              <w:spacing w:after="0"/>
              <w:rPr>
                <w:sz w:val="20"/>
                <w:szCs w:val="20"/>
                <w:color w:val="auto"/>
              </w:rPr>
            </w:pPr>
            <w:r>
              <w:rPr>
                <w:rFonts w:ascii="Arial" w:cs="Arial" w:eastAsia="Arial" w:hAnsi="Arial"/>
                <w:sz w:val="16"/>
                <w:szCs w:val="16"/>
                <w:color w:val="auto"/>
              </w:rPr>
              <w:t>Prorated</w:t>
            </w:r>
          </w:p>
        </w:tc>
        <w:tc>
          <w:tcPr>
            <w:tcW w:w="4160" w:type="dxa"/>
            <w:vAlign w:val="bottom"/>
          </w:tcPr>
          <w:p>
            <w:pPr>
              <w:ind w:left="120"/>
              <w:spacing w:after="0"/>
              <w:rPr>
                <w:sz w:val="20"/>
                <w:szCs w:val="20"/>
                <w:color w:val="auto"/>
              </w:rPr>
            </w:pPr>
            <w:r>
              <w:rPr>
                <w:rFonts w:ascii="Arial" w:cs="Arial" w:eastAsia="Arial" w:hAnsi="Arial"/>
                <w:sz w:val="16"/>
                <w:szCs w:val="16"/>
                <w:color w:val="auto"/>
              </w:rPr>
              <w:t>Prorated based on actual results</w:t>
            </w:r>
          </w:p>
        </w:tc>
      </w:tr>
      <w:tr>
        <w:trPr>
          <w:trHeight w:val="41"/>
        </w:trPr>
        <w:tc>
          <w:tcPr>
            <w:tcW w:w="4520" w:type="dxa"/>
            <w:vAlign w:val="bottom"/>
            <w:tcBorders>
              <w:bottom w:val="single" w:sz="8" w:color="7F7F7F"/>
            </w:tcBorders>
          </w:tcPr>
          <w:p>
            <w:pPr>
              <w:spacing w:after="0"/>
              <w:rPr>
                <w:sz w:val="3"/>
                <w:szCs w:val="3"/>
                <w:color w:val="auto"/>
              </w:rPr>
            </w:pPr>
          </w:p>
        </w:tc>
        <w:tc>
          <w:tcPr>
            <w:tcW w:w="194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r>
    </w:tbl>
    <w:p>
      <w:pPr>
        <w:spacing w:after="0" w:line="68"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70 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8620"/>
        <w:spacing w:after="0"/>
        <w:rPr>
          <w:sz w:val="20"/>
          <w:szCs w:val="20"/>
          <w:color w:val="auto"/>
        </w:rPr>
      </w:pPr>
      <w:r>
        <w:rPr>
          <w:rFonts w:ascii="Arial" w:cs="Arial" w:eastAsia="Arial" w:hAnsi="Arial"/>
          <w:sz w:val="13"/>
          <w:szCs w:val="13"/>
          <w:b w:val="1"/>
          <w:bCs w:val="1"/>
          <w:color w:val="auto"/>
        </w:rPr>
        <w:t>2023 Executive Compensation Tables</w:t>
      </w:r>
    </w:p>
    <w:p>
      <w:pPr>
        <w:spacing w:after="0" w:line="137" w:lineRule="exact"/>
        <w:rPr>
          <w:sz w:val="20"/>
          <w:szCs w:val="20"/>
          <w:color w:val="auto"/>
        </w:rPr>
      </w:pPr>
    </w:p>
    <w:p>
      <w:pPr>
        <w:ind w:left="320" w:right="380"/>
        <w:spacing w:after="0" w:line="265" w:lineRule="auto"/>
        <w:rPr>
          <w:sz w:val="20"/>
          <w:szCs w:val="20"/>
          <w:color w:val="auto"/>
        </w:rPr>
      </w:pPr>
      <w:r>
        <w:rPr>
          <w:rFonts w:ascii="Arial" w:cs="Arial" w:eastAsia="Arial" w:hAnsi="Arial"/>
          <w:sz w:val="16"/>
          <w:szCs w:val="16"/>
          <w:color w:val="auto"/>
        </w:rPr>
        <w:t>Based on the terms of the severance plans and treatment of LTI awards for each upon termination of employment as outlined above, the table below illustrates the amounts that each named executive officer would receive in each of the potential termination scenarios.</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A9E50"/>
                <w:w w:val="99"/>
              </w:rPr>
              <w:t>Peter W.</w:t>
            </w:r>
          </w:p>
        </w:tc>
        <w:tc>
          <w:tcPr>
            <w:tcW w:w="1100" w:type="dxa"/>
            <w:vAlign w:val="bottom"/>
          </w:tcPr>
          <w:p>
            <w:pPr>
              <w:jc w:val="center"/>
              <w:ind w:right="83"/>
              <w:spacing w:after="0"/>
              <w:rPr>
                <w:sz w:val="20"/>
                <w:szCs w:val="20"/>
                <w:color w:val="auto"/>
              </w:rPr>
            </w:pPr>
            <w:r>
              <w:rPr>
                <w:rFonts w:ascii="Arial" w:cs="Arial" w:eastAsia="Arial" w:hAnsi="Arial"/>
                <w:sz w:val="14"/>
                <w:szCs w:val="14"/>
                <w:b w:val="1"/>
                <w:bCs w:val="1"/>
                <w:color w:val="0A9E50"/>
                <w:w w:val="99"/>
              </w:rPr>
              <w:t>Olivier G.</w:t>
            </w:r>
          </w:p>
        </w:tc>
        <w:tc>
          <w:tcPr>
            <w:tcW w:w="1120" w:type="dxa"/>
            <w:vAlign w:val="bottom"/>
          </w:tcPr>
          <w:p>
            <w:pPr>
              <w:jc w:val="right"/>
              <w:ind w:right="243"/>
              <w:spacing w:after="0"/>
              <w:rPr>
                <w:sz w:val="20"/>
                <w:szCs w:val="20"/>
                <w:color w:val="auto"/>
              </w:rPr>
            </w:pPr>
            <w:r>
              <w:rPr>
                <w:rFonts w:ascii="Arial" w:cs="Arial" w:eastAsia="Arial" w:hAnsi="Arial"/>
                <w:sz w:val="14"/>
                <w:szCs w:val="14"/>
                <w:b w:val="1"/>
                <w:bCs w:val="1"/>
                <w:color w:val="0A9E50"/>
              </w:rPr>
              <w:t>Daniel H.</w:t>
            </w:r>
          </w:p>
        </w:tc>
        <w:tc>
          <w:tcPr>
            <w:tcW w:w="1180" w:type="dxa"/>
            <w:vAlign w:val="bottom"/>
          </w:tcPr>
          <w:p>
            <w:pPr>
              <w:jc w:val="right"/>
              <w:ind w:right="203"/>
              <w:spacing w:after="0"/>
              <w:rPr>
                <w:sz w:val="20"/>
                <w:szCs w:val="20"/>
                <w:color w:val="auto"/>
              </w:rPr>
            </w:pPr>
            <w:r>
              <w:rPr>
                <w:rFonts w:ascii="Arial" w:cs="Arial" w:eastAsia="Arial" w:hAnsi="Arial"/>
                <w:sz w:val="14"/>
                <w:szCs w:val="14"/>
                <w:b w:val="1"/>
                <w:bCs w:val="1"/>
                <w:color w:val="0A9E50"/>
              </w:rPr>
              <w:t>Vanessa P.</w:t>
            </w:r>
          </w:p>
        </w:tc>
      </w:tr>
      <w:tr>
        <w:trPr>
          <w:trHeight w:val="156"/>
        </w:trPr>
        <w:tc>
          <w:tcPr>
            <w:tcW w:w="6040" w:type="dxa"/>
            <w:vAlign w:val="bottom"/>
          </w:tcPr>
          <w:p>
            <w:pPr>
              <w:spacing w:after="0"/>
              <w:rPr>
                <w:sz w:val="13"/>
                <w:szCs w:val="13"/>
                <w:color w:val="auto"/>
              </w:rPr>
            </w:pPr>
          </w:p>
        </w:tc>
        <w:tc>
          <w:tcPr>
            <w:tcW w:w="118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rPr>
              <w:t>Quigley</w:t>
            </w:r>
          </w:p>
        </w:tc>
        <w:tc>
          <w:tcPr>
            <w:tcW w:w="1100" w:type="dxa"/>
            <w:vAlign w:val="bottom"/>
          </w:tcPr>
          <w:p>
            <w:pPr>
              <w:jc w:val="center"/>
              <w:ind w:right="103"/>
              <w:spacing w:after="0" w:line="156" w:lineRule="exact"/>
              <w:rPr>
                <w:sz w:val="20"/>
                <w:szCs w:val="20"/>
                <w:color w:val="auto"/>
              </w:rPr>
            </w:pPr>
            <w:r>
              <w:rPr>
                <w:rFonts w:ascii="Arial" w:cs="Arial" w:eastAsia="Arial" w:hAnsi="Arial"/>
                <w:sz w:val="14"/>
                <w:szCs w:val="14"/>
                <w:b w:val="1"/>
                <w:bCs w:val="1"/>
                <w:color w:val="0A9E50"/>
              </w:rPr>
              <w:t>Thirot</w:t>
            </w:r>
          </w:p>
        </w:tc>
        <w:tc>
          <w:tcPr>
            <w:tcW w:w="1120" w:type="dxa"/>
            <w:vAlign w:val="bottom"/>
          </w:tcPr>
          <w:p>
            <w:pPr>
              <w:jc w:val="right"/>
              <w:ind w:right="343"/>
              <w:spacing w:after="0" w:line="156" w:lineRule="exact"/>
              <w:rPr>
                <w:sz w:val="20"/>
                <w:szCs w:val="20"/>
                <w:color w:val="auto"/>
              </w:rPr>
            </w:pPr>
            <w:r>
              <w:rPr>
                <w:rFonts w:ascii="Arial" w:cs="Arial" w:eastAsia="Arial" w:hAnsi="Arial"/>
                <w:sz w:val="14"/>
                <w:szCs w:val="14"/>
                <w:b w:val="1"/>
                <w:bCs w:val="1"/>
                <w:color w:val="0A9E50"/>
              </w:rPr>
              <w:t>Malan</w:t>
            </w:r>
          </w:p>
        </w:tc>
        <w:tc>
          <w:tcPr>
            <w:tcW w:w="1180" w:type="dxa"/>
            <w:vAlign w:val="bottom"/>
          </w:tcPr>
          <w:p>
            <w:pPr>
              <w:jc w:val="right"/>
              <w:ind w:right="283"/>
              <w:spacing w:after="0" w:line="156" w:lineRule="exact"/>
              <w:rPr>
                <w:sz w:val="20"/>
                <w:szCs w:val="20"/>
                <w:color w:val="auto"/>
              </w:rPr>
            </w:pPr>
            <w:r>
              <w:rPr>
                <w:rFonts w:ascii="Arial" w:cs="Arial" w:eastAsia="Arial" w:hAnsi="Arial"/>
                <w:sz w:val="14"/>
                <w:szCs w:val="14"/>
                <w:b w:val="1"/>
                <w:bCs w:val="1"/>
                <w:color w:val="0A9E50"/>
              </w:rPr>
              <w:t>Williams</w:t>
            </w:r>
          </w:p>
        </w:tc>
      </w:tr>
      <w:tr>
        <w:trPr>
          <w:trHeight w:val="192"/>
        </w:trPr>
        <w:tc>
          <w:tcPr>
            <w:tcW w:w="6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0A9E50"/>
              </w:rPr>
              <w:t>Event and Amounts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w w:val="93"/>
              </w:rPr>
              <w:t>($)</w:t>
            </w:r>
          </w:p>
        </w:tc>
        <w:tc>
          <w:tcPr>
            <w:tcW w:w="11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0A9E50"/>
                <w:w w:val="93"/>
              </w:rPr>
              <w:t>($)</w:t>
            </w:r>
          </w:p>
        </w:tc>
        <w:tc>
          <w:tcPr>
            <w:tcW w:w="11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0A9E50"/>
              </w:rPr>
              <w:t>($)</w:t>
            </w: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0A9E50"/>
              </w:rPr>
              <w:t>($)</w:t>
            </w:r>
          </w:p>
        </w:tc>
      </w:tr>
      <w:tr>
        <w:trPr>
          <w:trHeight w:val="246"/>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Involuntary Termination (For Cause)</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46"/>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38"/>
        </w:trPr>
        <w:tc>
          <w:tcPr>
            <w:tcW w:w="6040" w:type="dxa"/>
            <w:vAlign w:val="bottom"/>
          </w:tcPr>
          <w:p>
            <w:pPr>
              <w:ind w:left="60"/>
              <w:spacing w:after="0"/>
              <w:rPr>
                <w:sz w:val="20"/>
                <w:szCs w:val="20"/>
                <w:color w:val="auto"/>
              </w:rPr>
            </w:pPr>
            <w:r>
              <w:rPr>
                <w:rFonts w:ascii="Arial" w:cs="Arial" w:eastAsia="Arial" w:hAnsi="Arial"/>
                <w:sz w:val="16"/>
                <w:szCs w:val="16"/>
                <w:color w:val="auto"/>
              </w:rPr>
              <w:t>No other payments due</w:t>
            </w: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4"/>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46"/>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Voluntary Termination</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46"/>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38"/>
        </w:trPr>
        <w:tc>
          <w:tcPr>
            <w:tcW w:w="6040" w:type="dxa"/>
            <w:vAlign w:val="bottom"/>
          </w:tcPr>
          <w:p>
            <w:pPr>
              <w:ind w:left="60"/>
              <w:spacing w:after="0"/>
              <w:rPr>
                <w:sz w:val="20"/>
                <w:szCs w:val="20"/>
                <w:color w:val="auto"/>
              </w:rPr>
            </w:pPr>
            <w:r>
              <w:rPr>
                <w:rFonts w:ascii="Arial" w:cs="Arial" w:eastAsia="Arial" w:hAnsi="Arial"/>
                <w:sz w:val="16"/>
                <w:szCs w:val="16"/>
                <w:color w:val="auto"/>
              </w:rPr>
              <w:t>No other payments due</w:t>
            </w: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4"/>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46"/>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Death or Disability</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46"/>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Performance Shares (Equity-Based)</w:t>
            </w:r>
            <w:r>
              <w:rPr>
                <w:rFonts w:ascii="Arial" w:cs="Arial" w:eastAsia="Arial" w:hAnsi="Arial"/>
                <w:sz w:val="23"/>
                <w:szCs w:val="23"/>
                <w:color w:val="auto"/>
                <w:vertAlign w:val="superscript"/>
              </w:rPr>
              <w:t>(1)</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1,373,713</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612,149</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208,244</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271,742</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Restricted Shares</w:t>
            </w:r>
            <w:r>
              <w:rPr>
                <w:rFonts w:ascii="Arial" w:cs="Arial" w:eastAsia="Arial" w:hAnsi="Arial"/>
                <w:sz w:val="23"/>
                <w:szCs w:val="23"/>
                <w:color w:val="auto"/>
                <w:vertAlign w:val="superscript"/>
              </w:rPr>
              <w:t>(2)</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763,856</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473,932</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487,357</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185,369</w:t>
            </w:r>
          </w:p>
        </w:tc>
      </w:tr>
      <w:tr>
        <w:trPr>
          <w:trHeight w:val="246"/>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jc w:val="right"/>
              <w:ind w:right="83"/>
              <w:spacing w:after="0"/>
              <w:rPr>
                <w:sz w:val="20"/>
                <w:szCs w:val="20"/>
                <w:color w:val="auto"/>
              </w:rPr>
            </w:pPr>
            <w:r>
              <w:rPr>
                <w:rFonts w:ascii="Arial" w:cs="Arial" w:eastAsia="Arial" w:hAnsi="Arial"/>
                <w:sz w:val="16"/>
                <w:szCs w:val="16"/>
                <w:b w:val="1"/>
                <w:bCs w:val="1"/>
                <w:color w:val="auto"/>
              </w:rPr>
              <w:t>2,137,569</w:t>
            </w:r>
          </w:p>
        </w:tc>
        <w:tc>
          <w:tcPr>
            <w:tcW w:w="1100" w:type="dxa"/>
            <w:vAlign w:val="bottom"/>
          </w:tcPr>
          <w:p>
            <w:pPr>
              <w:jc w:val="right"/>
              <w:ind w:right="143"/>
              <w:spacing w:after="0"/>
              <w:rPr>
                <w:sz w:val="20"/>
                <w:szCs w:val="20"/>
                <w:color w:val="auto"/>
              </w:rPr>
            </w:pPr>
            <w:r>
              <w:rPr>
                <w:rFonts w:ascii="Arial" w:cs="Arial" w:eastAsia="Arial" w:hAnsi="Arial"/>
                <w:sz w:val="16"/>
                <w:szCs w:val="16"/>
                <w:b w:val="1"/>
                <w:bCs w:val="1"/>
                <w:color w:val="auto"/>
              </w:rPr>
              <w:t>1,086,081</w:t>
            </w:r>
          </w:p>
        </w:tc>
        <w:tc>
          <w:tcPr>
            <w:tcW w:w="1120" w:type="dxa"/>
            <w:vAlign w:val="bottom"/>
          </w:tcPr>
          <w:p>
            <w:pPr>
              <w:jc w:val="right"/>
              <w:ind w:right="123"/>
              <w:spacing w:after="0"/>
              <w:rPr>
                <w:sz w:val="20"/>
                <w:szCs w:val="20"/>
                <w:color w:val="auto"/>
              </w:rPr>
            </w:pPr>
            <w:r>
              <w:rPr>
                <w:rFonts w:ascii="Arial" w:cs="Arial" w:eastAsia="Arial" w:hAnsi="Arial"/>
                <w:sz w:val="16"/>
                <w:szCs w:val="16"/>
                <w:b w:val="1"/>
                <w:bCs w:val="1"/>
                <w:color w:val="auto"/>
              </w:rPr>
              <w:t>695,601</w:t>
            </w:r>
          </w:p>
        </w:tc>
        <w:tc>
          <w:tcPr>
            <w:tcW w:w="1180" w:type="dxa"/>
            <w:vAlign w:val="bottom"/>
          </w:tcPr>
          <w:p>
            <w:pPr>
              <w:jc w:val="right"/>
              <w:ind w:right="143"/>
              <w:spacing w:after="0"/>
              <w:rPr>
                <w:sz w:val="20"/>
                <w:szCs w:val="20"/>
                <w:color w:val="auto"/>
              </w:rPr>
            </w:pPr>
            <w:r>
              <w:rPr>
                <w:rFonts w:ascii="Arial" w:cs="Arial" w:eastAsia="Arial" w:hAnsi="Arial"/>
                <w:sz w:val="16"/>
                <w:szCs w:val="16"/>
                <w:b w:val="1"/>
                <w:bCs w:val="1"/>
                <w:color w:val="auto"/>
              </w:rPr>
              <w:t>457,111</w:t>
            </w:r>
          </w:p>
        </w:tc>
      </w:tr>
      <w:tr>
        <w:trPr>
          <w:trHeight w:val="46"/>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13"/>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Normal Retirement</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2"/>
        </w:trPr>
        <w:tc>
          <w:tcPr>
            <w:tcW w:w="6040" w:type="dxa"/>
            <w:vAlign w:val="bottom"/>
          </w:tcPr>
          <w:p>
            <w:pPr>
              <w:ind w:left="60"/>
              <w:spacing w:after="0" w:line="182" w:lineRule="exact"/>
              <w:rPr>
                <w:sz w:val="20"/>
                <w:szCs w:val="20"/>
                <w:color w:val="auto"/>
              </w:rPr>
            </w:pPr>
            <w:r>
              <w:rPr>
                <w:rFonts w:ascii="Arial" w:cs="Arial" w:eastAsia="Arial" w:hAnsi="Arial"/>
                <w:sz w:val="16"/>
                <w:szCs w:val="16"/>
                <w:b w:val="1"/>
                <w:bCs w:val="1"/>
                <w:color w:val="auto"/>
              </w:rPr>
              <w:t>(Age 62 and 5 Years of Service or any Combination of Age + Service &gt; 70 with</w:t>
            </w: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5"/>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Minimum Age of 60)</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6"/>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Performance Shares (Equity-Based)</w:t>
            </w:r>
            <w:r>
              <w:rPr>
                <w:rFonts w:ascii="Arial" w:cs="Arial" w:eastAsia="Arial" w:hAnsi="Arial"/>
                <w:sz w:val="23"/>
                <w:szCs w:val="23"/>
                <w:color w:val="auto"/>
                <w:vertAlign w:val="superscript"/>
              </w:rPr>
              <w:t>(1)</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1,373,713</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612,149</w:t>
            </w:r>
          </w:p>
        </w:tc>
        <w:tc>
          <w:tcPr>
            <w:tcW w:w="1120" w:type="dxa"/>
            <w:vAlign w:val="bottom"/>
            <w:tcBorders>
              <w:bottom w:val="single" w:sz="8" w:color="7F7F7F"/>
            </w:tcBorders>
          </w:tcPr>
          <w:p>
            <w:pPr>
              <w:jc w:val="right"/>
              <w:ind w:right="423"/>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7F7F7F"/>
            </w:tcBorders>
          </w:tcPr>
          <w:p>
            <w:pPr>
              <w:jc w:val="right"/>
              <w:ind w:right="463"/>
              <w:spacing w:after="0"/>
              <w:rPr>
                <w:sz w:val="20"/>
                <w:szCs w:val="20"/>
                <w:color w:val="auto"/>
              </w:rPr>
            </w:pPr>
            <w:r>
              <w:rPr>
                <w:rFonts w:ascii="Arial" w:cs="Arial" w:eastAsia="Arial" w:hAnsi="Arial"/>
                <w:sz w:val="16"/>
                <w:szCs w:val="16"/>
                <w:color w:val="auto"/>
              </w:rPr>
              <w:t>—</w:t>
            </w:r>
          </w:p>
        </w:tc>
      </w:tr>
      <w:tr>
        <w:trPr>
          <w:trHeight w:val="246"/>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Involuntary Termination (Not For Cause)</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46"/>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Cash Severance</w:t>
            </w:r>
            <w:r>
              <w:rPr>
                <w:rFonts w:ascii="Arial" w:cs="Arial" w:eastAsia="Arial" w:hAnsi="Arial"/>
                <w:sz w:val="23"/>
                <w:szCs w:val="23"/>
                <w:color w:val="auto"/>
                <w:vertAlign w:val="superscript"/>
              </w:rPr>
              <w:t>(3)</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1,800,000</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1,000,800</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557,668</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712,500</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Pro-Rated Annual Incentive</w:t>
            </w:r>
            <w:r>
              <w:rPr>
                <w:rFonts w:ascii="Arial" w:cs="Arial" w:eastAsia="Arial" w:hAnsi="Arial"/>
                <w:sz w:val="23"/>
                <w:szCs w:val="23"/>
                <w:color w:val="auto"/>
                <w:vertAlign w:val="superscript"/>
              </w:rPr>
              <w:t>(4)</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1,015,200</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533,093</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244,000</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325,000</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Performance Shares (Equity-Based)</w:t>
            </w:r>
            <w:r>
              <w:rPr>
                <w:rFonts w:ascii="Arial" w:cs="Arial" w:eastAsia="Arial" w:hAnsi="Arial"/>
                <w:sz w:val="23"/>
                <w:szCs w:val="23"/>
                <w:color w:val="auto"/>
                <w:vertAlign w:val="superscript"/>
              </w:rPr>
              <w:t>(1)</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994,390</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487,099</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163,447</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215,919</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Restricted Shares</w:t>
            </w:r>
            <w:r>
              <w:rPr>
                <w:rFonts w:ascii="Arial" w:cs="Arial" w:eastAsia="Arial" w:hAnsi="Arial"/>
                <w:sz w:val="23"/>
                <w:szCs w:val="23"/>
                <w:color w:val="auto"/>
                <w:vertAlign w:val="superscript"/>
              </w:rPr>
              <w:t>(2)</w:t>
            </w:r>
          </w:p>
        </w:tc>
        <w:tc>
          <w:tcPr>
            <w:tcW w:w="1180" w:type="dxa"/>
            <w:vAlign w:val="bottom"/>
            <w:tcBorders>
              <w:bottom w:val="single" w:sz="8" w:color="7F7F7F"/>
            </w:tcBorders>
          </w:tcPr>
          <w:p>
            <w:pPr>
              <w:jc w:val="right"/>
              <w:ind w:right="443"/>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7F7F7F"/>
            </w:tcBorders>
          </w:tcPr>
          <w:p>
            <w:pPr>
              <w:jc w:val="right"/>
              <w:ind w:right="463"/>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7F7F7F"/>
            </w:tcBorders>
          </w:tcPr>
          <w:p>
            <w:pPr>
              <w:jc w:val="right"/>
              <w:ind w:right="423"/>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7F7F7F"/>
            </w:tcBorders>
          </w:tcPr>
          <w:p>
            <w:pPr>
              <w:jc w:val="right"/>
              <w:ind w:right="463"/>
              <w:spacing w:after="0"/>
              <w:rPr>
                <w:sz w:val="20"/>
                <w:szCs w:val="20"/>
                <w:color w:val="auto"/>
              </w:rPr>
            </w:pPr>
            <w:r>
              <w:rPr>
                <w:rFonts w:ascii="Arial" w:cs="Arial" w:eastAsia="Arial" w:hAnsi="Arial"/>
                <w:sz w:val="16"/>
                <w:szCs w:val="16"/>
                <w:color w:val="auto"/>
              </w:rPr>
              <w:t>—</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Benefits Continuation</w:t>
            </w:r>
            <w:r>
              <w:rPr>
                <w:rFonts w:ascii="Arial" w:cs="Arial" w:eastAsia="Arial" w:hAnsi="Arial"/>
                <w:sz w:val="23"/>
                <w:szCs w:val="23"/>
                <w:color w:val="auto"/>
                <w:vertAlign w:val="superscript"/>
              </w:rPr>
              <w:t>(5)</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20,497</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56,681</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6,666</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20,659</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Outplacement Services</w:t>
            </w:r>
            <w:r>
              <w:rPr>
                <w:rFonts w:ascii="Arial" w:cs="Arial" w:eastAsia="Arial" w:hAnsi="Arial"/>
                <w:sz w:val="23"/>
                <w:szCs w:val="23"/>
                <w:color w:val="auto"/>
                <w:vertAlign w:val="superscript"/>
              </w:rPr>
              <w:t>(6)</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10,000</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10,000</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10,000</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10,000</w:t>
            </w:r>
          </w:p>
        </w:tc>
      </w:tr>
      <w:tr>
        <w:trPr>
          <w:trHeight w:val="246"/>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jc w:val="right"/>
              <w:ind w:right="83"/>
              <w:spacing w:after="0"/>
              <w:rPr>
                <w:sz w:val="20"/>
                <w:szCs w:val="20"/>
                <w:color w:val="auto"/>
              </w:rPr>
            </w:pPr>
            <w:r>
              <w:rPr>
                <w:rFonts w:ascii="Arial" w:cs="Arial" w:eastAsia="Arial" w:hAnsi="Arial"/>
                <w:sz w:val="16"/>
                <w:szCs w:val="16"/>
                <w:b w:val="1"/>
                <w:bCs w:val="1"/>
                <w:color w:val="auto"/>
              </w:rPr>
              <w:t>3,840,088</w:t>
            </w:r>
          </w:p>
        </w:tc>
        <w:tc>
          <w:tcPr>
            <w:tcW w:w="1100" w:type="dxa"/>
            <w:vAlign w:val="bottom"/>
          </w:tcPr>
          <w:p>
            <w:pPr>
              <w:jc w:val="right"/>
              <w:ind w:right="143"/>
              <w:spacing w:after="0"/>
              <w:rPr>
                <w:sz w:val="20"/>
                <w:szCs w:val="20"/>
                <w:color w:val="auto"/>
              </w:rPr>
            </w:pPr>
            <w:r>
              <w:rPr>
                <w:rFonts w:ascii="Arial" w:cs="Arial" w:eastAsia="Arial" w:hAnsi="Arial"/>
                <w:sz w:val="16"/>
                <w:szCs w:val="16"/>
                <w:b w:val="1"/>
                <w:bCs w:val="1"/>
                <w:color w:val="auto"/>
              </w:rPr>
              <w:t>2,087,672</w:t>
            </w:r>
          </w:p>
        </w:tc>
        <w:tc>
          <w:tcPr>
            <w:tcW w:w="1120" w:type="dxa"/>
            <w:vAlign w:val="bottom"/>
          </w:tcPr>
          <w:p>
            <w:pPr>
              <w:jc w:val="right"/>
              <w:ind w:right="123"/>
              <w:spacing w:after="0"/>
              <w:rPr>
                <w:sz w:val="20"/>
                <w:szCs w:val="20"/>
                <w:color w:val="auto"/>
              </w:rPr>
            </w:pPr>
            <w:r>
              <w:rPr>
                <w:rFonts w:ascii="Arial" w:cs="Arial" w:eastAsia="Arial" w:hAnsi="Arial"/>
                <w:sz w:val="16"/>
                <w:szCs w:val="16"/>
                <w:b w:val="1"/>
                <w:bCs w:val="1"/>
                <w:color w:val="auto"/>
              </w:rPr>
              <w:t>981,781</w:t>
            </w:r>
          </w:p>
        </w:tc>
        <w:tc>
          <w:tcPr>
            <w:tcW w:w="1180" w:type="dxa"/>
            <w:vAlign w:val="bottom"/>
          </w:tcPr>
          <w:p>
            <w:pPr>
              <w:jc w:val="right"/>
              <w:ind w:right="143"/>
              <w:spacing w:after="0"/>
              <w:rPr>
                <w:sz w:val="20"/>
                <w:szCs w:val="20"/>
                <w:color w:val="auto"/>
              </w:rPr>
            </w:pPr>
            <w:r>
              <w:rPr>
                <w:rFonts w:ascii="Arial" w:cs="Arial" w:eastAsia="Arial" w:hAnsi="Arial"/>
                <w:sz w:val="16"/>
                <w:szCs w:val="16"/>
                <w:b w:val="1"/>
                <w:bCs w:val="1"/>
                <w:color w:val="auto"/>
              </w:rPr>
              <w:t>1,284,078</w:t>
            </w:r>
          </w:p>
        </w:tc>
      </w:tr>
      <w:tr>
        <w:trPr>
          <w:trHeight w:val="46"/>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13"/>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Termination in Connection with a Change In Control</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(For Good Reason or Not For Cause)</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6"/>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Cash Severance</w:t>
            </w:r>
            <w:r>
              <w:rPr>
                <w:rFonts w:ascii="Arial" w:cs="Arial" w:eastAsia="Arial" w:hAnsi="Arial"/>
                <w:sz w:val="23"/>
                <w:szCs w:val="23"/>
                <w:color w:val="auto"/>
                <w:vertAlign w:val="superscript"/>
              </w:rPr>
              <w:t>(3)</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3,960,000</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1,851,480</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686,650</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1,175,625</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Pro-Rated Annual Incentive</w:t>
            </w:r>
            <w:r>
              <w:rPr>
                <w:rFonts w:ascii="Arial" w:cs="Arial" w:eastAsia="Arial" w:hAnsi="Arial"/>
                <w:sz w:val="23"/>
                <w:szCs w:val="23"/>
                <w:color w:val="auto"/>
                <w:vertAlign w:val="superscript"/>
              </w:rPr>
              <w:t>(4)</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1,080,000</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567,120</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243,650</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308,750</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Performance Shares (Equity-Based)</w:t>
            </w:r>
            <w:r>
              <w:rPr>
                <w:rFonts w:ascii="Arial" w:cs="Arial" w:eastAsia="Arial" w:hAnsi="Arial"/>
                <w:sz w:val="23"/>
                <w:szCs w:val="23"/>
                <w:color w:val="auto"/>
                <w:vertAlign w:val="superscript"/>
              </w:rPr>
              <w:t>(1)</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3,349,868</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1,331,446</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462,279</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597,901</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Restricted Shares</w:t>
            </w:r>
            <w:r>
              <w:rPr>
                <w:rFonts w:ascii="Arial" w:cs="Arial" w:eastAsia="Arial" w:hAnsi="Arial"/>
                <w:sz w:val="23"/>
                <w:szCs w:val="23"/>
                <w:color w:val="auto"/>
                <w:vertAlign w:val="superscript"/>
              </w:rPr>
              <w:t>(2)</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2,429,548</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1,559,926</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1,109,646</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627,759</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Benefits Continuation</w:t>
            </w:r>
            <w:r>
              <w:rPr>
                <w:rFonts w:ascii="Arial" w:cs="Arial" w:eastAsia="Arial" w:hAnsi="Arial"/>
                <w:sz w:val="23"/>
                <w:szCs w:val="23"/>
                <w:color w:val="auto"/>
                <w:vertAlign w:val="superscript"/>
              </w:rPr>
              <w:t>(5)</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20,497</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56,681</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6,666</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20,659</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Outplacement Services</w:t>
            </w:r>
            <w:r>
              <w:rPr>
                <w:rFonts w:ascii="Arial" w:cs="Arial" w:eastAsia="Arial" w:hAnsi="Arial"/>
                <w:sz w:val="23"/>
                <w:szCs w:val="23"/>
                <w:color w:val="auto"/>
                <w:vertAlign w:val="superscript"/>
              </w:rPr>
              <w:t>(6)</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10,000</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10,000</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10,000</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10,000</w:t>
            </w:r>
          </w:p>
        </w:tc>
      </w:tr>
      <w:tr>
        <w:trPr>
          <w:trHeight w:val="246"/>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jc w:val="right"/>
              <w:ind w:right="83"/>
              <w:spacing w:after="0"/>
              <w:rPr>
                <w:sz w:val="20"/>
                <w:szCs w:val="20"/>
                <w:color w:val="auto"/>
              </w:rPr>
            </w:pPr>
            <w:r>
              <w:rPr>
                <w:rFonts w:ascii="Arial" w:cs="Arial" w:eastAsia="Arial" w:hAnsi="Arial"/>
                <w:sz w:val="16"/>
                <w:szCs w:val="16"/>
                <w:b w:val="1"/>
                <w:bCs w:val="1"/>
                <w:color w:val="auto"/>
              </w:rPr>
              <w:t>10,849,913</w:t>
            </w:r>
          </w:p>
        </w:tc>
        <w:tc>
          <w:tcPr>
            <w:tcW w:w="1100" w:type="dxa"/>
            <w:vAlign w:val="bottom"/>
          </w:tcPr>
          <w:p>
            <w:pPr>
              <w:jc w:val="right"/>
              <w:ind w:right="143"/>
              <w:spacing w:after="0"/>
              <w:rPr>
                <w:sz w:val="20"/>
                <w:szCs w:val="20"/>
                <w:color w:val="auto"/>
              </w:rPr>
            </w:pPr>
            <w:r>
              <w:rPr>
                <w:rFonts w:ascii="Arial" w:cs="Arial" w:eastAsia="Arial" w:hAnsi="Arial"/>
                <w:sz w:val="16"/>
                <w:szCs w:val="16"/>
                <w:b w:val="1"/>
                <w:bCs w:val="1"/>
                <w:color w:val="auto"/>
              </w:rPr>
              <w:t>5,376,653</w:t>
            </w:r>
          </w:p>
        </w:tc>
        <w:tc>
          <w:tcPr>
            <w:tcW w:w="1120" w:type="dxa"/>
            <w:vAlign w:val="bottom"/>
          </w:tcPr>
          <w:p>
            <w:pPr>
              <w:jc w:val="right"/>
              <w:ind w:right="123"/>
              <w:spacing w:after="0"/>
              <w:rPr>
                <w:sz w:val="20"/>
                <w:szCs w:val="20"/>
                <w:color w:val="auto"/>
              </w:rPr>
            </w:pPr>
            <w:r>
              <w:rPr>
                <w:rFonts w:ascii="Arial" w:cs="Arial" w:eastAsia="Arial" w:hAnsi="Arial"/>
                <w:sz w:val="16"/>
                <w:szCs w:val="16"/>
                <w:b w:val="1"/>
                <w:bCs w:val="1"/>
                <w:color w:val="auto"/>
              </w:rPr>
              <w:t>2,518,891</w:t>
            </w:r>
          </w:p>
        </w:tc>
        <w:tc>
          <w:tcPr>
            <w:tcW w:w="1180" w:type="dxa"/>
            <w:vAlign w:val="bottom"/>
          </w:tcPr>
          <w:p>
            <w:pPr>
              <w:jc w:val="right"/>
              <w:ind w:right="143"/>
              <w:spacing w:after="0"/>
              <w:rPr>
                <w:sz w:val="20"/>
                <w:szCs w:val="20"/>
                <w:color w:val="auto"/>
              </w:rPr>
            </w:pPr>
            <w:r>
              <w:rPr>
                <w:rFonts w:ascii="Arial" w:cs="Arial" w:eastAsia="Arial" w:hAnsi="Arial"/>
                <w:sz w:val="16"/>
                <w:szCs w:val="16"/>
                <w:b w:val="1"/>
                <w:bCs w:val="1"/>
                <w:color w:val="auto"/>
              </w:rPr>
              <w:t>2,740,694</w:t>
            </w:r>
          </w:p>
        </w:tc>
      </w:tr>
      <w:tr>
        <w:trPr>
          <w:trHeight w:val="46"/>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bl>
    <w:p>
      <w:pPr>
        <w:spacing w:after="0" w:line="99" w:lineRule="exact"/>
        <w:rPr>
          <w:sz w:val="20"/>
          <w:szCs w:val="20"/>
          <w:color w:val="auto"/>
        </w:rPr>
      </w:pPr>
    </w:p>
    <w:p>
      <w:pPr>
        <w:ind w:left="620" w:right="120" w:hanging="304"/>
        <w:spacing w:after="0" w:line="231" w:lineRule="auto"/>
        <w:tabs>
          <w:tab w:leader="none" w:pos="6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 the event of a named executive officer’s termination of employment due to disability, death, normal retirement (defined as age 62 with five years of service or any combination of age + service = 70 with a minimum age of 60), or termination by the Company without Cause, at the end of the performance period and following approval by the Compensation and Talent Management Committee, the named executive officer (or the named executive officer’s beneficiary) would receive a pro rata portion of the equity-based Performance Award that would have otherwise vested if employment had continued until the end of the performance period, based on the portion of the performance period that the officer was employed and based on the performance level achieved. Amounts shown for termination due to death or disability, reflect actual shares earned for the 2021 Year 1, Year 2 and Year 3, 2022 Year 1 and Year 2, and 2023 Year 1 PSU grants. For termination by the Company without Cause, the named executive officer must have been employed for at least one year following the date of each grant in order to be eligible to receive prorated performance shares. Upon a Change in Control, if awards are not assumed, converted, or replaced by the resulting entity, all vesting restrictions on outstanding Performance Awards shall lapse, with any applicable performance goals deemed to be satisfied as if “target” performance had been achieved and all such Awards become fully vested and exercisable, effective as of the date of such Change in Control. The value under the pro rata settlement or Change in Control settlement (assuming the December 29, 2023 stock value of $21.62) is shown in the table.</w:t>
      </w:r>
    </w:p>
    <w:p>
      <w:pPr>
        <w:spacing w:after="0" w:line="2" w:lineRule="exact"/>
        <w:rPr>
          <w:rFonts w:ascii="Arial" w:cs="Arial" w:eastAsia="Arial" w:hAnsi="Arial"/>
          <w:sz w:val="12"/>
          <w:szCs w:val="12"/>
          <w:color w:val="auto"/>
        </w:rPr>
      </w:pPr>
    </w:p>
    <w:p>
      <w:pPr>
        <w:ind w:left="9380" w:hanging="281"/>
        <w:spacing w:after="0"/>
        <w:tabs>
          <w:tab w:leader="none" w:pos="9380" w:val="left"/>
        </w:tabs>
        <w:numPr>
          <w:ilvl w:val="1"/>
          <w:numId w:val="48"/>
        </w:numPr>
        <w:rPr>
          <w:rFonts w:ascii="Arial" w:cs="Arial" w:eastAsia="Arial" w:hAnsi="Arial"/>
          <w:sz w:val="21"/>
          <w:szCs w:val="21"/>
          <w:color w:val="auto"/>
          <w:vertAlign w:val="subscript"/>
        </w:rPr>
      </w:pPr>
      <w:r>
        <w:rPr>
          <w:sz w:val="1"/>
          <w:szCs w:val="1"/>
          <w:color w:val="auto"/>
        </w:rPr>
        <w:drawing>
          <wp:inline distT="0" distB="0" distL="0" distR="0">
            <wp:extent cx="396240" cy="189865"/>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1"/>
          <w:szCs w:val="21"/>
          <w:color w:val="auto"/>
          <w:vertAlign w:val="subscript"/>
        </w:rPr>
        <w:t xml:space="preserve">    </w:t>
      </w:r>
      <w:r>
        <w:rPr>
          <w:rFonts w:ascii="Arial" w:cs="Arial" w:eastAsia="Arial" w:hAnsi="Arial"/>
          <w:sz w:val="21"/>
          <w:szCs w:val="21"/>
          <w:color w:val="auto"/>
        </w:rPr>
        <w:t>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-134620</wp:posOffset>
            </wp:positionV>
            <wp:extent cx="8255" cy="2228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2023 Executive Compensation Tables</w:t>
      </w:r>
    </w:p>
    <w:p>
      <w:pPr>
        <w:spacing w:after="0" w:line="132" w:lineRule="exact"/>
        <w:rPr>
          <w:sz w:val="20"/>
          <w:szCs w:val="20"/>
          <w:color w:val="auto"/>
        </w:rPr>
      </w:pPr>
    </w:p>
    <w:p>
      <w:pPr>
        <w:ind w:left="620" w:right="120" w:hanging="304"/>
        <w:spacing w:after="0" w:line="234" w:lineRule="auto"/>
        <w:tabs>
          <w:tab w:leader="none" w:pos="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 the event of a named executive officer’s termination of employment due to disability or death, the named executive officer (or the named executive officer’s beneficiary) would receive a pro rata settlement of unvested restricted shares outstanding at the time of termination. For each grant of restricted stock awards/units, the number of shares settled would equal the total number of restricted shares originally granted times the ratio of days employed since the grant date divided by total number of days in the vesting period less the number of restricted shares already settled on the anniversary dates of the grant. Upon a Change in Control, if awards are not assumed, converted, or replaced by the resulting entity, all vesting restrictions on outstanding Restricted Share awards/units shall lapse, and all such Awards become fully vested and exercisable, effective as of the date of such Change in Control. The value under the prorated settlement or Change in Control settlement (assuming the December 29, 2023 stock value of $21.62) is shown in the table.</w:t>
      </w:r>
    </w:p>
    <w:p>
      <w:pPr>
        <w:spacing w:after="0" w:line="51" w:lineRule="exact"/>
        <w:rPr>
          <w:rFonts w:ascii="Arial" w:cs="Arial" w:eastAsia="Arial" w:hAnsi="Arial"/>
          <w:sz w:val="12"/>
          <w:szCs w:val="12"/>
          <w:color w:val="auto"/>
        </w:rPr>
      </w:pPr>
    </w:p>
    <w:p>
      <w:pPr>
        <w:ind w:left="620" w:right="20" w:hanging="304"/>
        <w:spacing w:after="0" w:line="234" w:lineRule="auto"/>
        <w:tabs>
          <w:tab w:leader="none" w:pos="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Per the Severance Plan, for involuntary termination by the Company without cause, the value of cash severance includes base salary continuation for Mr. Quigley for 24 months, Ms. Williams for 18 months, and Mr. Malan for 12 months. For payments under Change in Control, with qualifying termination, Mr. Quigley would receive a lump sum payment equal to 2 times the sum of his annual base salary and target annual incentive; Ms. Williams would receive a lump sum payment equal to 1.5 times the sum of base salary and target annual incentive; and Mr. Malan would receive a lumpsum payment equal to one time the sum of base salary and target annual incentive. Per Mr. Thirot’s Swiss employment agreement, for involuntary termination by the Company without cause, the value of cash severance includes base salary continuation for Mr. Thirot for 18 months. For payments under Change in Control, with qualifying termination, Mr. Thirot would receive a lump sum payment equal to 1.5 times the sum of base salary and target annual incentive</w:t>
      </w:r>
    </w:p>
    <w:p>
      <w:pPr>
        <w:spacing w:after="0" w:line="51" w:lineRule="exact"/>
        <w:rPr>
          <w:rFonts w:ascii="Arial" w:cs="Arial" w:eastAsia="Arial" w:hAnsi="Arial"/>
          <w:sz w:val="12"/>
          <w:szCs w:val="12"/>
          <w:color w:val="auto"/>
        </w:rPr>
      </w:pPr>
    </w:p>
    <w:p>
      <w:pPr>
        <w:ind w:left="620" w:right="20" w:hanging="304"/>
        <w:spacing w:after="0" w:line="236" w:lineRule="auto"/>
        <w:tabs>
          <w:tab w:leader="none" w:pos="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 the event of an involuntary termination by the Company without cause and not in connection with a change in control, Messrs. Quigley and Malan, and Ms. Williams were eligible to receive a pro rata portion of their annual Incentive Compensation for such fiscal year, based on the actual performance results for such year. In the event of an involuntary termination by the Company without cause or termination by the named executive officer for good reason, either occurring in connection with a change in control, Messrs. Quigley, Thirot, and Malan and Ms. Williams were eligible to receive a pro rata portion of their annual Incentive Compensation for such fiscal year, paid at the target level. The value of pro rata target incentive with respect to year of termination represents the calculated target incentive for the named executive officers if they had terminated on December 31, 2024.</w:t>
      </w:r>
    </w:p>
    <w:p>
      <w:pPr>
        <w:spacing w:after="0" w:line="50" w:lineRule="exact"/>
        <w:rPr>
          <w:rFonts w:ascii="Arial" w:cs="Arial" w:eastAsia="Arial" w:hAnsi="Arial"/>
          <w:sz w:val="12"/>
          <w:szCs w:val="12"/>
          <w:color w:val="auto"/>
        </w:rPr>
      </w:pPr>
    </w:p>
    <w:p>
      <w:pPr>
        <w:ind w:left="620" w:right="20" w:hanging="304"/>
        <w:spacing w:after="0" w:line="239" w:lineRule="auto"/>
        <w:tabs>
          <w:tab w:leader="none" w:pos="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value of the health care benefit provided is calculated as the Company-paid portion of the medical plan cost, times the number of months eligible according to the applicable severance plan. Coverage can include medical, dental, and vision (assumes no change in Health Plan or coverage type) and assumes a 10% health care coverage cost increase in second year (as applicable). Named executive officers participating in the Senior Executive Severance Plan continue to pay the employee rate for COBRA coverage during the severance period. For Mr. Thirot, amounts in this column include continuation of pension contributions.</w:t>
      </w:r>
    </w:p>
    <w:p>
      <w:pPr>
        <w:spacing w:after="0" w:line="48" w:lineRule="exact"/>
        <w:rPr>
          <w:rFonts w:ascii="Arial" w:cs="Arial" w:eastAsia="Arial" w:hAnsi="Arial"/>
          <w:sz w:val="12"/>
          <w:szCs w:val="12"/>
          <w:color w:val="auto"/>
        </w:rPr>
      </w:pPr>
    </w:p>
    <w:p>
      <w:pPr>
        <w:ind w:left="620" w:right="80" w:hanging="304"/>
        <w:spacing w:after="0" w:line="264" w:lineRule="auto"/>
        <w:tabs>
          <w:tab w:leader="none" w:pos="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Represents the maximum allowed benefit for reimbursement of outplacement services for participants in the applicable Severance Plan. Mr. Thirot are eligible for outplacement services under the terms of their employment agreements and the amount shown represents the maximum allowed benefit.</w:t>
      </w:r>
    </w:p>
    <w:p>
      <w:pPr>
        <w:spacing w:after="0" w:line="40" w:lineRule="exact"/>
        <w:rPr>
          <w:sz w:val="20"/>
          <w:szCs w:val="20"/>
          <w:color w:val="auto"/>
        </w:rPr>
      </w:pPr>
    </w:p>
    <w:p>
      <w:pPr>
        <w:ind w:left="320"/>
        <w:spacing w:after="0" w:line="246" w:lineRule="auto"/>
        <w:rPr>
          <w:sz w:val="20"/>
          <w:szCs w:val="20"/>
          <w:color w:val="auto"/>
        </w:rPr>
      </w:pPr>
      <w:r>
        <w:rPr>
          <w:rFonts w:ascii="Arial" w:cs="Arial" w:eastAsia="Arial" w:hAnsi="Arial"/>
          <w:sz w:val="16"/>
          <w:szCs w:val="16"/>
          <w:color w:val="auto"/>
        </w:rPr>
        <w:t>The named executive officers would also be entitled to the vested benefits included in the Outstanding Equity Awards at Fiscal Year-End table and the Nonqualified Deferred Compensation table. In addition, the amounts shown in the table above do not include payments and benefits to the extent they are provided on a non-discriminatory basis to salaried employees generally upon termination of employment or certain types of termination of employment. These include accrued salary and vacation pay, and life insurance benefits.</w:t>
      </w:r>
    </w:p>
    <w:p>
      <w:pPr>
        <w:spacing w:after="0" w:line="39" w:lineRule="exact"/>
        <w:rPr>
          <w:sz w:val="20"/>
          <w:szCs w:val="20"/>
          <w:color w:val="auto"/>
        </w:rPr>
      </w:pPr>
    </w:p>
    <w:p>
      <w:pPr>
        <w:ind w:left="320" w:right="160"/>
        <w:spacing w:after="0" w:line="244" w:lineRule="auto"/>
        <w:rPr>
          <w:sz w:val="20"/>
          <w:szCs w:val="20"/>
          <w:color w:val="auto"/>
        </w:rPr>
      </w:pPr>
      <w:r>
        <w:rPr>
          <w:rFonts w:ascii="Arial" w:cs="Arial" w:eastAsia="Arial" w:hAnsi="Arial"/>
          <w:sz w:val="16"/>
          <w:szCs w:val="16"/>
          <w:color w:val="auto"/>
        </w:rPr>
        <w:t>As part of the completion of the sale of our EMEA staffing operations, Ms. Koolhaas entered into a Termination Agreement, terminating her employment contract with Kelly Services OCG (the “Termination Agreement” filed January 8, 2024) as of March 31, 2024. Under the terms of the Termination Agreement, Ms. Koolhaas was entitled to a severance benefit equal to 12 months of base compensation, 100% of annual incentive compensation at target and certain other benefits. In addition, in exchange for Ms. Koolhaas’ assistance in supporting the preparation for and completion of the sale transaction, she received payment equal to 1% of the Purchase Price as defined in the Transaction Agreement.</w:t>
      </w:r>
    </w:p>
    <w:p>
      <w:pPr>
        <w:spacing w:after="0" w:line="56"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72 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20"/>
          </w:cols>
          <w:pgMar w:left="320" w:top="471" w:right="6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CEO Pay Ratio</w:t>
      </w:r>
    </w:p>
    <w:p>
      <w:pPr>
        <w:spacing w:after="0" w:line="336" w:lineRule="exact"/>
        <w:rPr>
          <w:sz w:val="20"/>
          <w:szCs w:val="20"/>
          <w:color w:val="auto"/>
        </w:rPr>
      </w:pPr>
    </w:p>
    <w:p>
      <w:pPr>
        <w:ind w:left="320"/>
        <w:spacing w:after="0" w:line="251" w:lineRule="auto"/>
        <w:rPr>
          <w:sz w:val="20"/>
          <w:szCs w:val="20"/>
          <w:color w:val="auto"/>
        </w:rPr>
      </w:pPr>
      <w:r>
        <w:rPr>
          <w:rFonts w:ascii="Arial" w:cs="Arial" w:eastAsia="Arial" w:hAnsi="Arial"/>
          <w:sz w:val="16"/>
          <w:szCs w:val="16"/>
          <w:color w:val="auto"/>
        </w:rPr>
        <w:t>As required by Section 953(b) of the Dodd-Frank Act, we are providing the following information about the relationship of the annual total compensation of our employees and the annual total compensation of our CEO. The pay ratio included in this information is a reasonable estimate calculated in a manner that is intended to be consistent with Item 402(u) of Regulation S-K.</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fiscal 2023, our last completed fiscal year, our methodology and finding details are as follows: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Methodology</w:t>
      </w:r>
    </w:p>
    <w:p>
      <w:pPr>
        <w:spacing w:after="0" w:line="45" w:lineRule="exact"/>
        <w:rPr>
          <w:sz w:val="20"/>
          <w:szCs w:val="20"/>
          <w:color w:val="auto"/>
        </w:rPr>
      </w:pPr>
    </w:p>
    <w:p>
      <w:pPr>
        <w:ind w:left="520" w:hanging="204"/>
        <w:spacing w:after="0"/>
        <w:tabs>
          <w:tab w:leader="none" w:pos="520" w:val="left"/>
        </w:tabs>
        <w:numPr>
          <w:ilvl w:val="0"/>
          <w:numId w:val="50"/>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We selected October 31, 2023, as the date we would use to identify our median employee;</w:t>
      </w:r>
    </w:p>
    <w:p>
      <w:pPr>
        <w:spacing w:after="0" w:line="107" w:lineRule="exact"/>
        <w:rPr>
          <w:rFonts w:ascii="Times New Roman" w:cs="Times New Roman" w:eastAsia="Times New Roman" w:hAnsi="Times New Roman"/>
          <w:sz w:val="24"/>
          <w:szCs w:val="24"/>
          <w:color w:val="0A9E50"/>
          <w:vertAlign w:val="superscript"/>
        </w:rPr>
      </w:pPr>
    </w:p>
    <w:p>
      <w:pPr>
        <w:ind w:left="520" w:hanging="204"/>
        <w:spacing w:after="0" w:line="181" w:lineRule="auto"/>
        <w:tabs>
          <w:tab w:leader="none" w:pos="520" w:val="left"/>
        </w:tabs>
        <w:numPr>
          <w:ilvl w:val="0"/>
          <w:numId w:val="50"/>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as of October 31, 2023, our employee population totaled 103,850 and consisted of all active regular and temporary employees;</w:t>
      </w:r>
    </w:p>
    <w:p>
      <w:pPr>
        <w:spacing w:after="0" w:line="108" w:lineRule="exact"/>
        <w:rPr>
          <w:rFonts w:ascii="Times New Roman" w:cs="Times New Roman" w:eastAsia="Times New Roman" w:hAnsi="Times New Roman"/>
          <w:sz w:val="22"/>
          <w:szCs w:val="22"/>
          <w:color w:val="0A9E50"/>
          <w:vertAlign w:val="superscript"/>
        </w:rPr>
      </w:pPr>
    </w:p>
    <w:p>
      <w:pPr>
        <w:ind w:left="840" w:right="240" w:hanging="316"/>
        <w:spacing w:after="0" w:line="247" w:lineRule="auto"/>
        <w:tabs>
          <w:tab w:leader="none" w:pos="8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about 94% are temporary employees who work anywhere from one week to fifty-two weeks in a calendar year, with approximately 26% located outside of the U.S and Canada;</w:t>
      </w:r>
    </w:p>
    <w:p>
      <w:pPr>
        <w:spacing w:after="0" w:line="88" w:lineRule="exact"/>
        <w:rPr>
          <w:rFonts w:ascii="Arial" w:cs="Arial" w:eastAsia="Arial" w:hAnsi="Arial"/>
          <w:sz w:val="16"/>
          <w:szCs w:val="16"/>
          <w:color w:val="auto"/>
        </w:rPr>
      </w:pPr>
    </w:p>
    <w:p>
      <w:pPr>
        <w:ind w:left="840" w:hanging="316"/>
        <w:spacing w:after="0"/>
        <w:tabs>
          <w:tab w:leader="none" w:pos="8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for 2023, we did utilize the De Minimis 5% Exemption and excluded the employees from Luxemburg;</w:t>
      </w:r>
    </w:p>
    <w:p>
      <w:pPr>
        <w:spacing w:after="0" w:line="44" w:lineRule="exact"/>
        <w:rPr>
          <w:rFonts w:ascii="Arial" w:cs="Arial" w:eastAsia="Arial" w:hAnsi="Arial"/>
          <w:sz w:val="16"/>
          <w:szCs w:val="16"/>
          <w:color w:val="auto"/>
        </w:rPr>
      </w:pPr>
    </w:p>
    <w:p>
      <w:pPr>
        <w:ind w:left="520" w:hanging="204"/>
        <w:spacing w:after="0"/>
        <w:tabs>
          <w:tab w:leader="none" w:pos="520" w:val="left"/>
        </w:tabs>
        <w:numPr>
          <w:ilvl w:val="0"/>
          <w:numId w:val="50"/>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employee compensation outside the U.S. was converted to U.S. dollars using the Company’s 2023 budgeted exchange rates.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Findings</w:t>
      </w:r>
    </w:p>
    <w:p>
      <w:pPr>
        <w:spacing w:after="0" w:line="45" w:lineRule="exact"/>
        <w:rPr>
          <w:sz w:val="20"/>
          <w:szCs w:val="20"/>
          <w:color w:val="auto"/>
        </w:rPr>
      </w:pPr>
    </w:p>
    <w:p>
      <w:pPr>
        <w:ind w:left="520" w:hanging="204"/>
        <w:spacing w:after="0"/>
        <w:tabs>
          <w:tab w:leader="none" w:pos="520" w:val="left"/>
        </w:tabs>
        <w:numPr>
          <w:ilvl w:val="0"/>
          <w:numId w:val="5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The median of the annual total compensation of all employees of our company (other than our CEO), was $12,673;</w:t>
      </w:r>
    </w:p>
    <w:p>
      <w:pPr>
        <w:spacing w:after="0" w:line="107" w:lineRule="exact"/>
        <w:rPr>
          <w:rFonts w:ascii="Times New Roman" w:cs="Times New Roman" w:eastAsia="Times New Roman" w:hAnsi="Times New Roman"/>
          <w:sz w:val="24"/>
          <w:szCs w:val="24"/>
          <w:color w:val="0A9E50"/>
          <w:vertAlign w:val="superscript"/>
        </w:rPr>
      </w:pPr>
    </w:p>
    <w:p>
      <w:pPr>
        <w:ind w:left="520" w:hanging="204"/>
        <w:spacing w:after="0" w:line="181" w:lineRule="auto"/>
        <w:tabs>
          <w:tab w:leader="none" w:pos="520" w:val="left"/>
        </w:tabs>
        <w:numPr>
          <w:ilvl w:val="0"/>
          <w:numId w:val="51"/>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the annualized total compensation of our CEO, was $4,163,424; and</w:t>
      </w:r>
    </w:p>
    <w:p>
      <w:pPr>
        <w:spacing w:after="0" w:line="108" w:lineRule="exact"/>
        <w:rPr>
          <w:rFonts w:ascii="Times New Roman" w:cs="Times New Roman" w:eastAsia="Times New Roman" w:hAnsi="Times New Roman"/>
          <w:sz w:val="22"/>
          <w:szCs w:val="22"/>
          <w:color w:val="0A9E50"/>
          <w:vertAlign w:val="superscript"/>
        </w:rPr>
      </w:pPr>
    </w:p>
    <w:p>
      <w:pPr>
        <w:ind w:left="520" w:right="200" w:hanging="204"/>
        <w:spacing w:after="0" w:line="194" w:lineRule="auto"/>
        <w:tabs>
          <w:tab w:leader="none" w:pos="520" w:val="left"/>
        </w:tabs>
        <w:numPr>
          <w:ilvl w:val="0"/>
          <w:numId w:val="5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based on this information, the ratio of the annual total compensation for our CEO to the median of the annual total compensation of all employees is 329 to 1;</w:t>
      </w:r>
    </w:p>
    <w:p>
      <w:pPr>
        <w:spacing w:after="0" w:line="24" w:lineRule="exact"/>
        <w:rPr>
          <w:rFonts w:ascii="Times New Roman" w:cs="Times New Roman" w:eastAsia="Times New Roman" w:hAnsi="Times New Roman"/>
          <w:sz w:val="24"/>
          <w:szCs w:val="24"/>
          <w:color w:val="0A9E50"/>
          <w:vertAlign w:val="superscript"/>
        </w:rPr>
      </w:pPr>
    </w:p>
    <w:p>
      <w:pPr>
        <w:ind w:left="520" w:hanging="204"/>
        <w:spacing w:after="0"/>
        <w:tabs>
          <w:tab w:leader="none" w:pos="520" w:val="left"/>
        </w:tabs>
        <w:numPr>
          <w:ilvl w:val="0"/>
          <w:numId w:val="5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our median employee was a temporary employee located in the U.S. and worked approximately twenty-three weeks during 2023.</w:t>
      </w:r>
    </w:p>
    <w:p>
      <w:pPr>
        <w:spacing w:after="0" w:line="109" w:lineRule="exact"/>
        <w:rPr>
          <w:rFonts w:ascii="Times New Roman" w:cs="Times New Roman" w:eastAsia="Times New Roman" w:hAnsi="Times New Roman"/>
          <w:sz w:val="24"/>
          <w:szCs w:val="24"/>
          <w:color w:val="0A9E50"/>
          <w:vertAlign w:val="superscript"/>
        </w:rPr>
      </w:pPr>
    </w:p>
    <w:p>
      <w:pPr>
        <w:ind w:left="9380" w:hanging="281"/>
        <w:spacing w:after="0"/>
        <w:tabs>
          <w:tab w:leader="none" w:pos="9380" w:val="left"/>
        </w:tabs>
        <w:numPr>
          <w:ilvl w:val="1"/>
          <w:numId w:val="51"/>
        </w:numPr>
        <w:rPr>
          <w:rFonts w:ascii="Arial" w:cs="Arial" w:eastAsia="Arial" w:hAnsi="Arial"/>
          <w:sz w:val="20"/>
          <w:szCs w:val="20"/>
          <w:color w:val="auto"/>
          <w:vertAlign w:val="subscript"/>
        </w:rPr>
      </w:pPr>
      <w:r>
        <w:rPr>
          <w:sz w:val="1"/>
          <w:szCs w:val="1"/>
          <w:color w:val="auto"/>
        </w:rPr>
        <w:drawing>
          <wp:inline distT="0" distB="0" distL="0" distR="0">
            <wp:extent cx="396240" cy="18986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0"/>
          <w:szCs w:val="20"/>
          <w:color w:val="auto"/>
          <w:vertAlign w:val="subscript"/>
        </w:rPr>
        <w:t xml:space="preserve">    </w:t>
      </w:r>
      <w:r>
        <w:rPr>
          <w:rFonts w:ascii="Arial" w:cs="Arial" w:eastAsia="Arial" w:hAnsi="Arial"/>
          <w:sz w:val="20"/>
          <w:szCs w:val="20"/>
          <w:color w:val="auto"/>
        </w:rPr>
        <w:t>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-201930</wp:posOffset>
            </wp:positionV>
            <wp:extent cx="8255" cy="2228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20"/>
          </w:cols>
          <w:pgMar w:left="320" w:top="471" w:right="6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31"/>
          <w:szCs w:val="31"/>
          <w:b w:val="1"/>
          <w:bCs w:val="1"/>
          <w:color w:val="auto"/>
        </w:rPr>
        <w:t>Pay vs. Performance</w:t>
      </w:r>
    </w:p>
    <w:p>
      <w:pPr>
        <w:spacing w:after="0" w:line="336" w:lineRule="exact"/>
        <w:rPr>
          <w:sz w:val="20"/>
          <w:szCs w:val="20"/>
          <w:color w:val="auto"/>
        </w:rPr>
      </w:pPr>
    </w:p>
    <w:p>
      <w:pPr>
        <w:ind w:left="320" w:right="180"/>
        <w:spacing w:after="0" w:line="288" w:lineRule="auto"/>
        <w:rPr>
          <w:sz w:val="20"/>
          <w:szCs w:val="20"/>
          <w:color w:val="auto"/>
        </w:rPr>
      </w:pPr>
      <w:r>
        <w:rPr>
          <w:rFonts w:ascii="Arial" w:cs="Arial" w:eastAsia="Arial" w:hAnsi="Arial"/>
          <w:sz w:val="14"/>
          <w:szCs w:val="14"/>
          <w:color w:val="auto"/>
        </w:rPr>
        <w:t>The following table sets forth the compensation for our Chief Executive Officer (“CEO”) and the average compensation for our other non-CEO named executive officers (“NEOs”), both as reported in the Summary Compensation Table (“SCT”) and with certain adjustments to reflect the compensation actually paid (“CAP”) to such individuals, as defined under SEC rules, for the years 2023, 2022, 2021, and 2020. The table also provides information on our cumulative total shareholder return (“TSR”) for both our Class A and Class B Common Stock; the cumulative TSR of our peer group; Net Earnings; and the Company-Selected Measure (“CSM”), Non-GAAP Adjusted Earnings from Operations (“EFO”), over such years in accordance with SEC rules.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Pay vs. Performance Table</w:t>
      </w: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0A9E50"/>
                <w:w w:val="97"/>
              </w:rPr>
              <w:t>Average</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3"/>
            <w:vMerge w:val="restart"/>
          </w:tcPr>
          <w:p>
            <w:pPr>
              <w:jc w:val="center"/>
              <w:ind w:left="511"/>
              <w:spacing w:after="0"/>
              <w:rPr>
                <w:sz w:val="20"/>
                <w:szCs w:val="20"/>
                <w:color w:val="auto"/>
              </w:rPr>
            </w:pPr>
            <w:r>
              <w:rPr>
                <w:rFonts w:ascii="Arial" w:cs="Arial" w:eastAsia="Arial" w:hAnsi="Arial"/>
                <w:sz w:val="14"/>
                <w:szCs w:val="14"/>
                <w:b w:val="1"/>
                <w:bCs w:val="1"/>
                <w:color w:val="0A9E50"/>
                <w:w w:val="98"/>
              </w:rPr>
              <w:t>Value of Initial Fixed $100</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9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80" w:type="dxa"/>
            <w:vAlign w:val="bottom"/>
            <w:gridSpan w:val="2"/>
            <w:vMerge w:val="restart"/>
          </w:tcPr>
          <w:p>
            <w:pPr>
              <w:jc w:val="center"/>
              <w:spacing w:after="0" w:line="156" w:lineRule="exact"/>
              <w:rPr>
                <w:sz w:val="20"/>
                <w:szCs w:val="20"/>
                <w:color w:val="auto"/>
              </w:rPr>
            </w:pPr>
            <w:r>
              <w:rPr>
                <w:rFonts w:ascii="Arial" w:cs="Arial" w:eastAsia="Arial" w:hAnsi="Arial"/>
                <w:sz w:val="14"/>
                <w:szCs w:val="14"/>
                <w:b w:val="1"/>
                <w:bCs w:val="1"/>
                <w:color w:val="0A9E50"/>
                <w:w w:val="97"/>
              </w:rPr>
              <w:t>Summary</w:t>
            </w:r>
          </w:p>
        </w:tc>
        <w:tc>
          <w:tcPr>
            <w:tcW w:w="1260" w:type="dxa"/>
            <w:vAlign w:val="bottom"/>
            <w:gridSpan w:val="2"/>
            <w:vMerge w:val="restart"/>
          </w:tcPr>
          <w:p>
            <w:pPr>
              <w:jc w:val="center"/>
              <w:ind w:right="100"/>
              <w:spacing w:after="0" w:line="156" w:lineRule="exact"/>
              <w:rPr>
                <w:sz w:val="20"/>
                <w:szCs w:val="20"/>
                <w:color w:val="auto"/>
              </w:rPr>
            </w:pPr>
            <w:r>
              <w:rPr>
                <w:rFonts w:ascii="Arial" w:cs="Arial" w:eastAsia="Arial" w:hAnsi="Arial"/>
                <w:sz w:val="14"/>
                <w:szCs w:val="14"/>
                <w:b w:val="1"/>
                <w:bCs w:val="1"/>
                <w:color w:val="0A9E50"/>
              </w:rPr>
              <w:t>Average</w:t>
            </w:r>
          </w:p>
        </w:tc>
        <w:tc>
          <w:tcPr>
            <w:tcW w:w="242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9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420" w:type="dxa"/>
            <w:vAlign w:val="bottom"/>
            <w:gridSpan w:val="3"/>
            <w:vMerge w:val="restart"/>
          </w:tcPr>
          <w:p>
            <w:pPr>
              <w:jc w:val="center"/>
              <w:ind w:left="511"/>
              <w:spacing w:after="0"/>
              <w:rPr>
                <w:sz w:val="20"/>
                <w:szCs w:val="20"/>
                <w:color w:val="auto"/>
              </w:rPr>
            </w:pPr>
            <w:r>
              <w:rPr>
                <w:rFonts w:ascii="Arial" w:cs="Arial" w:eastAsia="Arial" w:hAnsi="Arial"/>
                <w:sz w:val="14"/>
                <w:szCs w:val="14"/>
                <w:b w:val="1"/>
                <w:bCs w:val="1"/>
                <w:color w:val="0A9E50"/>
              </w:rPr>
              <w:t>Investment Based On:</w:t>
            </w: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0A9E50"/>
                <w:w w:val="97"/>
              </w:rPr>
              <w:t>Net</w:t>
            </w: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940" w:type="dxa"/>
            <w:vAlign w:val="bottom"/>
          </w:tcPr>
          <w:p>
            <w:pPr>
              <w:spacing w:after="0"/>
              <w:rPr>
                <w:sz w:val="7"/>
                <w:szCs w:val="7"/>
                <w:color w:val="auto"/>
              </w:rPr>
            </w:pPr>
          </w:p>
        </w:tc>
        <w:tc>
          <w:tcPr>
            <w:tcW w:w="1360" w:type="dxa"/>
            <w:vAlign w:val="bottom"/>
            <w:vMerge w:val="restart"/>
          </w:tcPr>
          <w:p>
            <w:pPr>
              <w:jc w:val="center"/>
              <w:ind w:left="111"/>
              <w:spacing w:after="0" w:line="143" w:lineRule="exact"/>
              <w:rPr>
                <w:sz w:val="20"/>
                <w:szCs w:val="20"/>
                <w:color w:val="auto"/>
              </w:rPr>
            </w:pPr>
            <w:r>
              <w:rPr>
                <w:rFonts w:ascii="Arial" w:cs="Arial" w:eastAsia="Arial" w:hAnsi="Arial"/>
                <w:sz w:val="14"/>
                <w:szCs w:val="14"/>
                <w:b w:val="1"/>
                <w:bCs w:val="1"/>
                <w:color w:val="0A9E50"/>
                <w:w w:val="97"/>
              </w:rPr>
              <w:t>Summary</w:t>
            </w:r>
          </w:p>
        </w:tc>
        <w:tc>
          <w:tcPr>
            <w:tcW w:w="1160" w:type="dxa"/>
            <w:vAlign w:val="bottom"/>
          </w:tcPr>
          <w:p>
            <w:pPr>
              <w:spacing w:after="0"/>
              <w:rPr>
                <w:sz w:val="7"/>
                <w:szCs w:val="7"/>
                <w:color w:val="auto"/>
              </w:rPr>
            </w:pPr>
          </w:p>
        </w:tc>
        <w:tc>
          <w:tcPr>
            <w:tcW w:w="1180" w:type="dxa"/>
            <w:vAlign w:val="bottom"/>
            <w:gridSpan w:val="2"/>
            <w:vMerge w:val="restart"/>
          </w:tcPr>
          <w:p>
            <w:pPr>
              <w:jc w:val="center"/>
              <w:spacing w:after="0" w:line="143" w:lineRule="exact"/>
              <w:rPr>
                <w:sz w:val="20"/>
                <w:szCs w:val="20"/>
                <w:color w:val="auto"/>
              </w:rPr>
            </w:pPr>
            <w:r>
              <w:rPr>
                <w:rFonts w:ascii="Arial" w:cs="Arial" w:eastAsia="Arial" w:hAnsi="Arial"/>
                <w:sz w:val="14"/>
                <w:szCs w:val="14"/>
                <w:b w:val="1"/>
                <w:bCs w:val="1"/>
                <w:color w:val="0A9E50"/>
              </w:rPr>
              <w:t>Compensation</w:t>
            </w:r>
          </w:p>
        </w:tc>
        <w:tc>
          <w:tcPr>
            <w:tcW w:w="1060" w:type="dxa"/>
            <w:vAlign w:val="bottom"/>
            <w:vMerge w:val="restart"/>
          </w:tcPr>
          <w:p>
            <w:pPr>
              <w:jc w:val="center"/>
              <w:ind w:left="34"/>
              <w:spacing w:after="0" w:line="143" w:lineRule="exact"/>
              <w:rPr>
                <w:sz w:val="20"/>
                <w:szCs w:val="20"/>
                <w:color w:val="auto"/>
              </w:rPr>
            </w:pPr>
            <w:r>
              <w:rPr>
                <w:rFonts w:ascii="Arial" w:cs="Arial" w:eastAsia="Arial" w:hAnsi="Arial"/>
                <w:sz w:val="14"/>
                <w:szCs w:val="14"/>
                <w:b w:val="1"/>
                <w:bCs w:val="1"/>
                <w:color w:val="0A9E50"/>
                <w:w w:val="98"/>
              </w:rPr>
              <w:t>Compensation</w:t>
            </w:r>
          </w:p>
        </w:tc>
        <w:tc>
          <w:tcPr>
            <w:tcW w:w="200" w:type="dxa"/>
            <w:vAlign w:val="bottom"/>
            <w:tcBorders>
              <w:bottom w:val="single" w:sz="8" w:color="auto"/>
            </w:tcBorders>
          </w:tcPr>
          <w:p>
            <w:pPr>
              <w:spacing w:after="0"/>
              <w:rPr>
                <w:sz w:val="7"/>
                <w:szCs w:val="7"/>
                <w:color w:val="auto"/>
              </w:rPr>
            </w:pPr>
          </w:p>
        </w:tc>
        <w:tc>
          <w:tcPr>
            <w:tcW w:w="2420" w:type="dxa"/>
            <w:vAlign w:val="bottom"/>
            <w:tcBorders>
              <w:bottom w:val="single" w:sz="8" w:color="auto"/>
            </w:tcBorders>
            <w:gridSpan w:val="3"/>
            <w:vMerge w:val="continue"/>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40" w:type="dxa"/>
            <w:vAlign w:val="bottom"/>
            <w:vMerge w:val="restart"/>
          </w:tcPr>
          <w:p>
            <w:pPr>
              <w:jc w:val="center"/>
              <w:ind w:left="12"/>
              <w:spacing w:after="0" w:line="143" w:lineRule="exact"/>
              <w:rPr>
                <w:sz w:val="20"/>
                <w:szCs w:val="20"/>
                <w:color w:val="auto"/>
              </w:rPr>
            </w:pPr>
            <w:r>
              <w:rPr>
                <w:rFonts w:ascii="Arial" w:cs="Arial" w:eastAsia="Arial" w:hAnsi="Arial"/>
                <w:sz w:val="14"/>
                <w:szCs w:val="14"/>
                <w:b w:val="1"/>
                <w:bCs w:val="1"/>
                <w:color w:val="0A9E50"/>
                <w:w w:val="98"/>
              </w:rPr>
              <w:t>CSM::</w:t>
            </w:r>
          </w:p>
        </w:tc>
        <w:tc>
          <w:tcPr>
            <w:tcW w:w="0" w:type="dxa"/>
            <w:vAlign w:val="bottom"/>
          </w:tcPr>
          <w:p>
            <w:pPr>
              <w:spacing w:after="0"/>
              <w:rPr>
                <w:sz w:val="1"/>
                <w:szCs w:val="1"/>
                <w:color w:val="auto"/>
              </w:rPr>
            </w:pPr>
          </w:p>
        </w:tc>
      </w:tr>
      <w:tr>
        <w:trPr>
          <w:trHeight w:val="36"/>
        </w:trPr>
        <w:tc>
          <w:tcPr>
            <w:tcW w:w="94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940" w:type="dxa"/>
            <w:vAlign w:val="bottom"/>
          </w:tcPr>
          <w:p>
            <w:pPr>
              <w:spacing w:after="0"/>
              <w:rPr>
                <w:sz w:val="13"/>
                <w:szCs w:val="13"/>
                <w:color w:val="auto"/>
              </w:rPr>
            </w:pPr>
          </w:p>
        </w:tc>
        <w:tc>
          <w:tcPr>
            <w:tcW w:w="1360" w:type="dxa"/>
            <w:vAlign w:val="bottom"/>
          </w:tcPr>
          <w:p>
            <w:pPr>
              <w:jc w:val="right"/>
              <w:ind w:right="51"/>
              <w:spacing w:after="0" w:line="156" w:lineRule="exact"/>
              <w:rPr>
                <w:sz w:val="20"/>
                <w:szCs w:val="20"/>
                <w:color w:val="auto"/>
              </w:rPr>
            </w:pPr>
            <w:r>
              <w:rPr>
                <w:rFonts w:ascii="Arial" w:cs="Arial" w:eastAsia="Arial" w:hAnsi="Arial"/>
                <w:sz w:val="14"/>
                <w:szCs w:val="14"/>
                <w:b w:val="1"/>
                <w:bCs w:val="1"/>
                <w:color w:val="0A9E50"/>
              </w:rPr>
              <w:t>Compensation</w:t>
            </w:r>
          </w:p>
        </w:tc>
        <w:tc>
          <w:tcPr>
            <w:tcW w:w="1160" w:type="dxa"/>
            <w:vAlign w:val="bottom"/>
          </w:tcPr>
          <w:p>
            <w:pPr>
              <w:jc w:val="right"/>
              <w:ind w:right="35"/>
              <w:spacing w:after="0" w:line="156" w:lineRule="exact"/>
              <w:rPr>
                <w:sz w:val="20"/>
                <w:szCs w:val="20"/>
                <w:color w:val="auto"/>
              </w:rPr>
            </w:pPr>
            <w:r>
              <w:rPr>
                <w:rFonts w:ascii="Arial" w:cs="Arial" w:eastAsia="Arial" w:hAnsi="Arial"/>
                <w:sz w:val="14"/>
                <w:szCs w:val="14"/>
                <w:b w:val="1"/>
                <w:bCs w:val="1"/>
                <w:color w:val="0A9E50"/>
              </w:rPr>
              <w:t>Compensation</w:t>
            </w:r>
          </w:p>
        </w:tc>
        <w:tc>
          <w:tcPr>
            <w:tcW w:w="118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0A9E50"/>
                <w:w w:val="97"/>
              </w:rPr>
              <w:t>Table Total for</w:t>
            </w:r>
          </w:p>
        </w:tc>
        <w:tc>
          <w:tcPr>
            <w:tcW w:w="126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0A9E50"/>
              </w:rPr>
              <w:t>Actually Paid</w:t>
            </w:r>
          </w:p>
        </w:tc>
        <w:tc>
          <w:tcPr>
            <w:tcW w:w="1120" w:type="dxa"/>
            <w:vAlign w:val="bottom"/>
            <w:vMerge w:val="restart"/>
          </w:tcPr>
          <w:p>
            <w:pPr>
              <w:jc w:val="center"/>
              <w:ind w:right="51"/>
              <w:spacing w:after="0"/>
              <w:rPr>
                <w:sz w:val="20"/>
                <w:szCs w:val="20"/>
                <w:color w:val="auto"/>
              </w:rPr>
            </w:pPr>
            <w:r>
              <w:rPr>
                <w:rFonts w:ascii="Arial" w:cs="Arial" w:eastAsia="Arial" w:hAnsi="Arial"/>
                <w:sz w:val="14"/>
                <w:szCs w:val="14"/>
                <w:b w:val="1"/>
                <w:bCs w:val="1"/>
                <w:color w:val="0A9E50"/>
                <w:w w:val="99"/>
              </w:rPr>
              <w:t>TSR</w:t>
            </w:r>
          </w:p>
        </w:tc>
        <w:tc>
          <w:tcPr>
            <w:tcW w:w="440" w:type="dxa"/>
            <w:vAlign w:val="bottom"/>
          </w:tcPr>
          <w:p>
            <w:pPr>
              <w:spacing w:after="0"/>
              <w:rPr>
                <w:sz w:val="13"/>
                <w:szCs w:val="13"/>
                <w:color w:val="auto"/>
              </w:rPr>
            </w:pPr>
          </w:p>
        </w:tc>
        <w:tc>
          <w:tcPr>
            <w:tcW w:w="860" w:type="dxa"/>
            <w:vAlign w:val="bottom"/>
            <w:vMerge w:val="restart"/>
          </w:tcPr>
          <w:p>
            <w:pPr>
              <w:jc w:val="center"/>
              <w:ind w:right="471"/>
              <w:spacing w:after="0"/>
              <w:rPr>
                <w:sz w:val="20"/>
                <w:szCs w:val="20"/>
                <w:color w:val="auto"/>
              </w:rPr>
            </w:pPr>
            <w:r>
              <w:rPr>
                <w:rFonts w:ascii="Arial" w:cs="Arial" w:eastAsia="Arial" w:hAnsi="Arial"/>
                <w:sz w:val="14"/>
                <w:szCs w:val="14"/>
                <w:b w:val="1"/>
                <w:bCs w:val="1"/>
                <w:color w:val="0A9E50"/>
                <w:w w:val="99"/>
              </w:rPr>
              <w:t>TSR</w:t>
            </w:r>
          </w:p>
        </w:tc>
        <w:tc>
          <w:tcPr>
            <w:tcW w:w="6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0A9E50"/>
                <w:w w:val="98"/>
              </w:rPr>
              <w:t>Peer</w:t>
            </w:r>
          </w:p>
        </w:tc>
        <w:tc>
          <w:tcPr>
            <w:tcW w:w="78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6"/>
              </w:rPr>
              <w:t>Earnings</w:t>
            </w:r>
          </w:p>
        </w:tc>
        <w:tc>
          <w:tcPr>
            <w:tcW w:w="840" w:type="dxa"/>
            <w:vAlign w:val="bottom"/>
          </w:tcPr>
          <w:p>
            <w:pPr>
              <w:jc w:val="center"/>
              <w:ind w:left="12"/>
              <w:spacing w:after="0" w:line="156" w:lineRule="exact"/>
              <w:rPr>
                <w:sz w:val="20"/>
                <w:szCs w:val="20"/>
                <w:color w:val="auto"/>
              </w:rPr>
            </w:pPr>
            <w:r>
              <w:rPr>
                <w:rFonts w:ascii="Arial" w:cs="Arial" w:eastAsia="Arial" w:hAnsi="Arial"/>
                <w:sz w:val="14"/>
                <w:szCs w:val="14"/>
                <w:b w:val="1"/>
                <w:bCs w:val="1"/>
                <w:color w:val="0A9E50"/>
                <w:w w:val="99"/>
              </w:rPr>
              <w:t>Non-GAAP</w:t>
            </w:r>
          </w:p>
        </w:tc>
        <w:tc>
          <w:tcPr>
            <w:tcW w:w="0" w:type="dxa"/>
            <w:vAlign w:val="bottom"/>
          </w:tcPr>
          <w:p>
            <w:pPr>
              <w:spacing w:after="0"/>
              <w:rPr>
                <w:sz w:val="1"/>
                <w:szCs w:val="1"/>
                <w:color w:val="auto"/>
              </w:rPr>
            </w:pPr>
          </w:p>
        </w:tc>
      </w:tr>
      <w:tr>
        <w:trPr>
          <w:trHeight w:val="91"/>
        </w:trPr>
        <w:tc>
          <w:tcPr>
            <w:tcW w:w="940" w:type="dxa"/>
            <w:vAlign w:val="bottom"/>
          </w:tcPr>
          <w:p>
            <w:pPr>
              <w:spacing w:after="0"/>
              <w:rPr>
                <w:sz w:val="7"/>
                <w:szCs w:val="7"/>
                <w:color w:val="auto"/>
              </w:rPr>
            </w:pPr>
          </w:p>
        </w:tc>
        <w:tc>
          <w:tcPr>
            <w:tcW w:w="1360" w:type="dxa"/>
            <w:vAlign w:val="bottom"/>
            <w:vMerge w:val="restart"/>
          </w:tcPr>
          <w:p>
            <w:pPr>
              <w:jc w:val="center"/>
              <w:ind w:left="91"/>
              <w:spacing w:after="0"/>
              <w:rPr>
                <w:sz w:val="20"/>
                <w:szCs w:val="20"/>
                <w:color w:val="auto"/>
              </w:rPr>
            </w:pPr>
            <w:r>
              <w:rPr>
                <w:rFonts w:ascii="Arial" w:cs="Arial" w:eastAsia="Arial" w:hAnsi="Arial"/>
                <w:sz w:val="14"/>
                <w:szCs w:val="14"/>
                <w:b w:val="1"/>
                <w:bCs w:val="1"/>
                <w:color w:val="0A9E50"/>
                <w:w w:val="96"/>
              </w:rPr>
              <w:t>Table Total to</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0A9E50"/>
              </w:rPr>
              <w:t>Actually Paid</w:t>
            </w: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A9E50"/>
                <w:w w:val="99"/>
              </w:rPr>
              <w:t>Non-CEO</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0A9E50"/>
              </w:rPr>
              <w:t>to Non-CEO</w:t>
            </w:r>
          </w:p>
        </w:tc>
        <w:tc>
          <w:tcPr>
            <w:tcW w:w="11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0A9E50"/>
                <w:w w:val="99"/>
              </w:rPr>
              <w:t>(Loss) in</w:t>
            </w:r>
          </w:p>
        </w:tc>
        <w:tc>
          <w:tcPr>
            <w:tcW w:w="84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0A9E50"/>
                <w:w w:val="97"/>
              </w:rPr>
              <w:t>Adj EFO in</w:t>
            </w:r>
          </w:p>
        </w:tc>
        <w:tc>
          <w:tcPr>
            <w:tcW w:w="0" w:type="dxa"/>
            <w:vAlign w:val="bottom"/>
          </w:tcPr>
          <w:p>
            <w:pPr>
              <w:spacing w:after="0"/>
              <w:rPr>
                <w:sz w:val="1"/>
                <w:szCs w:val="1"/>
                <w:color w:val="auto"/>
              </w:rPr>
            </w:pPr>
          </w:p>
        </w:tc>
      </w:tr>
      <w:tr>
        <w:trPr>
          <w:trHeight w:val="87"/>
        </w:trPr>
        <w:tc>
          <w:tcPr>
            <w:tcW w:w="9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0A9E50"/>
              </w:rPr>
              <w:t>Year</w:t>
            </w:r>
          </w:p>
        </w:tc>
        <w:tc>
          <w:tcPr>
            <w:tcW w:w="13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120" w:type="dxa"/>
            <w:vAlign w:val="bottom"/>
            <w:vMerge w:val="restart"/>
          </w:tcPr>
          <w:p>
            <w:pPr>
              <w:jc w:val="center"/>
              <w:ind w:right="51"/>
              <w:spacing w:after="0"/>
              <w:rPr>
                <w:sz w:val="20"/>
                <w:szCs w:val="20"/>
                <w:color w:val="auto"/>
              </w:rPr>
            </w:pPr>
            <w:r>
              <w:rPr>
                <w:rFonts w:ascii="Arial" w:cs="Arial" w:eastAsia="Arial" w:hAnsi="Arial"/>
                <w:sz w:val="14"/>
                <w:szCs w:val="14"/>
                <w:b w:val="1"/>
                <w:bCs w:val="1"/>
                <w:color w:val="0A9E50"/>
                <w:w w:val="98"/>
              </w:rPr>
              <w:t>(Class A)</w:t>
            </w:r>
          </w:p>
        </w:tc>
        <w:tc>
          <w:tcPr>
            <w:tcW w:w="1300" w:type="dxa"/>
            <w:vAlign w:val="bottom"/>
            <w:gridSpan w:val="2"/>
            <w:vMerge w:val="restart"/>
          </w:tcPr>
          <w:p>
            <w:pPr>
              <w:jc w:val="center"/>
              <w:ind w:right="31"/>
              <w:spacing w:after="0"/>
              <w:rPr>
                <w:sz w:val="20"/>
                <w:szCs w:val="20"/>
                <w:color w:val="auto"/>
              </w:rPr>
            </w:pPr>
            <w:r>
              <w:rPr>
                <w:rFonts w:ascii="Arial" w:cs="Arial" w:eastAsia="Arial" w:hAnsi="Arial"/>
                <w:sz w:val="14"/>
                <w:szCs w:val="14"/>
                <w:b w:val="1"/>
                <w:bCs w:val="1"/>
                <w:color w:val="0A9E50"/>
                <w:w w:val="98"/>
              </w:rPr>
              <w:t>(Class B)</w:t>
            </w:r>
          </w:p>
        </w:tc>
        <w:tc>
          <w:tcPr>
            <w:tcW w:w="380" w:type="dxa"/>
            <w:vAlign w:val="bottom"/>
            <w:vMerge w:val="restart"/>
          </w:tcPr>
          <w:p>
            <w:pPr>
              <w:ind w:left="120"/>
              <w:spacing w:after="0"/>
              <w:rPr>
                <w:sz w:val="20"/>
                <w:szCs w:val="20"/>
                <w:color w:val="auto"/>
              </w:rPr>
            </w:pPr>
            <w:r>
              <w:rPr>
                <w:rFonts w:ascii="Arial" w:cs="Arial" w:eastAsia="Arial" w:hAnsi="Arial"/>
                <w:sz w:val="14"/>
                <w:szCs w:val="14"/>
                <w:b w:val="1"/>
                <w:bCs w:val="1"/>
                <w:color w:val="0A9E50"/>
                <w:w w:val="85"/>
              </w:rPr>
              <w:t>TSR</w:t>
            </w:r>
          </w:p>
        </w:tc>
        <w:tc>
          <w:tcPr>
            <w:tcW w:w="200" w:type="dxa"/>
            <w:vAlign w:val="bottom"/>
          </w:tcPr>
          <w:p>
            <w:pPr>
              <w:jc w:val="right"/>
              <w:ind w:right="37"/>
              <w:spacing w:after="0" w:line="88" w:lineRule="exact"/>
              <w:rPr>
                <w:sz w:val="20"/>
                <w:szCs w:val="20"/>
                <w:color w:val="auto"/>
              </w:rPr>
            </w:pPr>
            <w:r>
              <w:rPr>
                <w:rFonts w:ascii="Arial" w:cs="Arial" w:eastAsia="Arial" w:hAnsi="Arial"/>
                <w:sz w:val="9"/>
                <w:szCs w:val="9"/>
                <w:b w:val="1"/>
                <w:bCs w:val="1"/>
                <w:color w:val="0A9E50"/>
                <w:w w:val="90"/>
              </w:rPr>
              <w:t>(3)</w:t>
            </w: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vMerge w:val="continue"/>
          </w:tcPr>
          <w:p>
            <w:pPr>
              <w:spacing w:after="0"/>
              <w:rPr>
                <w:sz w:val="11"/>
                <w:szCs w:val="11"/>
                <w:color w:val="auto"/>
              </w:rPr>
            </w:pPr>
          </w:p>
        </w:tc>
        <w:tc>
          <w:tcPr>
            <w:tcW w:w="1360" w:type="dxa"/>
            <w:vAlign w:val="bottom"/>
          </w:tcPr>
          <w:p>
            <w:pPr>
              <w:jc w:val="center"/>
              <w:ind w:left="111"/>
              <w:spacing w:after="0" w:line="130" w:lineRule="exact"/>
              <w:rPr>
                <w:sz w:val="20"/>
                <w:szCs w:val="20"/>
                <w:color w:val="auto"/>
              </w:rPr>
            </w:pPr>
            <w:r>
              <w:rPr>
                <w:rFonts w:ascii="Arial" w:cs="Arial" w:eastAsia="Arial" w:hAnsi="Arial"/>
                <w:sz w:val="14"/>
                <w:szCs w:val="14"/>
                <w:b w:val="1"/>
                <w:bCs w:val="1"/>
                <w:color w:val="0A9E50"/>
                <w:w w:val="98"/>
              </w:rPr>
              <w:t>CEO</w:t>
            </w:r>
          </w:p>
        </w:tc>
        <w:tc>
          <w:tcPr>
            <w:tcW w:w="1160" w:type="dxa"/>
            <w:vAlign w:val="bottom"/>
          </w:tcPr>
          <w:p>
            <w:pPr>
              <w:jc w:val="center"/>
              <w:spacing w:after="0" w:line="131" w:lineRule="exact"/>
              <w:rPr>
                <w:sz w:val="20"/>
                <w:szCs w:val="20"/>
                <w:color w:val="auto"/>
              </w:rPr>
            </w:pPr>
            <w:r>
              <w:rPr>
                <w:rFonts w:ascii="Arial" w:cs="Arial" w:eastAsia="Arial" w:hAnsi="Arial"/>
                <w:sz w:val="15"/>
                <w:szCs w:val="15"/>
                <w:b w:val="1"/>
                <w:bCs w:val="1"/>
                <w:color w:val="0A9E50"/>
                <w:vertAlign w:val="subscript"/>
              </w:rPr>
              <w:t>CEO</w:t>
            </w:r>
            <w:r>
              <w:rPr>
                <w:rFonts w:ascii="Arial" w:cs="Arial" w:eastAsia="Arial" w:hAnsi="Arial"/>
                <w:sz w:val="7"/>
                <w:szCs w:val="7"/>
                <w:b w:val="1"/>
                <w:bCs w:val="1"/>
                <w:color w:val="0A9E50"/>
              </w:rPr>
              <w:t>(1)(2)</w:t>
            </w:r>
          </w:p>
        </w:tc>
        <w:tc>
          <w:tcPr>
            <w:tcW w:w="11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0A9E50"/>
                <w:w w:val="99"/>
              </w:rPr>
              <w:t>NEOs</w:t>
            </w:r>
          </w:p>
        </w:tc>
        <w:tc>
          <w:tcPr>
            <w:tcW w:w="1260" w:type="dxa"/>
            <w:vAlign w:val="bottom"/>
            <w:gridSpan w:val="2"/>
          </w:tcPr>
          <w:p>
            <w:pPr>
              <w:jc w:val="center"/>
              <w:ind w:right="100"/>
              <w:spacing w:after="0" w:line="131" w:lineRule="exact"/>
              <w:rPr>
                <w:sz w:val="20"/>
                <w:szCs w:val="20"/>
                <w:color w:val="auto"/>
              </w:rPr>
            </w:pPr>
            <w:r>
              <w:rPr>
                <w:rFonts w:ascii="Arial" w:cs="Arial" w:eastAsia="Arial" w:hAnsi="Arial"/>
                <w:sz w:val="15"/>
                <w:szCs w:val="15"/>
                <w:b w:val="1"/>
                <w:bCs w:val="1"/>
                <w:color w:val="0A9E50"/>
                <w:vertAlign w:val="subscript"/>
              </w:rPr>
              <w:t>NEOs</w:t>
            </w:r>
            <w:r>
              <w:rPr>
                <w:rFonts w:ascii="Arial" w:cs="Arial" w:eastAsia="Arial" w:hAnsi="Arial"/>
                <w:sz w:val="7"/>
                <w:szCs w:val="7"/>
                <w:b w:val="1"/>
                <w:bCs w:val="1"/>
                <w:color w:val="0A9E50"/>
              </w:rPr>
              <w:t>(1)(2)</w:t>
            </w:r>
          </w:p>
        </w:tc>
        <w:tc>
          <w:tcPr>
            <w:tcW w:w="112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4"/>
                <w:szCs w:val="14"/>
                <w:b w:val="1"/>
                <w:bCs w:val="1"/>
                <w:color w:val="0A9E50"/>
              </w:rPr>
              <w:t>millions</w:t>
            </w:r>
          </w:p>
        </w:tc>
        <w:tc>
          <w:tcPr>
            <w:tcW w:w="840" w:type="dxa"/>
            <w:vAlign w:val="bottom"/>
          </w:tcPr>
          <w:p>
            <w:pPr>
              <w:jc w:val="center"/>
              <w:ind w:left="32"/>
              <w:spacing w:after="0" w:line="131" w:lineRule="exact"/>
              <w:rPr>
                <w:sz w:val="20"/>
                <w:szCs w:val="20"/>
                <w:color w:val="auto"/>
              </w:rPr>
            </w:pPr>
            <w:r>
              <w:rPr>
                <w:rFonts w:ascii="Arial" w:cs="Arial" w:eastAsia="Arial" w:hAnsi="Arial"/>
                <w:sz w:val="12"/>
                <w:szCs w:val="12"/>
                <w:b w:val="1"/>
                <w:bCs w:val="1"/>
                <w:color w:val="0A9E50"/>
              </w:rPr>
              <w:t>millions</w:t>
            </w:r>
            <w:r>
              <w:rPr>
                <w:rFonts w:ascii="Arial" w:cs="Arial" w:eastAsia="Arial" w:hAnsi="Arial"/>
                <w:sz w:val="15"/>
                <w:szCs w:val="15"/>
                <w:b w:val="1"/>
                <w:bCs w:val="1"/>
                <w:color w:val="0A9E50"/>
                <w:vertAlign w:val="superscript"/>
              </w:rPr>
              <w:t>(4)</w:t>
            </w:r>
          </w:p>
        </w:tc>
        <w:tc>
          <w:tcPr>
            <w:tcW w:w="0" w:type="dxa"/>
            <w:vAlign w:val="bottom"/>
          </w:tcPr>
          <w:p>
            <w:pPr>
              <w:spacing w:after="0"/>
              <w:rPr>
                <w:sz w:val="1"/>
                <w:szCs w:val="1"/>
                <w:color w:val="auto"/>
              </w:rPr>
            </w:pPr>
          </w:p>
        </w:tc>
      </w:tr>
      <w:tr>
        <w:trPr>
          <w:trHeight w:val="156"/>
        </w:trPr>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0A9E50"/>
              </w:rPr>
              <w:t>(a)</w:t>
            </w:r>
          </w:p>
        </w:tc>
        <w:tc>
          <w:tcPr>
            <w:tcW w:w="1360" w:type="dxa"/>
            <w:vAlign w:val="bottom"/>
            <w:vMerge w:val="restart"/>
          </w:tcPr>
          <w:p>
            <w:pPr>
              <w:jc w:val="center"/>
              <w:ind w:left="111"/>
              <w:spacing w:after="0"/>
              <w:rPr>
                <w:sz w:val="20"/>
                <w:szCs w:val="20"/>
                <w:color w:val="auto"/>
              </w:rPr>
            </w:pPr>
            <w:r>
              <w:rPr>
                <w:rFonts w:ascii="Arial" w:cs="Arial" w:eastAsia="Arial" w:hAnsi="Arial"/>
                <w:sz w:val="14"/>
                <w:szCs w:val="14"/>
                <w:b w:val="1"/>
                <w:bCs w:val="1"/>
                <w:color w:val="0A9E50"/>
              </w:rPr>
              <w:t>(b)</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0A9E50"/>
                <w:w w:val="93"/>
              </w:rPr>
              <w:t>(c)</w:t>
            </w:r>
          </w:p>
        </w:tc>
        <w:tc>
          <w:tcPr>
            <w:tcW w:w="460" w:type="dxa"/>
            <w:vAlign w:val="bottom"/>
          </w:tcPr>
          <w:p>
            <w:pPr>
              <w:spacing w:after="0"/>
              <w:rPr>
                <w:sz w:val="13"/>
                <w:szCs w:val="13"/>
                <w:color w:val="auto"/>
              </w:rPr>
            </w:pPr>
          </w:p>
        </w:tc>
        <w:tc>
          <w:tcPr>
            <w:tcW w:w="720" w:type="dxa"/>
            <w:vAlign w:val="bottom"/>
            <w:vMerge w:val="restart"/>
          </w:tcPr>
          <w:p>
            <w:pPr>
              <w:jc w:val="center"/>
              <w:ind w:right="391"/>
              <w:spacing w:after="0"/>
              <w:rPr>
                <w:sz w:val="20"/>
                <w:szCs w:val="20"/>
                <w:color w:val="auto"/>
              </w:rPr>
            </w:pPr>
            <w:r>
              <w:rPr>
                <w:rFonts w:ascii="Arial" w:cs="Arial" w:eastAsia="Arial" w:hAnsi="Arial"/>
                <w:sz w:val="14"/>
                <w:szCs w:val="14"/>
                <w:b w:val="1"/>
                <w:bCs w:val="1"/>
                <w:color w:val="0A9E50"/>
              </w:rPr>
              <w:t>(d)</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0A9E50"/>
                <w:w w:val="93"/>
              </w:rPr>
              <w:t>(e)</w:t>
            </w:r>
          </w:p>
        </w:tc>
        <w:tc>
          <w:tcPr>
            <w:tcW w:w="1120" w:type="dxa"/>
            <w:vAlign w:val="bottom"/>
          </w:tcPr>
          <w:p>
            <w:pPr>
              <w:jc w:val="center"/>
              <w:ind w:right="31"/>
              <w:spacing w:after="0" w:line="156" w:lineRule="exact"/>
              <w:rPr>
                <w:sz w:val="20"/>
                <w:szCs w:val="20"/>
                <w:color w:val="auto"/>
              </w:rPr>
            </w:pPr>
            <w:r>
              <w:rPr>
                <w:rFonts w:ascii="Arial" w:cs="Arial" w:eastAsia="Arial" w:hAnsi="Arial"/>
                <w:sz w:val="14"/>
                <w:szCs w:val="14"/>
                <w:b w:val="1"/>
                <w:bCs w:val="1"/>
                <w:color w:val="0A9E50"/>
                <w:w w:val="99"/>
              </w:rPr>
              <w:t>(f)</w:t>
            </w:r>
          </w:p>
        </w:tc>
        <w:tc>
          <w:tcPr>
            <w:tcW w:w="440" w:type="dxa"/>
            <w:vAlign w:val="bottom"/>
          </w:tcPr>
          <w:p>
            <w:pPr>
              <w:spacing w:after="0"/>
              <w:rPr>
                <w:sz w:val="13"/>
                <w:szCs w:val="13"/>
                <w:color w:val="auto"/>
              </w:rPr>
            </w:pPr>
          </w:p>
        </w:tc>
        <w:tc>
          <w:tcPr>
            <w:tcW w:w="860" w:type="dxa"/>
            <w:vAlign w:val="bottom"/>
          </w:tcPr>
          <w:p>
            <w:pPr>
              <w:jc w:val="center"/>
              <w:ind w:right="451"/>
              <w:spacing w:after="0" w:line="156" w:lineRule="exact"/>
              <w:rPr>
                <w:sz w:val="20"/>
                <w:szCs w:val="20"/>
                <w:color w:val="auto"/>
              </w:rPr>
            </w:pPr>
            <w:r>
              <w:rPr>
                <w:rFonts w:ascii="Arial" w:cs="Arial" w:eastAsia="Arial" w:hAnsi="Arial"/>
                <w:sz w:val="14"/>
                <w:szCs w:val="14"/>
                <w:b w:val="1"/>
                <w:bCs w:val="1"/>
                <w:color w:val="0A9E50"/>
              </w:rPr>
              <w:t>(g)</w:t>
            </w:r>
          </w:p>
        </w:tc>
        <w:tc>
          <w:tcPr>
            <w:tcW w:w="680" w:type="dxa"/>
            <w:vAlign w:val="bottom"/>
            <w:gridSpan w:val="3"/>
          </w:tcPr>
          <w:p>
            <w:pPr>
              <w:jc w:val="center"/>
              <w:ind w:right="60"/>
              <w:spacing w:after="0" w:line="156" w:lineRule="exact"/>
              <w:rPr>
                <w:sz w:val="20"/>
                <w:szCs w:val="20"/>
                <w:color w:val="auto"/>
              </w:rPr>
            </w:pPr>
            <w:r>
              <w:rPr>
                <w:rFonts w:ascii="Arial" w:cs="Arial" w:eastAsia="Arial" w:hAnsi="Arial"/>
                <w:sz w:val="14"/>
                <w:szCs w:val="14"/>
                <w:b w:val="1"/>
                <w:bCs w:val="1"/>
                <w:color w:val="0A9E50"/>
              </w:rPr>
              <w:t>(h)</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0A9E50"/>
              </w:rPr>
              <w:t>(i)</w:t>
            </w:r>
          </w:p>
        </w:tc>
        <w:tc>
          <w:tcPr>
            <w:tcW w:w="84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0A9E50"/>
              </w:rPr>
              <w:t>(j)</w:t>
            </w:r>
          </w:p>
        </w:tc>
        <w:tc>
          <w:tcPr>
            <w:tcW w:w="0" w:type="dxa"/>
            <w:vAlign w:val="bottom"/>
          </w:tcPr>
          <w:p>
            <w:pPr>
              <w:spacing w:after="0"/>
              <w:rPr>
                <w:sz w:val="1"/>
                <w:szCs w:val="1"/>
                <w:color w:val="auto"/>
              </w:rPr>
            </w:pPr>
          </w:p>
        </w:tc>
      </w:tr>
      <w:tr>
        <w:trPr>
          <w:trHeight w:val="26"/>
        </w:trPr>
        <w:tc>
          <w:tcPr>
            <w:tcW w:w="940" w:type="dxa"/>
            <w:vAlign w:val="bottom"/>
            <w:tcBorders>
              <w:bottom w:val="single" w:sz="8" w:color="auto"/>
            </w:tcBorders>
            <w:vMerge w:val="continue"/>
          </w:tcPr>
          <w:p>
            <w:pPr>
              <w:spacing w:after="0"/>
              <w:rPr>
                <w:sz w:val="2"/>
                <w:szCs w:val="2"/>
                <w:color w:val="auto"/>
              </w:rPr>
            </w:pPr>
          </w:p>
        </w:tc>
        <w:tc>
          <w:tcPr>
            <w:tcW w:w="1360" w:type="dxa"/>
            <w:vAlign w:val="bottom"/>
            <w:tcBorders>
              <w:bottom w:val="single" w:sz="8" w:color="auto"/>
            </w:tcBorders>
            <w:vMerge w:val="continue"/>
          </w:tcPr>
          <w:p>
            <w:pPr>
              <w:spacing w:after="0"/>
              <w:rPr>
                <w:sz w:val="2"/>
                <w:szCs w:val="2"/>
                <w:color w:val="auto"/>
              </w:rPr>
            </w:pPr>
          </w:p>
        </w:tc>
        <w:tc>
          <w:tcPr>
            <w:tcW w:w="1160" w:type="dxa"/>
            <w:vAlign w:val="bottom"/>
            <w:tcBorders>
              <w:bottom w:val="single" w:sz="8" w:color="auto"/>
            </w:tcBorders>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60" w:type="dxa"/>
            <w:vAlign w:val="bottom"/>
            <w:tcBorders>
              <w:bottom w:val="single" w:sz="8" w:color="auto"/>
            </w:tcBorders>
            <w:gridSpan w:val="2"/>
            <w:vMerge w:val="continue"/>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vMerge w:val="continue"/>
          </w:tcPr>
          <w:p>
            <w:pPr>
              <w:spacing w:after="0"/>
              <w:rPr>
                <w:sz w:val="2"/>
                <w:szCs w:val="2"/>
                <w:color w:val="auto"/>
              </w:rPr>
            </w:pPr>
          </w:p>
        </w:tc>
        <w:tc>
          <w:tcPr>
            <w:tcW w:w="84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940" w:type="dxa"/>
            <w:vAlign w:val="bottom"/>
          </w:tcPr>
          <w:p>
            <w:pPr>
              <w:jc w:val="right"/>
              <w:ind w:right="491"/>
              <w:spacing w:after="0"/>
              <w:rPr>
                <w:sz w:val="20"/>
                <w:szCs w:val="20"/>
                <w:color w:val="auto"/>
              </w:rPr>
            </w:pPr>
            <w:r>
              <w:rPr>
                <w:rFonts w:ascii="Arial" w:cs="Arial" w:eastAsia="Arial" w:hAnsi="Arial"/>
                <w:sz w:val="14"/>
                <w:szCs w:val="14"/>
                <w:color w:val="auto"/>
              </w:rPr>
              <w:t>2023</w:t>
            </w:r>
          </w:p>
        </w:tc>
        <w:tc>
          <w:tcPr>
            <w:tcW w:w="1360" w:type="dxa"/>
            <w:vAlign w:val="bottom"/>
          </w:tcPr>
          <w:p>
            <w:pPr>
              <w:jc w:val="right"/>
              <w:ind w:right="31"/>
              <w:spacing w:after="0"/>
              <w:rPr>
                <w:sz w:val="20"/>
                <w:szCs w:val="20"/>
                <w:color w:val="auto"/>
              </w:rPr>
            </w:pPr>
            <w:r>
              <w:rPr>
                <w:rFonts w:ascii="Arial" w:cs="Arial" w:eastAsia="Arial" w:hAnsi="Arial"/>
                <w:sz w:val="14"/>
                <w:szCs w:val="14"/>
                <w:color w:val="auto"/>
              </w:rPr>
              <w:t>$4,163,424</w:t>
            </w:r>
          </w:p>
        </w:tc>
        <w:tc>
          <w:tcPr>
            <w:tcW w:w="1160" w:type="dxa"/>
            <w:vAlign w:val="bottom"/>
          </w:tcPr>
          <w:p>
            <w:pPr>
              <w:jc w:val="right"/>
              <w:ind w:right="35"/>
              <w:spacing w:after="0"/>
              <w:rPr>
                <w:sz w:val="20"/>
                <w:szCs w:val="20"/>
                <w:color w:val="auto"/>
              </w:rPr>
            </w:pPr>
            <w:r>
              <w:rPr>
                <w:rFonts w:ascii="Arial" w:cs="Arial" w:eastAsia="Arial" w:hAnsi="Arial"/>
                <w:sz w:val="14"/>
                <w:szCs w:val="14"/>
                <w:color w:val="auto"/>
              </w:rPr>
              <w:t>$4,313,597</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w w:val="96"/>
              </w:rPr>
              <w:t>1,407,120</w:t>
            </w:r>
          </w:p>
        </w:tc>
        <w:tc>
          <w:tcPr>
            <w:tcW w:w="1060" w:type="dxa"/>
            <w:vAlign w:val="bottom"/>
          </w:tcPr>
          <w:p>
            <w:pPr>
              <w:ind w:left="360"/>
              <w:spacing w:after="0"/>
              <w:rPr>
                <w:sz w:val="20"/>
                <w:szCs w:val="20"/>
                <w:color w:val="auto"/>
              </w:rPr>
            </w:pPr>
            <w:r>
              <w:rPr>
                <w:rFonts w:ascii="Arial" w:cs="Arial" w:eastAsia="Arial" w:hAnsi="Arial"/>
                <w:sz w:val="14"/>
                <w:szCs w:val="14"/>
                <w:color w:val="auto"/>
                <w:w w:val="96"/>
              </w:rPr>
              <w:t>$1,555,635</w:t>
            </w:r>
          </w:p>
        </w:tc>
        <w:tc>
          <w:tcPr>
            <w:tcW w:w="200" w:type="dxa"/>
            <w:vAlign w:val="bottom"/>
          </w:tcPr>
          <w:p>
            <w:pPr>
              <w:spacing w:after="0"/>
              <w:rPr>
                <w:sz w:val="19"/>
                <w:szCs w:val="19"/>
                <w:color w:val="auto"/>
              </w:rPr>
            </w:pPr>
          </w:p>
        </w:tc>
        <w:tc>
          <w:tcPr>
            <w:tcW w:w="1120" w:type="dxa"/>
            <w:vAlign w:val="bottom"/>
          </w:tcPr>
          <w:p>
            <w:pPr>
              <w:jc w:val="center"/>
              <w:ind w:right="51"/>
              <w:spacing w:after="0"/>
              <w:rPr>
                <w:sz w:val="20"/>
                <w:szCs w:val="20"/>
                <w:color w:val="auto"/>
              </w:rPr>
            </w:pPr>
            <w:r>
              <w:rPr>
                <w:rFonts w:ascii="Arial" w:cs="Arial" w:eastAsia="Arial" w:hAnsi="Arial"/>
                <w:sz w:val="14"/>
                <w:szCs w:val="14"/>
                <w:color w:val="auto"/>
              </w:rPr>
              <w:t>$99.65</w:t>
            </w:r>
          </w:p>
        </w:tc>
        <w:tc>
          <w:tcPr>
            <w:tcW w:w="1300" w:type="dxa"/>
            <w:vAlign w:val="bottom"/>
            <w:gridSpan w:val="2"/>
          </w:tcPr>
          <w:p>
            <w:pPr>
              <w:jc w:val="right"/>
              <w:ind w:right="371"/>
              <w:spacing w:after="0"/>
              <w:rPr>
                <w:sz w:val="20"/>
                <w:szCs w:val="20"/>
                <w:color w:val="auto"/>
              </w:rPr>
            </w:pPr>
            <w:r>
              <w:rPr>
                <w:rFonts w:ascii="Arial" w:cs="Arial" w:eastAsia="Arial" w:hAnsi="Arial"/>
                <w:sz w:val="14"/>
                <w:szCs w:val="14"/>
                <w:color w:val="auto"/>
              </w:rPr>
              <w:t>$103.53</w:t>
            </w:r>
          </w:p>
        </w:tc>
        <w:tc>
          <w:tcPr>
            <w:tcW w:w="680" w:type="dxa"/>
            <w:vAlign w:val="bottom"/>
            <w:gridSpan w:val="3"/>
          </w:tcPr>
          <w:p>
            <w:pPr>
              <w:jc w:val="center"/>
              <w:ind w:right="40"/>
              <w:spacing w:after="0"/>
              <w:rPr>
                <w:sz w:val="20"/>
                <w:szCs w:val="20"/>
                <w:color w:val="auto"/>
              </w:rPr>
            </w:pPr>
            <w:r>
              <w:rPr>
                <w:rFonts w:ascii="Arial" w:cs="Arial" w:eastAsia="Arial" w:hAnsi="Arial"/>
                <w:sz w:val="14"/>
                <w:szCs w:val="14"/>
                <w:color w:val="auto"/>
              </w:rPr>
              <w:t>$121.22</w:t>
            </w: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$36.4</w:t>
            </w:r>
          </w:p>
        </w:tc>
        <w:tc>
          <w:tcPr>
            <w:tcW w:w="840" w:type="dxa"/>
            <w:vAlign w:val="bottom"/>
          </w:tcPr>
          <w:p>
            <w:pPr>
              <w:jc w:val="center"/>
              <w:ind w:left="32"/>
              <w:spacing w:after="0"/>
              <w:rPr>
                <w:sz w:val="20"/>
                <w:szCs w:val="20"/>
                <w:color w:val="auto"/>
              </w:rPr>
            </w:pPr>
            <w:r>
              <w:rPr>
                <w:rFonts w:ascii="Arial" w:cs="Arial" w:eastAsia="Arial" w:hAnsi="Arial"/>
                <w:sz w:val="14"/>
                <w:szCs w:val="14"/>
                <w:color w:val="auto"/>
                <w:w w:val="96"/>
              </w:rPr>
              <w:t>$69.1</w:t>
            </w:r>
          </w:p>
        </w:tc>
        <w:tc>
          <w:tcPr>
            <w:tcW w:w="0" w:type="dxa"/>
            <w:vAlign w:val="bottom"/>
          </w:tcPr>
          <w:p>
            <w:pPr>
              <w:spacing w:after="0"/>
              <w:rPr>
                <w:sz w:val="1"/>
                <w:szCs w:val="1"/>
                <w:color w:val="auto"/>
              </w:rPr>
            </w:pPr>
          </w:p>
        </w:tc>
      </w:tr>
      <w:tr>
        <w:trPr>
          <w:trHeight w:val="47"/>
        </w:trPr>
        <w:tc>
          <w:tcPr>
            <w:tcW w:w="940" w:type="dxa"/>
            <w:vAlign w:val="bottom"/>
            <w:tcBorders>
              <w:bottom w:val="single" w:sz="8" w:color="7F7F7F"/>
            </w:tcBorders>
          </w:tcPr>
          <w:p>
            <w:pPr>
              <w:spacing w:after="0"/>
              <w:rPr>
                <w:sz w:val="4"/>
                <w:szCs w:val="4"/>
                <w:color w:val="auto"/>
              </w:rPr>
            </w:pPr>
          </w:p>
        </w:tc>
        <w:tc>
          <w:tcPr>
            <w:tcW w:w="1360" w:type="dxa"/>
            <w:vAlign w:val="bottom"/>
            <w:tcBorders>
              <w:bottom w:val="single" w:sz="8" w:color="7F7F7F"/>
            </w:tcBorders>
          </w:tcPr>
          <w:p>
            <w:pPr>
              <w:spacing w:after="0"/>
              <w:rPr>
                <w:sz w:val="4"/>
                <w:szCs w:val="4"/>
                <w:color w:val="auto"/>
              </w:rPr>
            </w:pPr>
          </w:p>
        </w:tc>
        <w:tc>
          <w:tcPr>
            <w:tcW w:w="1160" w:type="dxa"/>
            <w:vAlign w:val="bottom"/>
            <w:tcBorders>
              <w:bottom w:val="single" w:sz="8" w:color="7F7F7F"/>
            </w:tcBorders>
          </w:tcPr>
          <w:p>
            <w:pPr>
              <w:spacing w:after="0"/>
              <w:rPr>
                <w:sz w:val="4"/>
                <w:szCs w:val="4"/>
                <w:color w:val="auto"/>
              </w:rPr>
            </w:pPr>
          </w:p>
        </w:tc>
        <w:tc>
          <w:tcPr>
            <w:tcW w:w="46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4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580" w:type="dxa"/>
            <w:vAlign w:val="bottom"/>
            <w:tcBorders>
              <w:bottom w:val="single" w:sz="8" w:color="7F7F7F"/>
            </w:tcBorders>
            <w:gridSpan w:val="2"/>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940" w:type="dxa"/>
            <w:vAlign w:val="bottom"/>
          </w:tcPr>
          <w:p>
            <w:pPr>
              <w:jc w:val="right"/>
              <w:ind w:right="491"/>
              <w:spacing w:after="0"/>
              <w:rPr>
                <w:sz w:val="20"/>
                <w:szCs w:val="20"/>
                <w:color w:val="auto"/>
              </w:rPr>
            </w:pPr>
            <w:r>
              <w:rPr>
                <w:rFonts w:ascii="Arial" w:cs="Arial" w:eastAsia="Arial" w:hAnsi="Arial"/>
                <w:sz w:val="14"/>
                <w:szCs w:val="14"/>
                <w:color w:val="auto"/>
              </w:rPr>
              <w:t>2022</w:t>
            </w:r>
          </w:p>
        </w:tc>
        <w:tc>
          <w:tcPr>
            <w:tcW w:w="1360" w:type="dxa"/>
            <w:vAlign w:val="bottom"/>
          </w:tcPr>
          <w:p>
            <w:pPr>
              <w:jc w:val="right"/>
              <w:ind w:right="31"/>
              <w:spacing w:after="0"/>
              <w:rPr>
                <w:sz w:val="20"/>
                <w:szCs w:val="20"/>
                <w:color w:val="auto"/>
              </w:rPr>
            </w:pPr>
            <w:r>
              <w:rPr>
                <w:rFonts w:ascii="Arial" w:cs="Arial" w:eastAsia="Arial" w:hAnsi="Arial"/>
                <w:sz w:val="14"/>
                <w:szCs w:val="14"/>
                <w:color w:val="auto"/>
              </w:rPr>
              <w:t>$3,535,281</w:t>
            </w:r>
          </w:p>
        </w:tc>
        <w:tc>
          <w:tcPr>
            <w:tcW w:w="1160" w:type="dxa"/>
            <w:vAlign w:val="bottom"/>
          </w:tcPr>
          <w:p>
            <w:pPr>
              <w:jc w:val="right"/>
              <w:ind w:right="35"/>
              <w:spacing w:after="0"/>
              <w:rPr>
                <w:sz w:val="20"/>
                <w:szCs w:val="20"/>
                <w:color w:val="auto"/>
              </w:rPr>
            </w:pPr>
            <w:r>
              <w:rPr>
                <w:rFonts w:ascii="Arial" w:cs="Arial" w:eastAsia="Arial" w:hAnsi="Arial"/>
                <w:sz w:val="14"/>
                <w:szCs w:val="14"/>
                <w:color w:val="auto"/>
              </w:rPr>
              <w:t>$2,762,629</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w w:val="96"/>
              </w:rPr>
              <w:t>1,331,744</w:t>
            </w:r>
          </w:p>
        </w:tc>
        <w:tc>
          <w:tcPr>
            <w:tcW w:w="1060" w:type="dxa"/>
            <w:vAlign w:val="bottom"/>
          </w:tcPr>
          <w:p>
            <w:pPr>
              <w:ind w:left="360"/>
              <w:spacing w:after="0"/>
              <w:rPr>
                <w:sz w:val="20"/>
                <w:szCs w:val="20"/>
                <w:color w:val="auto"/>
              </w:rPr>
            </w:pPr>
            <w:r>
              <w:rPr>
                <w:rFonts w:ascii="Arial" w:cs="Arial" w:eastAsia="Arial" w:hAnsi="Arial"/>
                <w:sz w:val="14"/>
                <w:szCs w:val="14"/>
                <w:color w:val="auto"/>
                <w:w w:val="96"/>
              </w:rPr>
              <w:t>$1,150,597</w:t>
            </w:r>
          </w:p>
        </w:tc>
        <w:tc>
          <w:tcPr>
            <w:tcW w:w="200" w:type="dxa"/>
            <w:vAlign w:val="bottom"/>
          </w:tcPr>
          <w:p>
            <w:pPr>
              <w:spacing w:after="0"/>
              <w:rPr>
                <w:sz w:val="19"/>
                <w:szCs w:val="19"/>
                <w:color w:val="auto"/>
              </w:rPr>
            </w:pPr>
          </w:p>
        </w:tc>
        <w:tc>
          <w:tcPr>
            <w:tcW w:w="1120" w:type="dxa"/>
            <w:vAlign w:val="bottom"/>
          </w:tcPr>
          <w:p>
            <w:pPr>
              <w:jc w:val="center"/>
              <w:ind w:right="51"/>
              <w:spacing w:after="0"/>
              <w:rPr>
                <w:sz w:val="20"/>
                <w:szCs w:val="20"/>
                <w:color w:val="auto"/>
              </w:rPr>
            </w:pPr>
            <w:r>
              <w:rPr>
                <w:rFonts w:ascii="Arial" w:cs="Arial" w:eastAsia="Arial" w:hAnsi="Arial"/>
                <w:sz w:val="14"/>
                <w:szCs w:val="14"/>
                <w:color w:val="auto"/>
              </w:rPr>
              <w:t>$76.65</w:t>
            </w:r>
          </w:p>
        </w:tc>
        <w:tc>
          <w:tcPr>
            <w:tcW w:w="440" w:type="dxa"/>
            <w:vAlign w:val="bottom"/>
          </w:tcPr>
          <w:p>
            <w:pPr>
              <w:jc w:val="center"/>
              <w:ind w:left="27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71"/>
              <w:spacing w:after="0"/>
              <w:rPr>
                <w:sz w:val="20"/>
                <w:szCs w:val="20"/>
                <w:color w:val="auto"/>
              </w:rPr>
            </w:pPr>
            <w:r>
              <w:rPr>
                <w:rFonts w:ascii="Arial" w:cs="Arial" w:eastAsia="Arial" w:hAnsi="Arial"/>
                <w:sz w:val="14"/>
                <w:szCs w:val="14"/>
                <w:color w:val="auto"/>
              </w:rPr>
              <w:t>81.19</w:t>
            </w:r>
          </w:p>
        </w:tc>
        <w:tc>
          <w:tcPr>
            <w:tcW w:w="680" w:type="dxa"/>
            <w:vAlign w:val="bottom"/>
            <w:gridSpan w:val="3"/>
          </w:tcPr>
          <w:p>
            <w:pPr>
              <w:jc w:val="center"/>
              <w:ind w:right="40"/>
              <w:spacing w:after="0"/>
              <w:rPr>
                <w:sz w:val="20"/>
                <w:szCs w:val="20"/>
                <w:color w:val="auto"/>
              </w:rPr>
            </w:pPr>
            <w:r>
              <w:rPr>
                <w:rFonts w:ascii="Arial" w:cs="Arial" w:eastAsia="Arial" w:hAnsi="Arial"/>
                <w:sz w:val="14"/>
                <w:szCs w:val="14"/>
                <w:color w:val="auto"/>
                <w:w w:val="95"/>
              </w:rPr>
              <w:t>$ 113.87</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($62.5)</w:t>
            </w:r>
          </w:p>
        </w:tc>
        <w:tc>
          <w:tcPr>
            <w:tcW w:w="840" w:type="dxa"/>
            <w:vAlign w:val="bottom"/>
          </w:tcPr>
          <w:p>
            <w:pPr>
              <w:jc w:val="center"/>
              <w:ind w:left="32"/>
              <w:spacing w:after="0"/>
              <w:rPr>
                <w:sz w:val="20"/>
                <w:szCs w:val="20"/>
                <w:color w:val="auto"/>
              </w:rPr>
            </w:pPr>
            <w:r>
              <w:rPr>
                <w:rFonts w:ascii="Arial" w:cs="Arial" w:eastAsia="Arial" w:hAnsi="Arial"/>
                <w:sz w:val="14"/>
                <w:szCs w:val="14"/>
                <w:color w:val="auto"/>
                <w:w w:val="96"/>
              </w:rPr>
              <w:t>$68.3</w:t>
            </w:r>
          </w:p>
        </w:tc>
        <w:tc>
          <w:tcPr>
            <w:tcW w:w="0" w:type="dxa"/>
            <w:vAlign w:val="bottom"/>
          </w:tcPr>
          <w:p>
            <w:pPr>
              <w:spacing w:after="0"/>
              <w:rPr>
                <w:sz w:val="1"/>
                <w:szCs w:val="1"/>
                <w:color w:val="auto"/>
              </w:rPr>
            </w:pPr>
          </w:p>
        </w:tc>
      </w:tr>
      <w:tr>
        <w:trPr>
          <w:trHeight w:val="47"/>
        </w:trPr>
        <w:tc>
          <w:tcPr>
            <w:tcW w:w="940" w:type="dxa"/>
            <w:vAlign w:val="bottom"/>
            <w:tcBorders>
              <w:bottom w:val="single" w:sz="8" w:color="7F7F7F"/>
            </w:tcBorders>
          </w:tcPr>
          <w:p>
            <w:pPr>
              <w:spacing w:after="0"/>
              <w:rPr>
                <w:sz w:val="4"/>
                <w:szCs w:val="4"/>
                <w:color w:val="auto"/>
              </w:rPr>
            </w:pPr>
          </w:p>
        </w:tc>
        <w:tc>
          <w:tcPr>
            <w:tcW w:w="1360" w:type="dxa"/>
            <w:vAlign w:val="bottom"/>
            <w:tcBorders>
              <w:bottom w:val="single" w:sz="8" w:color="7F7F7F"/>
            </w:tcBorders>
          </w:tcPr>
          <w:p>
            <w:pPr>
              <w:spacing w:after="0"/>
              <w:rPr>
                <w:sz w:val="4"/>
                <w:szCs w:val="4"/>
                <w:color w:val="auto"/>
              </w:rPr>
            </w:pPr>
          </w:p>
        </w:tc>
        <w:tc>
          <w:tcPr>
            <w:tcW w:w="1160" w:type="dxa"/>
            <w:vAlign w:val="bottom"/>
            <w:tcBorders>
              <w:bottom w:val="single" w:sz="8" w:color="7F7F7F"/>
            </w:tcBorders>
          </w:tcPr>
          <w:p>
            <w:pPr>
              <w:spacing w:after="0"/>
              <w:rPr>
                <w:sz w:val="4"/>
                <w:szCs w:val="4"/>
                <w:color w:val="auto"/>
              </w:rPr>
            </w:pPr>
          </w:p>
        </w:tc>
        <w:tc>
          <w:tcPr>
            <w:tcW w:w="46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4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580" w:type="dxa"/>
            <w:vAlign w:val="bottom"/>
            <w:tcBorders>
              <w:bottom w:val="single" w:sz="8" w:color="7F7F7F"/>
            </w:tcBorders>
            <w:gridSpan w:val="2"/>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940" w:type="dxa"/>
            <w:vAlign w:val="bottom"/>
          </w:tcPr>
          <w:p>
            <w:pPr>
              <w:jc w:val="right"/>
              <w:ind w:right="491"/>
              <w:spacing w:after="0"/>
              <w:rPr>
                <w:sz w:val="20"/>
                <w:szCs w:val="20"/>
                <w:color w:val="auto"/>
              </w:rPr>
            </w:pPr>
            <w:r>
              <w:rPr>
                <w:rFonts w:ascii="Arial" w:cs="Arial" w:eastAsia="Arial" w:hAnsi="Arial"/>
                <w:sz w:val="14"/>
                <w:szCs w:val="14"/>
                <w:color w:val="auto"/>
              </w:rPr>
              <w:t>2021</w:t>
            </w:r>
          </w:p>
        </w:tc>
        <w:tc>
          <w:tcPr>
            <w:tcW w:w="1360" w:type="dxa"/>
            <w:vAlign w:val="bottom"/>
          </w:tcPr>
          <w:p>
            <w:pPr>
              <w:jc w:val="right"/>
              <w:ind w:right="31"/>
              <w:spacing w:after="0"/>
              <w:rPr>
                <w:sz w:val="20"/>
                <w:szCs w:val="20"/>
                <w:color w:val="auto"/>
              </w:rPr>
            </w:pPr>
            <w:r>
              <w:rPr>
                <w:rFonts w:ascii="Arial" w:cs="Arial" w:eastAsia="Arial" w:hAnsi="Arial"/>
                <w:sz w:val="14"/>
                <w:szCs w:val="14"/>
                <w:color w:val="auto"/>
              </w:rPr>
              <w:t>$3,938,608</w:t>
            </w:r>
          </w:p>
        </w:tc>
        <w:tc>
          <w:tcPr>
            <w:tcW w:w="1160" w:type="dxa"/>
            <w:vAlign w:val="bottom"/>
          </w:tcPr>
          <w:p>
            <w:pPr>
              <w:jc w:val="right"/>
              <w:ind w:right="35"/>
              <w:spacing w:after="0"/>
              <w:rPr>
                <w:sz w:val="20"/>
                <w:szCs w:val="20"/>
                <w:color w:val="auto"/>
              </w:rPr>
            </w:pPr>
            <w:r>
              <w:rPr>
                <w:rFonts w:ascii="Arial" w:cs="Arial" w:eastAsia="Arial" w:hAnsi="Arial"/>
                <w:sz w:val="14"/>
                <w:szCs w:val="14"/>
                <w:color w:val="auto"/>
              </w:rPr>
              <w:t>$2,864,364</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w w:val="96"/>
              </w:rPr>
              <w:t>1,640,264</w:t>
            </w:r>
          </w:p>
        </w:tc>
        <w:tc>
          <w:tcPr>
            <w:tcW w:w="1060" w:type="dxa"/>
            <w:vAlign w:val="bottom"/>
          </w:tcPr>
          <w:p>
            <w:pPr>
              <w:ind w:left="360"/>
              <w:spacing w:after="0"/>
              <w:rPr>
                <w:sz w:val="20"/>
                <w:szCs w:val="20"/>
                <w:color w:val="auto"/>
              </w:rPr>
            </w:pPr>
            <w:r>
              <w:rPr>
                <w:rFonts w:ascii="Arial" w:cs="Arial" w:eastAsia="Arial" w:hAnsi="Arial"/>
                <w:sz w:val="14"/>
                <w:szCs w:val="14"/>
                <w:color w:val="auto"/>
                <w:w w:val="96"/>
              </w:rPr>
              <w:t>$1,362,908</w:t>
            </w:r>
          </w:p>
        </w:tc>
        <w:tc>
          <w:tcPr>
            <w:tcW w:w="200" w:type="dxa"/>
            <w:vAlign w:val="bottom"/>
          </w:tcPr>
          <w:p>
            <w:pPr>
              <w:spacing w:after="0"/>
              <w:rPr>
                <w:sz w:val="19"/>
                <w:szCs w:val="19"/>
                <w:color w:val="auto"/>
              </w:rPr>
            </w:pPr>
          </w:p>
        </w:tc>
        <w:tc>
          <w:tcPr>
            <w:tcW w:w="1120" w:type="dxa"/>
            <w:vAlign w:val="bottom"/>
          </w:tcPr>
          <w:p>
            <w:pPr>
              <w:jc w:val="center"/>
              <w:ind w:right="51"/>
              <w:spacing w:after="0"/>
              <w:rPr>
                <w:sz w:val="20"/>
                <w:szCs w:val="20"/>
                <w:color w:val="auto"/>
              </w:rPr>
            </w:pPr>
            <w:r>
              <w:rPr>
                <w:rFonts w:ascii="Arial" w:cs="Arial" w:eastAsia="Arial" w:hAnsi="Arial"/>
                <w:sz w:val="14"/>
                <w:szCs w:val="14"/>
                <w:color w:val="auto"/>
              </w:rPr>
              <w:t>$74.94</w:t>
            </w:r>
          </w:p>
        </w:tc>
        <w:tc>
          <w:tcPr>
            <w:tcW w:w="440" w:type="dxa"/>
            <w:vAlign w:val="bottom"/>
          </w:tcPr>
          <w:p>
            <w:pPr>
              <w:jc w:val="center"/>
              <w:ind w:left="27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71"/>
              <w:spacing w:after="0"/>
              <w:rPr>
                <w:sz w:val="20"/>
                <w:szCs w:val="20"/>
                <w:color w:val="auto"/>
              </w:rPr>
            </w:pPr>
            <w:r>
              <w:rPr>
                <w:rFonts w:ascii="Arial" w:cs="Arial" w:eastAsia="Arial" w:hAnsi="Arial"/>
                <w:sz w:val="14"/>
                <w:szCs w:val="14"/>
                <w:color w:val="auto"/>
              </w:rPr>
              <w:t>78.78</w:t>
            </w:r>
          </w:p>
        </w:tc>
        <w:tc>
          <w:tcPr>
            <w:tcW w:w="680" w:type="dxa"/>
            <w:vAlign w:val="bottom"/>
            <w:gridSpan w:val="3"/>
          </w:tcPr>
          <w:p>
            <w:pPr>
              <w:jc w:val="center"/>
              <w:ind w:right="40"/>
              <w:spacing w:after="0"/>
              <w:rPr>
                <w:sz w:val="20"/>
                <w:szCs w:val="20"/>
                <w:color w:val="auto"/>
              </w:rPr>
            </w:pPr>
            <w:r>
              <w:rPr>
                <w:rFonts w:ascii="Arial" w:cs="Arial" w:eastAsia="Arial" w:hAnsi="Arial"/>
                <w:sz w:val="14"/>
                <w:szCs w:val="14"/>
                <w:color w:val="auto"/>
              </w:rPr>
              <w:t>$152.43</w:t>
            </w: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$156.1</w:t>
            </w:r>
          </w:p>
        </w:tc>
        <w:tc>
          <w:tcPr>
            <w:tcW w:w="840" w:type="dxa"/>
            <w:vAlign w:val="bottom"/>
          </w:tcPr>
          <w:p>
            <w:pPr>
              <w:jc w:val="center"/>
              <w:ind w:left="32"/>
              <w:spacing w:after="0"/>
              <w:rPr>
                <w:sz w:val="20"/>
                <w:szCs w:val="20"/>
                <w:color w:val="auto"/>
              </w:rPr>
            </w:pPr>
            <w:r>
              <w:rPr>
                <w:rFonts w:ascii="Arial" w:cs="Arial" w:eastAsia="Arial" w:hAnsi="Arial"/>
                <w:sz w:val="14"/>
                <w:szCs w:val="14"/>
                <w:color w:val="auto"/>
                <w:w w:val="96"/>
              </w:rPr>
              <w:t>$52.6</w:t>
            </w:r>
          </w:p>
        </w:tc>
        <w:tc>
          <w:tcPr>
            <w:tcW w:w="0" w:type="dxa"/>
            <w:vAlign w:val="bottom"/>
          </w:tcPr>
          <w:p>
            <w:pPr>
              <w:spacing w:after="0"/>
              <w:rPr>
                <w:sz w:val="1"/>
                <w:szCs w:val="1"/>
                <w:color w:val="auto"/>
              </w:rPr>
            </w:pPr>
          </w:p>
        </w:tc>
      </w:tr>
      <w:tr>
        <w:trPr>
          <w:trHeight w:val="47"/>
        </w:trPr>
        <w:tc>
          <w:tcPr>
            <w:tcW w:w="940" w:type="dxa"/>
            <w:vAlign w:val="bottom"/>
            <w:tcBorders>
              <w:bottom w:val="single" w:sz="8" w:color="7F7F7F"/>
            </w:tcBorders>
          </w:tcPr>
          <w:p>
            <w:pPr>
              <w:spacing w:after="0"/>
              <w:rPr>
                <w:sz w:val="4"/>
                <w:szCs w:val="4"/>
                <w:color w:val="auto"/>
              </w:rPr>
            </w:pPr>
          </w:p>
        </w:tc>
        <w:tc>
          <w:tcPr>
            <w:tcW w:w="1360" w:type="dxa"/>
            <w:vAlign w:val="bottom"/>
            <w:tcBorders>
              <w:bottom w:val="single" w:sz="8" w:color="7F7F7F"/>
            </w:tcBorders>
          </w:tcPr>
          <w:p>
            <w:pPr>
              <w:spacing w:after="0"/>
              <w:rPr>
                <w:sz w:val="4"/>
                <w:szCs w:val="4"/>
                <w:color w:val="auto"/>
              </w:rPr>
            </w:pPr>
          </w:p>
        </w:tc>
        <w:tc>
          <w:tcPr>
            <w:tcW w:w="1160" w:type="dxa"/>
            <w:vAlign w:val="bottom"/>
            <w:tcBorders>
              <w:bottom w:val="single" w:sz="8" w:color="7F7F7F"/>
            </w:tcBorders>
          </w:tcPr>
          <w:p>
            <w:pPr>
              <w:spacing w:after="0"/>
              <w:rPr>
                <w:sz w:val="4"/>
                <w:szCs w:val="4"/>
                <w:color w:val="auto"/>
              </w:rPr>
            </w:pPr>
          </w:p>
        </w:tc>
        <w:tc>
          <w:tcPr>
            <w:tcW w:w="46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4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580" w:type="dxa"/>
            <w:vAlign w:val="bottom"/>
            <w:tcBorders>
              <w:bottom w:val="single" w:sz="8" w:color="7F7F7F"/>
            </w:tcBorders>
            <w:gridSpan w:val="2"/>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940" w:type="dxa"/>
            <w:vAlign w:val="bottom"/>
          </w:tcPr>
          <w:p>
            <w:pPr>
              <w:jc w:val="right"/>
              <w:ind w:right="491"/>
              <w:spacing w:after="0"/>
              <w:rPr>
                <w:sz w:val="20"/>
                <w:szCs w:val="20"/>
                <w:color w:val="auto"/>
              </w:rPr>
            </w:pPr>
            <w:r>
              <w:rPr>
                <w:rFonts w:ascii="Arial" w:cs="Arial" w:eastAsia="Arial" w:hAnsi="Arial"/>
                <w:sz w:val="14"/>
                <w:szCs w:val="14"/>
                <w:color w:val="auto"/>
              </w:rPr>
              <w:t>2020</w:t>
            </w:r>
          </w:p>
        </w:tc>
        <w:tc>
          <w:tcPr>
            <w:tcW w:w="1360" w:type="dxa"/>
            <w:vAlign w:val="bottom"/>
          </w:tcPr>
          <w:p>
            <w:pPr>
              <w:jc w:val="right"/>
              <w:ind w:right="31"/>
              <w:spacing w:after="0"/>
              <w:rPr>
                <w:sz w:val="20"/>
                <w:szCs w:val="20"/>
                <w:color w:val="auto"/>
              </w:rPr>
            </w:pPr>
            <w:r>
              <w:rPr>
                <w:rFonts w:ascii="Arial" w:cs="Arial" w:eastAsia="Arial" w:hAnsi="Arial"/>
                <w:sz w:val="14"/>
                <w:szCs w:val="14"/>
                <w:color w:val="auto"/>
              </w:rPr>
              <w:t>$1,550,693</w:t>
            </w:r>
          </w:p>
        </w:tc>
        <w:tc>
          <w:tcPr>
            <w:tcW w:w="1160" w:type="dxa"/>
            <w:vAlign w:val="bottom"/>
          </w:tcPr>
          <w:p>
            <w:pPr>
              <w:jc w:val="right"/>
              <w:ind w:right="35"/>
              <w:spacing w:after="0"/>
              <w:rPr>
                <w:sz w:val="20"/>
                <w:szCs w:val="20"/>
                <w:color w:val="auto"/>
              </w:rPr>
            </w:pPr>
            <w:r>
              <w:rPr>
                <w:rFonts w:ascii="Arial" w:cs="Arial" w:eastAsia="Arial" w:hAnsi="Arial"/>
                <w:sz w:val="14"/>
                <w:szCs w:val="14"/>
                <w:color w:val="auto"/>
              </w:rPr>
              <w:t>$1,334,735</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786,788</w:t>
            </w:r>
          </w:p>
        </w:tc>
        <w:tc>
          <w:tcPr>
            <w:tcW w:w="1260" w:type="dxa"/>
            <w:vAlign w:val="bottom"/>
            <w:gridSpan w:val="2"/>
          </w:tcPr>
          <w:p>
            <w:pPr>
              <w:ind w:left="360"/>
              <w:spacing w:after="0"/>
              <w:rPr>
                <w:sz w:val="20"/>
                <w:szCs w:val="20"/>
                <w:color w:val="auto"/>
              </w:rPr>
            </w:pPr>
            <w:r>
              <w:rPr>
                <w:rFonts w:ascii="Arial" w:cs="Arial" w:eastAsia="Arial" w:hAnsi="Arial"/>
                <w:sz w:val="14"/>
                <w:szCs w:val="14"/>
                <w:color w:val="auto"/>
              </w:rPr>
              <w:t>$  827,855</w:t>
            </w:r>
          </w:p>
        </w:tc>
        <w:tc>
          <w:tcPr>
            <w:tcW w:w="1120" w:type="dxa"/>
            <w:vAlign w:val="bottom"/>
          </w:tcPr>
          <w:p>
            <w:pPr>
              <w:jc w:val="center"/>
              <w:ind w:right="51"/>
              <w:spacing w:after="0"/>
              <w:rPr>
                <w:sz w:val="20"/>
                <w:szCs w:val="20"/>
                <w:color w:val="auto"/>
              </w:rPr>
            </w:pPr>
            <w:r>
              <w:rPr>
                <w:rFonts w:ascii="Arial" w:cs="Arial" w:eastAsia="Arial" w:hAnsi="Arial"/>
                <w:sz w:val="14"/>
                <w:szCs w:val="14"/>
                <w:color w:val="auto"/>
              </w:rPr>
              <w:t>$91.45</w:t>
            </w:r>
          </w:p>
        </w:tc>
        <w:tc>
          <w:tcPr>
            <w:tcW w:w="440" w:type="dxa"/>
            <w:vAlign w:val="bottom"/>
          </w:tcPr>
          <w:p>
            <w:pPr>
              <w:jc w:val="center"/>
              <w:ind w:left="27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71"/>
              <w:spacing w:after="0"/>
              <w:rPr>
                <w:sz w:val="20"/>
                <w:szCs w:val="20"/>
                <w:color w:val="auto"/>
              </w:rPr>
            </w:pPr>
            <w:r>
              <w:rPr>
                <w:rFonts w:ascii="Arial" w:cs="Arial" w:eastAsia="Arial" w:hAnsi="Arial"/>
                <w:sz w:val="14"/>
                <w:szCs w:val="14"/>
                <w:color w:val="auto"/>
              </w:rPr>
              <w:t>94.29</w:t>
            </w:r>
          </w:p>
        </w:tc>
        <w:tc>
          <w:tcPr>
            <w:tcW w:w="680" w:type="dxa"/>
            <w:vAlign w:val="bottom"/>
            <w:gridSpan w:val="3"/>
          </w:tcPr>
          <w:p>
            <w:pPr>
              <w:jc w:val="center"/>
              <w:ind w:right="40"/>
              <w:spacing w:after="0"/>
              <w:rPr>
                <w:sz w:val="20"/>
                <w:szCs w:val="20"/>
                <w:color w:val="auto"/>
              </w:rPr>
            </w:pPr>
            <w:r>
              <w:rPr>
                <w:rFonts w:ascii="Arial" w:cs="Arial" w:eastAsia="Arial" w:hAnsi="Arial"/>
                <w:sz w:val="14"/>
                <w:szCs w:val="14"/>
                <w:color w:val="auto"/>
              </w:rPr>
              <w:t>$100.85</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($72.0)</w:t>
            </w:r>
          </w:p>
        </w:tc>
        <w:tc>
          <w:tcPr>
            <w:tcW w:w="840" w:type="dxa"/>
            <w:vAlign w:val="bottom"/>
          </w:tcPr>
          <w:p>
            <w:pPr>
              <w:jc w:val="center"/>
              <w:ind w:left="32"/>
              <w:spacing w:after="0"/>
              <w:rPr>
                <w:sz w:val="20"/>
                <w:szCs w:val="20"/>
                <w:color w:val="auto"/>
              </w:rPr>
            </w:pPr>
            <w:r>
              <w:rPr>
                <w:rFonts w:ascii="Arial" w:cs="Arial" w:eastAsia="Arial" w:hAnsi="Arial"/>
                <w:sz w:val="14"/>
                <w:szCs w:val="14"/>
                <w:color w:val="auto"/>
                <w:w w:val="96"/>
              </w:rPr>
              <w:t>$44.3</w:t>
            </w:r>
          </w:p>
        </w:tc>
        <w:tc>
          <w:tcPr>
            <w:tcW w:w="0" w:type="dxa"/>
            <w:vAlign w:val="bottom"/>
          </w:tcPr>
          <w:p>
            <w:pPr>
              <w:spacing w:after="0"/>
              <w:rPr>
                <w:sz w:val="1"/>
                <w:szCs w:val="1"/>
                <w:color w:val="auto"/>
              </w:rPr>
            </w:pPr>
          </w:p>
        </w:tc>
      </w:tr>
      <w:tr>
        <w:trPr>
          <w:trHeight w:val="47"/>
        </w:trPr>
        <w:tc>
          <w:tcPr>
            <w:tcW w:w="940" w:type="dxa"/>
            <w:vAlign w:val="bottom"/>
            <w:tcBorders>
              <w:bottom w:val="single" w:sz="8" w:color="7F7F7F"/>
            </w:tcBorders>
          </w:tcPr>
          <w:p>
            <w:pPr>
              <w:spacing w:after="0"/>
              <w:rPr>
                <w:sz w:val="4"/>
                <w:szCs w:val="4"/>
                <w:color w:val="auto"/>
              </w:rPr>
            </w:pPr>
          </w:p>
        </w:tc>
        <w:tc>
          <w:tcPr>
            <w:tcW w:w="1360" w:type="dxa"/>
            <w:vAlign w:val="bottom"/>
            <w:tcBorders>
              <w:bottom w:val="single" w:sz="8" w:color="7F7F7F"/>
            </w:tcBorders>
          </w:tcPr>
          <w:p>
            <w:pPr>
              <w:spacing w:after="0"/>
              <w:rPr>
                <w:sz w:val="4"/>
                <w:szCs w:val="4"/>
                <w:color w:val="auto"/>
              </w:rPr>
            </w:pPr>
          </w:p>
        </w:tc>
        <w:tc>
          <w:tcPr>
            <w:tcW w:w="1160" w:type="dxa"/>
            <w:vAlign w:val="bottom"/>
            <w:tcBorders>
              <w:bottom w:val="single" w:sz="8" w:color="7F7F7F"/>
            </w:tcBorders>
          </w:tcPr>
          <w:p>
            <w:pPr>
              <w:spacing w:after="0"/>
              <w:rPr>
                <w:sz w:val="4"/>
                <w:szCs w:val="4"/>
                <w:color w:val="auto"/>
              </w:rPr>
            </w:pPr>
          </w:p>
        </w:tc>
        <w:tc>
          <w:tcPr>
            <w:tcW w:w="46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4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38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20" w:right="140" w:hanging="304"/>
        <w:spacing w:after="0" w:line="239" w:lineRule="auto"/>
        <w:tabs>
          <w:tab w:leader="none" w:pos="6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SEC rules require certain adjustments be made to the Summary Compensation Table totals to determine compensation actually paid as reported in the Pay versus Performance Table. Compensation actually paid, generally, is calculated as Summary Compensation Table total compensation adjusted to include the fair market value of equity awards as of the end of the fiscal year for the applicable year or, if earlier, the vesting date (rather than the grant date). We do not offer pension plan benefits therefore, there was not a change in pension value for any of the years reflective in this table. To calculate CAP, the following amounts were deducted from and added to SCT total compensation:</w:t>
      </w:r>
    </w:p>
    <w:p>
      <w:pPr>
        <w:spacing w:after="0" w:line="274"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CEO and Non-CEO NEOs SCT Total for CAP Reconciliation:</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166"/>
        </w:trPr>
        <w:tc>
          <w:tcPr>
            <w:tcW w:w="296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A9E50"/>
              </w:rPr>
              <w:t>2023</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A9E50"/>
              </w:rPr>
              <w:t>2022</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A9E50"/>
              </w:rPr>
              <w:t>2021</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4"/>
                <w:szCs w:val="14"/>
                <w:b w:val="1"/>
                <w:bCs w:val="1"/>
                <w:color w:val="0A9E50"/>
              </w:rPr>
              <w:t>2020</w:t>
            </w:r>
          </w:p>
        </w:tc>
        <w:tc>
          <w:tcPr>
            <w:tcW w:w="120" w:type="dxa"/>
            <w:vAlign w:val="bottom"/>
          </w:tcPr>
          <w:p>
            <w:pPr>
              <w:spacing w:after="0"/>
              <w:rPr>
                <w:sz w:val="14"/>
                <w:szCs w:val="14"/>
                <w:color w:val="auto"/>
              </w:rPr>
            </w:pPr>
          </w:p>
        </w:tc>
      </w:tr>
      <w:tr>
        <w:trPr>
          <w:trHeight w:val="140"/>
        </w:trPr>
        <w:tc>
          <w:tcPr>
            <w:tcW w:w="2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jc w:val="right"/>
              <w:ind w:right="11"/>
              <w:spacing w:after="0" w:line="140" w:lineRule="exact"/>
              <w:rPr>
                <w:sz w:val="20"/>
                <w:szCs w:val="20"/>
                <w:color w:val="auto"/>
              </w:rPr>
            </w:pPr>
            <w:r>
              <w:rPr>
                <w:rFonts w:ascii="Arial" w:cs="Arial" w:eastAsia="Arial" w:hAnsi="Arial"/>
                <w:sz w:val="14"/>
                <w:szCs w:val="14"/>
                <w:b w:val="1"/>
                <w:bCs w:val="1"/>
                <w:color w:val="0A9E50"/>
                <w:w w:val="96"/>
              </w:rPr>
              <w:t>Non-CEO</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gridSpan w:val="2"/>
          </w:tcPr>
          <w:p>
            <w:pPr>
              <w:jc w:val="right"/>
              <w:ind w:right="260"/>
              <w:spacing w:after="0" w:line="140" w:lineRule="exact"/>
              <w:rPr>
                <w:sz w:val="20"/>
                <w:szCs w:val="20"/>
                <w:color w:val="auto"/>
              </w:rPr>
            </w:pPr>
            <w:r>
              <w:rPr>
                <w:rFonts w:ascii="Arial" w:cs="Arial" w:eastAsia="Arial" w:hAnsi="Arial"/>
                <w:sz w:val="14"/>
                <w:szCs w:val="14"/>
                <w:b w:val="1"/>
                <w:bCs w:val="1"/>
                <w:color w:val="0A9E50"/>
                <w:w w:val="99"/>
              </w:rPr>
              <w:t>Non-CEO</w:t>
            </w:r>
          </w:p>
        </w:tc>
        <w:tc>
          <w:tcPr>
            <w:tcW w:w="1040" w:type="dxa"/>
            <w:vAlign w:val="bottom"/>
          </w:tcPr>
          <w:p>
            <w:pPr>
              <w:spacing w:after="0"/>
              <w:rPr>
                <w:sz w:val="12"/>
                <w:szCs w:val="12"/>
                <w:color w:val="auto"/>
              </w:rPr>
            </w:pPr>
          </w:p>
        </w:tc>
        <w:tc>
          <w:tcPr>
            <w:tcW w:w="900" w:type="dxa"/>
            <w:vAlign w:val="bottom"/>
            <w:gridSpan w:val="2"/>
          </w:tcPr>
          <w:p>
            <w:pPr>
              <w:jc w:val="right"/>
              <w:ind w:right="260"/>
              <w:spacing w:after="0" w:line="140" w:lineRule="exact"/>
              <w:rPr>
                <w:sz w:val="20"/>
                <w:szCs w:val="20"/>
                <w:color w:val="auto"/>
              </w:rPr>
            </w:pPr>
            <w:r>
              <w:rPr>
                <w:rFonts w:ascii="Arial" w:cs="Arial" w:eastAsia="Arial" w:hAnsi="Arial"/>
                <w:sz w:val="14"/>
                <w:szCs w:val="14"/>
                <w:b w:val="1"/>
                <w:bCs w:val="1"/>
                <w:color w:val="0A9E50"/>
                <w:w w:val="99"/>
              </w:rPr>
              <w:t>Non-CEO</w:t>
            </w:r>
          </w:p>
        </w:tc>
        <w:tc>
          <w:tcPr>
            <w:tcW w:w="880" w:type="dxa"/>
            <w:vAlign w:val="bottom"/>
          </w:tcPr>
          <w:p>
            <w:pPr>
              <w:spacing w:after="0"/>
              <w:rPr>
                <w:sz w:val="12"/>
                <w:szCs w:val="12"/>
                <w:color w:val="auto"/>
              </w:rPr>
            </w:pPr>
          </w:p>
        </w:tc>
        <w:tc>
          <w:tcPr>
            <w:tcW w:w="980" w:type="dxa"/>
            <w:vAlign w:val="bottom"/>
            <w:gridSpan w:val="2"/>
          </w:tcPr>
          <w:p>
            <w:pPr>
              <w:jc w:val="right"/>
              <w:ind w:right="200"/>
              <w:spacing w:after="0" w:line="140" w:lineRule="exact"/>
              <w:rPr>
                <w:sz w:val="20"/>
                <w:szCs w:val="20"/>
                <w:color w:val="auto"/>
              </w:rPr>
            </w:pPr>
            <w:r>
              <w:rPr>
                <w:rFonts w:ascii="Arial" w:cs="Arial" w:eastAsia="Arial" w:hAnsi="Arial"/>
                <w:sz w:val="14"/>
                <w:szCs w:val="14"/>
                <w:b w:val="1"/>
                <w:bCs w:val="1"/>
                <w:color w:val="0A9E50"/>
              </w:rPr>
              <w:t>  Non-CEO</w:t>
            </w:r>
          </w:p>
        </w:tc>
      </w:tr>
      <w:tr>
        <w:trPr>
          <w:trHeight w:val="205"/>
        </w:trPr>
        <w:tc>
          <w:tcPr>
            <w:tcW w:w="2960" w:type="dxa"/>
            <w:vAlign w:val="bottom"/>
          </w:tcPr>
          <w:p>
            <w:pPr>
              <w:spacing w:after="0"/>
              <w:rPr>
                <w:sz w:val="17"/>
                <w:szCs w:val="17"/>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0A9E50"/>
              </w:rPr>
              <w:t>CEO</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0A9E50"/>
              </w:rPr>
              <w:t>NEOs</w:t>
            </w:r>
          </w:p>
        </w:tc>
        <w:tc>
          <w:tcPr>
            <w:tcW w:w="1040" w:type="dxa"/>
            <w:vAlign w:val="bottom"/>
          </w:tcPr>
          <w:p>
            <w:pPr>
              <w:jc w:val="right"/>
              <w:ind w:right="411"/>
              <w:spacing w:after="0"/>
              <w:rPr>
                <w:sz w:val="20"/>
                <w:szCs w:val="20"/>
                <w:color w:val="auto"/>
              </w:rPr>
            </w:pPr>
            <w:r>
              <w:rPr>
                <w:rFonts w:ascii="Arial" w:cs="Arial" w:eastAsia="Arial" w:hAnsi="Arial"/>
                <w:sz w:val="14"/>
                <w:szCs w:val="14"/>
                <w:b w:val="1"/>
                <w:bCs w:val="1"/>
                <w:color w:val="0A9E50"/>
              </w:rPr>
              <w:t>CEO</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0A9E50"/>
              </w:rPr>
              <w:t>NEOs</w:t>
            </w:r>
          </w:p>
        </w:tc>
        <w:tc>
          <w:tcPr>
            <w:tcW w:w="1040" w:type="dxa"/>
            <w:vAlign w:val="bottom"/>
          </w:tcPr>
          <w:p>
            <w:pPr>
              <w:jc w:val="right"/>
              <w:ind w:right="411"/>
              <w:spacing w:after="0"/>
              <w:rPr>
                <w:sz w:val="20"/>
                <w:szCs w:val="20"/>
                <w:color w:val="auto"/>
              </w:rPr>
            </w:pPr>
            <w:r>
              <w:rPr>
                <w:rFonts w:ascii="Arial" w:cs="Arial" w:eastAsia="Arial" w:hAnsi="Arial"/>
                <w:sz w:val="14"/>
                <w:szCs w:val="14"/>
                <w:b w:val="1"/>
                <w:bCs w:val="1"/>
                <w:color w:val="0A9E50"/>
              </w:rPr>
              <w:t>CEO</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0A9E50"/>
              </w:rPr>
              <w:t>NEOs</w:t>
            </w:r>
          </w:p>
        </w:tc>
        <w:tc>
          <w:tcPr>
            <w:tcW w:w="880" w:type="dxa"/>
            <w:vAlign w:val="bottom"/>
          </w:tcPr>
          <w:p>
            <w:pPr>
              <w:jc w:val="right"/>
              <w:ind w:right="271"/>
              <w:spacing w:after="0"/>
              <w:rPr>
                <w:sz w:val="20"/>
                <w:szCs w:val="20"/>
                <w:color w:val="auto"/>
              </w:rPr>
            </w:pPr>
            <w:r>
              <w:rPr>
                <w:rFonts w:ascii="Arial" w:cs="Arial" w:eastAsia="Arial" w:hAnsi="Arial"/>
                <w:sz w:val="14"/>
                <w:szCs w:val="14"/>
                <w:b w:val="1"/>
                <w:bCs w:val="1"/>
                <w:color w:val="0A9E50"/>
              </w:rPr>
              <w:t>CEO</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0A9E50"/>
              </w:rPr>
              <w:t>NEOs</w:t>
            </w:r>
          </w:p>
        </w:tc>
      </w:tr>
      <w:tr>
        <w:trPr>
          <w:trHeight w:val="39"/>
        </w:trPr>
        <w:tc>
          <w:tcPr>
            <w:tcW w:w="29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19"/>
        </w:trPr>
        <w:tc>
          <w:tcPr>
            <w:tcW w:w="2960" w:type="dxa"/>
            <w:vAlign w:val="bottom"/>
          </w:tcPr>
          <w:p>
            <w:pPr>
              <w:ind w:left="60"/>
              <w:spacing w:after="0"/>
              <w:rPr>
                <w:sz w:val="20"/>
                <w:szCs w:val="20"/>
                <w:color w:val="auto"/>
              </w:rPr>
            </w:pPr>
            <w:r>
              <w:rPr>
                <w:rFonts w:ascii="Arial" w:cs="Arial" w:eastAsia="Arial" w:hAnsi="Arial"/>
                <w:sz w:val="14"/>
                <w:szCs w:val="14"/>
                <w:color w:val="auto"/>
              </w:rPr>
              <w:t>Summary Compensation Table Total</w:t>
            </w:r>
          </w:p>
        </w:tc>
        <w:tc>
          <w:tcPr>
            <w:tcW w:w="1040" w:type="dxa"/>
            <w:vAlign w:val="bottom"/>
          </w:tcPr>
          <w:p>
            <w:pPr>
              <w:jc w:val="right"/>
              <w:ind w:right="191"/>
              <w:spacing w:after="0"/>
              <w:rPr>
                <w:sz w:val="20"/>
                <w:szCs w:val="20"/>
                <w:color w:val="auto"/>
              </w:rPr>
            </w:pPr>
            <w:r>
              <w:rPr>
                <w:rFonts w:ascii="Arial" w:cs="Arial" w:eastAsia="Arial" w:hAnsi="Arial"/>
                <w:sz w:val="14"/>
                <w:szCs w:val="14"/>
                <w:color w:val="auto"/>
              </w:rPr>
              <w:t>$4,163,424</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$1,407,120</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$3,535,281</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$1,331,744</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$3,938,608</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$1,640,264</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$1,550,693</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$786,788</w:t>
            </w:r>
          </w:p>
        </w:tc>
      </w:tr>
      <w:tr>
        <w:trPr>
          <w:trHeight w:val="47"/>
        </w:trPr>
        <w:tc>
          <w:tcPr>
            <w:tcW w:w="296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r>
      <w:tr>
        <w:trPr>
          <w:trHeight w:val="219"/>
        </w:trPr>
        <w:tc>
          <w:tcPr>
            <w:tcW w:w="2960" w:type="dxa"/>
            <w:vAlign w:val="bottom"/>
          </w:tcPr>
          <w:p>
            <w:pPr>
              <w:ind w:left="60"/>
              <w:spacing w:after="0"/>
              <w:rPr>
                <w:sz w:val="20"/>
                <w:szCs w:val="20"/>
                <w:color w:val="auto"/>
              </w:rPr>
            </w:pPr>
            <w:r>
              <w:rPr>
                <w:rFonts w:ascii="Arial" w:cs="Arial" w:eastAsia="Arial" w:hAnsi="Arial"/>
                <w:sz w:val="14"/>
                <w:szCs w:val="14"/>
                <w:color w:val="auto"/>
              </w:rPr>
              <w:t>Summary Compensation Table Stock Awards</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($2,160,522)</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($555,116)</w:t>
            </w:r>
          </w:p>
        </w:tc>
        <w:tc>
          <w:tcPr>
            <w:tcW w:w="1040" w:type="dxa"/>
            <w:vAlign w:val="bottom"/>
          </w:tcPr>
          <w:p>
            <w:pPr>
              <w:jc w:val="right"/>
              <w:ind w:right="131"/>
              <w:spacing w:after="0"/>
              <w:rPr>
                <w:sz w:val="20"/>
                <w:szCs w:val="20"/>
                <w:color w:val="auto"/>
              </w:rPr>
            </w:pPr>
            <w:r>
              <w:rPr>
                <w:rFonts w:ascii="Arial" w:cs="Arial" w:eastAsia="Arial" w:hAnsi="Arial"/>
                <w:sz w:val="14"/>
                <w:szCs w:val="14"/>
                <w:color w:val="auto"/>
              </w:rPr>
              <w:t>($1,811,085)</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($524,293)</w:t>
            </w:r>
          </w:p>
        </w:tc>
        <w:tc>
          <w:tcPr>
            <w:tcW w:w="1040" w:type="dxa"/>
            <w:vAlign w:val="bottom"/>
          </w:tcPr>
          <w:p>
            <w:pPr>
              <w:jc w:val="right"/>
              <w:ind w:right="131"/>
              <w:spacing w:after="0"/>
              <w:rPr>
                <w:sz w:val="20"/>
                <w:szCs w:val="20"/>
                <w:color w:val="auto"/>
              </w:rPr>
            </w:pPr>
            <w:r>
              <w:rPr>
                <w:rFonts w:ascii="Arial" w:cs="Arial" w:eastAsia="Arial" w:hAnsi="Arial"/>
                <w:sz w:val="14"/>
                <w:szCs w:val="14"/>
                <w:color w:val="auto"/>
              </w:rPr>
              <w:t>($2,734,149)</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($974,762)</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($839,987)</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($326,162)</w:t>
            </w:r>
          </w:p>
        </w:tc>
      </w:tr>
      <w:tr>
        <w:trPr>
          <w:trHeight w:val="47"/>
        </w:trPr>
        <w:tc>
          <w:tcPr>
            <w:tcW w:w="296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r>
      <w:tr>
        <w:trPr>
          <w:trHeight w:val="192"/>
        </w:trPr>
        <w:tc>
          <w:tcPr>
            <w:tcW w:w="2960" w:type="dxa"/>
            <w:vAlign w:val="bottom"/>
          </w:tcPr>
          <w:p>
            <w:pPr>
              <w:ind w:left="60"/>
              <w:spacing w:after="0"/>
              <w:rPr>
                <w:sz w:val="20"/>
                <w:szCs w:val="20"/>
                <w:color w:val="auto"/>
              </w:rPr>
            </w:pPr>
            <w:r>
              <w:rPr>
                <w:rFonts w:ascii="Arial" w:cs="Arial" w:eastAsia="Arial" w:hAnsi="Arial"/>
                <w:sz w:val="14"/>
                <w:szCs w:val="14"/>
                <w:color w:val="auto"/>
              </w:rPr>
              <w:t>FYE value of unvested awards granted</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4"/>
        </w:trPr>
        <w:tc>
          <w:tcPr>
            <w:tcW w:w="2960" w:type="dxa"/>
            <w:vAlign w:val="bottom"/>
          </w:tcPr>
          <w:p>
            <w:pPr>
              <w:ind w:left="60"/>
              <w:spacing w:after="0"/>
              <w:rPr>
                <w:sz w:val="20"/>
                <w:szCs w:val="20"/>
                <w:color w:val="auto"/>
              </w:rPr>
            </w:pPr>
            <w:r>
              <w:rPr>
                <w:rFonts w:ascii="Arial" w:cs="Arial" w:eastAsia="Arial" w:hAnsi="Arial"/>
                <w:sz w:val="14"/>
                <w:szCs w:val="14"/>
                <w:color w:val="auto"/>
              </w:rPr>
              <w:t>during current year</w:t>
            </w:r>
          </w:p>
        </w:tc>
        <w:tc>
          <w:tcPr>
            <w:tcW w:w="1040" w:type="dxa"/>
            <w:vAlign w:val="bottom"/>
          </w:tcPr>
          <w:p>
            <w:pPr>
              <w:jc w:val="right"/>
              <w:ind w:right="191"/>
              <w:spacing w:after="0"/>
              <w:rPr>
                <w:sz w:val="20"/>
                <w:szCs w:val="20"/>
                <w:color w:val="auto"/>
              </w:rPr>
            </w:pPr>
            <w:r>
              <w:rPr>
                <w:rFonts w:ascii="Arial" w:cs="Arial" w:eastAsia="Arial" w:hAnsi="Arial"/>
                <w:sz w:val="14"/>
                <w:szCs w:val="14"/>
                <w:color w:val="auto"/>
              </w:rPr>
              <w:t>$2,236,679</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$617,264</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$1,052,644</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$334,843</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$2,045,752</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$789,365</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$764,875</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$405,599</w:t>
            </w:r>
          </w:p>
        </w:tc>
      </w:tr>
      <w:tr>
        <w:trPr>
          <w:trHeight w:val="47"/>
        </w:trPr>
        <w:tc>
          <w:tcPr>
            <w:tcW w:w="296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r>
      <w:tr>
        <w:trPr>
          <w:trHeight w:val="192"/>
        </w:trPr>
        <w:tc>
          <w:tcPr>
            <w:tcW w:w="2960" w:type="dxa"/>
            <w:vAlign w:val="bottom"/>
          </w:tcPr>
          <w:p>
            <w:pPr>
              <w:ind w:left="60"/>
              <w:spacing w:after="0"/>
              <w:rPr>
                <w:sz w:val="20"/>
                <w:szCs w:val="20"/>
                <w:color w:val="auto"/>
              </w:rPr>
            </w:pPr>
            <w:r>
              <w:rPr>
                <w:rFonts w:ascii="Arial" w:cs="Arial" w:eastAsia="Arial" w:hAnsi="Arial"/>
                <w:sz w:val="14"/>
                <w:szCs w:val="14"/>
                <w:color w:val="auto"/>
              </w:rPr>
              <w:t>Change in value of unvested awards from</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4"/>
        </w:trPr>
        <w:tc>
          <w:tcPr>
            <w:tcW w:w="2960" w:type="dxa"/>
            <w:vAlign w:val="bottom"/>
          </w:tcPr>
          <w:p>
            <w:pPr>
              <w:ind w:left="60"/>
              <w:spacing w:after="0"/>
              <w:rPr>
                <w:sz w:val="20"/>
                <w:szCs w:val="20"/>
                <w:color w:val="auto"/>
              </w:rPr>
            </w:pPr>
            <w:r>
              <w:rPr>
                <w:rFonts w:ascii="Arial" w:cs="Arial" w:eastAsia="Arial" w:hAnsi="Arial"/>
                <w:sz w:val="14"/>
                <w:szCs w:val="14"/>
                <w:color w:val="auto"/>
              </w:rPr>
              <w:t>prior years</w:t>
            </w:r>
          </w:p>
        </w:tc>
        <w:tc>
          <w:tcPr>
            <w:tcW w:w="1040" w:type="dxa"/>
            <w:vAlign w:val="bottom"/>
          </w:tcPr>
          <w:p>
            <w:pPr>
              <w:jc w:val="right"/>
              <w:ind w:right="191"/>
              <w:spacing w:after="0"/>
              <w:rPr>
                <w:sz w:val="20"/>
                <w:szCs w:val="20"/>
                <w:color w:val="auto"/>
              </w:rPr>
            </w:pPr>
            <w:r>
              <w:rPr>
                <w:rFonts w:ascii="Arial" w:cs="Arial" w:eastAsia="Arial" w:hAnsi="Arial"/>
                <w:sz w:val="14"/>
                <w:szCs w:val="14"/>
                <w:color w:val="auto"/>
              </w:rPr>
              <w:t>$793,531</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$239,143</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$68,855</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$24,517</w:t>
            </w:r>
          </w:p>
        </w:tc>
        <w:tc>
          <w:tcPr>
            <w:tcW w:w="1040" w:type="dxa"/>
            <w:vAlign w:val="bottom"/>
          </w:tcPr>
          <w:p>
            <w:pPr>
              <w:jc w:val="right"/>
              <w:ind w:right="131"/>
              <w:spacing w:after="0"/>
              <w:rPr>
                <w:sz w:val="20"/>
                <w:szCs w:val="20"/>
                <w:color w:val="auto"/>
              </w:rPr>
            </w:pPr>
            <w:r>
              <w:rPr>
                <w:rFonts w:ascii="Arial" w:cs="Arial" w:eastAsia="Arial" w:hAnsi="Arial"/>
                <w:sz w:val="14"/>
                <w:szCs w:val="14"/>
                <w:color w:val="auto"/>
              </w:rPr>
              <w:t>($167,781)</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($41,322)</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($68,333)</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($20,316)</w:t>
            </w:r>
          </w:p>
        </w:tc>
      </w:tr>
      <w:tr>
        <w:trPr>
          <w:trHeight w:val="47"/>
        </w:trPr>
        <w:tc>
          <w:tcPr>
            <w:tcW w:w="296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r>
      <w:tr>
        <w:trPr>
          <w:trHeight w:val="192"/>
        </w:trPr>
        <w:tc>
          <w:tcPr>
            <w:tcW w:w="2960" w:type="dxa"/>
            <w:vAlign w:val="bottom"/>
          </w:tcPr>
          <w:p>
            <w:pPr>
              <w:ind w:left="60"/>
              <w:spacing w:after="0"/>
              <w:rPr>
                <w:sz w:val="20"/>
                <w:szCs w:val="20"/>
                <w:color w:val="auto"/>
              </w:rPr>
            </w:pPr>
            <w:r>
              <w:rPr>
                <w:rFonts w:ascii="Arial" w:cs="Arial" w:eastAsia="Arial" w:hAnsi="Arial"/>
                <w:sz w:val="14"/>
                <w:szCs w:val="14"/>
                <w:color w:val="auto"/>
              </w:rPr>
              <w:t>Change in value of awards vesting during</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4"/>
        </w:trPr>
        <w:tc>
          <w:tcPr>
            <w:tcW w:w="2960" w:type="dxa"/>
            <w:vAlign w:val="bottom"/>
          </w:tcPr>
          <w:p>
            <w:pPr>
              <w:ind w:left="60"/>
              <w:spacing w:after="0"/>
              <w:rPr>
                <w:sz w:val="20"/>
                <w:szCs w:val="20"/>
                <w:color w:val="auto"/>
              </w:rPr>
            </w:pPr>
            <w:r>
              <w:rPr>
                <w:rFonts w:ascii="Arial" w:cs="Arial" w:eastAsia="Arial" w:hAnsi="Arial"/>
                <w:sz w:val="14"/>
                <w:szCs w:val="14"/>
                <w:color w:val="auto"/>
              </w:rPr>
              <w:t>current year from the prior years</w:t>
            </w:r>
          </w:p>
        </w:tc>
        <w:tc>
          <w:tcPr>
            <w:tcW w:w="1040" w:type="dxa"/>
            <w:vAlign w:val="bottom"/>
          </w:tcPr>
          <w:p>
            <w:pPr>
              <w:jc w:val="right"/>
              <w:ind w:right="191"/>
              <w:spacing w:after="0"/>
              <w:rPr>
                <w:sz w:val="20"/>
                <w:szCs w:val="20"/>
                <w:color w:val="auto"/>
              </w:rPr>
            </w:pPr>
            <w:r>
              <w:rPr>
                <w:rFonts w:ascii="Arial" w:cs="Arial" w:eastAsia="Arial" w:hAnsi="Arial"/>
                <w:sz w:val="14"/>
                <w:szCs w:val="14"/>
                <w:color w:val="auto"/>
              </w:rPr>
              <w:t>$66,830</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$20,763</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$98,065</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$22,069</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$7,513</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$2,122</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($73,595)</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($18,452)</w:t>
            </w:r>
          </w:p>
        </w:tc>
      </w:tr>
      <w:tr>
        <w:trPr>
          <w:trHeight w:val="47"/>
        </w:trPr>
        <w:tc>
          <w:tcPr>
            <w:tcW w:w="296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r>
      <w:tr>
        <w:trPr>
          <w:trHeight w:val="192"/>
        </w:trPr>
        <w:tc>
          <w:tcPr>
            <w:tcW w:w="2960" w:type="dxa"/>
            <w:vAlign w:val="bottom"/>
          </w:tcPr>
          <w:p>
            <w:pPr>
              <w:ind w:left="60"/>
              <w:spacing w:after="0"/>
              <w:rPr>
                <w:sz w:val="20"/>
                <w:szCs w:val="20"/>
                <w:color w:val="auto"/>
              </w:rPr>
            </w:pPr>
            <w:r>
              <w:rPr>
                <w:rFonts w:ascii="Arial" w:cs="Arial" w:eastAsia="Arial" w:hAnsi="Arial"/>
                <w:sz w:val="14"/>
                <w:szCs w:val="14"/>
                <w:color w:val="auto"/>
              </w:rPr>
              <w:t>Prior FYE value for awards not meeting</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4"/>
        </w:trPr>
        <w:tc>
          <w:tcPr>
            <w:tcW w:w="2960" w:type="dxa"/>
            <w:vAlign w:val="bottom"/>
          </w:tcPr>
          <w:p>
            <w:pPr>
              <w:ind w:left="60"/>
              <w:spacing w:after="0"/>
              <w:rPr>
                <w:sz w:val="20"/>
                <w:szCs w:val="20"/>
                <w:color w:val="auto"/>
              </w:rPr>
            </w:pPr>
            <w:r>
              <w:rPr>
                <w:rFonts w:ascii="Arial" w:cs="Arial" w:eastAsia="Arial" w:hAnsi="Arial"/>
                <w:sz w:val="14"/>
                <w:szCs w:val="14"/>
                <w:color w:val="auto"/>
              </w:rPr>
              <w:t>performance requirements</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($812,048)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($183,487)</w:t>
            </w:r>
          </w:p>
        </w:tc>
        <w:tc>
          <w:tcPr>
            <w:tcW w:w="1040" w:type="dxa"/>
            <w:vAlign w:val="bottom"/>
          </w:tcPr>
          <w:p>
            <w:pPr>
              <w:jc w:val="right"/>
              <w:ind w:right="131"/>
              <w:spacing w:after="0"/>
              <w:rPr>
                <w:sz w:val="20"/>
                <w:szCs w:val="20"/>
                <w:color w:val="auto"/>
              </w:rPr>
            </w:pPr>
            <w:r>
              <w:rPr>
                <w:rFonts w:ascii="Arial" w:cs="Arial" w:eastAsia="Arial" w:hAnsi="Arial"/>
                <w:sz w:val="14"/>
                <w:szCs w:val="14"/>
                <w:color w:val="auto"/>
              </w:rPr>
              <w:t>($191,086)</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($41,686)</w:t>
            </w:r>
          </w:p>
        </w:tc>
        <w:tc>
          <w:tcPr>
            <w:tcW w:w="1040" w:type="dxa"/>
            <w:vAlign w:val="bottom"/>
          </w:tcPr>
          <w:p>
            <w:pPr>
              <w:jc w:val="right"/>
              <w:ind w:right="131"/>
              <w:spacing w:after="0"/>
              <w:rPr>
                <w:sz w:val="20"/>
                <w:szCs w:val="20"/>
                <w:color w:val="auto"/>
              </w:rPr>
            </w:pPr>
            <w:r>
              <w:rPr>
                <w:rFonts w:ascii="Arial" w:cs="Arial" w:eastAsia="Arial" w:hAnsi="Arial"/>
                <w:sz w:val="14"/>
                <w:szCs w:val="14"/>
                <w:color w:val="auto"/>
              </w:rPr>
              <w:t>($227,577)</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($53,637)</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47"/>
        </w:trPr>
        <w:tc>
          <w:tcPr>
            <w:tcW w:w="296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r>
      <w:tr>
        <w:trPr>
          <w:trHeight w:val="219"/>
        </w:trPr>
        <w:tc>
          <w:tcPr>
            <w:tcW w:w="2960" w:type="dxa"/>
            <w:vAlign w:val="bottom"/>
          </w:tcPr>
          <w:p>
            <w:pPr>
              <w:ind w:left="60"/>
              <w:spacing w:after="0"/>
              <w:rPr>
                <w:sz w:val="20"/>
                <w:szCs w:val="20"/>
                <w:color w:val="auto"/>
              </w:rPr>
            </w:pPr>
            <w:r>
              <w:rPr>
                <w:rFonts w:ascii="Arial" w:cs="Arial" w:eastAsia="Arial" w:hAnsi="Arial"/>
                <w:sz w:val="14"/>
                <w:szCs w:val="14"/>
                <w:color w:val="auto"/>
              </w:rPr>
              <w:t>Dividends accrued on unvested stock awards</w:t>
            </w:r>
          </w:p>
        </w:tc>
        <w:tc>
          <w:tcPr>
            <w:tcW w:w="1040" w:type="dxa"/>
            <w:vAlign w:val="bottom"/>
          </w:tcPr>
          <w:p>
            <w:pPr>
              <w:jc w:val="right"/>
              <w:ind w:right="191"/>
              <w:spacing w:after="0"/>
              <w:rPr>
                <w:sz w:val="20"/>
                <w:szCs w:val="20"/>
                <w:color w:val="auto"/>
              </w:rPr>
            </w:pPr>
            <w:r>
              <w:rPr>
                <w:rFonts w:ascii="Arial" w:cs="Arial" w:eastAsia="Arial" w:hAnsi="Arial"/>
                <w:sz w:val="14"/>
                <w:szCs w:val="14"/>
                <w:color w:val="auto"/>
              </w:rPr>
              <w:t>$25,703</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$9,948</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$9,957</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$3,404</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$1,998</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$877</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$1,082</w:t>
            </w:r>
          </w:p>
        </w:tc>
        <w:tc>
          <w:tcPr>
            <w:tcW w:w="860" w:type="dxa"/>
            <w:vAlign w:val="bottom"/>
          </w:tcPr>
          <w:p>
            <w:pPr>
              <w:jc w:val="right"/>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19"/>
                <w:szCs w:val="19"/>
                <w:color w:val="auto"/>
              </w:rPr>
            </w:pPr>
          </w:p>
        </w:tc>
      </w:tr>
      <w:tr>
        <w:trPr>
          <w:trHeight w:val="47"/>
        </w:trPr>
        <w:tc>
          <w:tcPr>
            <w:tcW w:w="296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r>
      <w:tr>
        <w:trPr>
          <w:trHeight w:val="219"/>
        </w:trPr>
        <w:tc>
          <w:tcPr>
            <w:tcW w:w="2960" w:type="dxa"/>
            <w:vAlign w:val="bottom"/>
          </w:tcPr>
          <w:p>
            <w:pPr>
              <w:ind w:left="60"/>
              <w:spacing w:after="0"/>
              <w:rPr>
                <w:sz w:val="20"/>
                <w:szCs w:val="20"/>
                <w:color w:val="auto"/>
              </w:rPr>
            </w:pPr>
            <w:r>
              <w:rPr>
                <w:rFonts w:ascii="Arial" w:cs="Arial" w:eastAsia="Arial" w:hAnsi="Arial"/>
                <w:sz w:val="14"/>
                <w:szCs w:val="14"/>
                <w:color w:val="auto"/>
              </w:rPr>
              <w:t>Compensation Actually Paid</w:t>
            </w:r>
          </w:p>
        </w:tc>
        <w:tc>
          <w:tcPr>
            <w:tcW w:w="1040" w:type="dxa"/>
            <w:vAlign w:val="bottom"/>
          </w:tcPr>
          <w:p>
            <w:pPr>
              <w:jc w:val="right"/>
              <w:ind w:right="191"/>
              <w:spacing w:after="0"/>
              <w:rPr>
                <w:sz w:val="20"/>
                <w:szCs w:val="20"/>
                <w:color w:val="auto"/>
              </w:rPr>
            </w:pPr>
            <w:r>
              <w:rPr>
                <w:rFonts w:ascii="Arial" w:cs="Arial" w:eastAsia="Arial" w:hAnsi="Arial"/>
                <w:sz w:val="14"/>
                <w:szCs w:val="14"/>
                <w:color w:val="auto"/>
              </w:rPr>
              <w:t>$4,313,597</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$1,555,635</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$2,762,629</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$1,150,597</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$2,864,364</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$1,362,908</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$1,334,735</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$827,855</w:t>
            </w:r>
          </w:p>
        </w:tc>
      </w:tr>
      <w:tr>
        <w:trPr>
          <w:trHeight w:val="47"/>
        </w:trPr>
        <w:tc>
          <w:tcPr>
            <w:tcW w:w="296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r>
    </w:tbl>
    <w:p>
      <w:pPr>
        <w:spacing w:after="0" w:line="99" w:lineRule="exact"/>
        <w:rPr>
          <w:sz w:val="20"/>
          <w:szCs w:val="20"/>
          <w:color w:val="auto"/>
        </w:rPr>
      </w:pPr>
    </w:p>
    <w:p>
      <w:pPr>
        <w:ind w:left="620" w:right="260" w:hanging="304"/>
        <w:spacing w:after="0" w:line="239" w:lineRule="auto"/>
        <w:tabs>
          <w:tab w:leader="none" w:pos="6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Compensation for the non-principal executive officer (“CEO”) and average compensation for non-CEO named executive officers (“NEOs”) reflected in columns (c) and (e) represent the following individuals for the years shown: 2023 – Peter W. Quigley, Olivier G. Thirot, Daniel H. Malan, Vanessa P. Williams and Dinette Koolhaas, 2022 – Peter W. Quigley, Olivier G. Thirot, Dinette Koolhaas, Vanessa P. Williams, and Darren L. Simons, 2021 – Peter W. Quigley, Olivier G. Thirot, Dinette Koolhaas, Tammy L. Browning, and Timothy L. Dupree, 2020 – Peter W. Quigley, Olivier G. Thirot, Dinette Koolhaas, Tammy L. Browning, and Daniel H. Malan.</w:t>
      </w:r>
    </w:p>
    <w:p>
      <w:pPr>
        <w:spacing w:after="0" w:line="48" w:lineRule="exact"/>
        <w:rPr>
          <w:rFonts w:ascii="Arial" w:cs="Arial" w:eastAsia="Arial" w:hAnsi="Arial"/>
          <w:sz w:val="12"/>
          <w:szCs w:val="12"/>
          <w:color w:val="auto"/>
        </w:rPr>
      </w:pPr>
    </w:p>
    <w:p>
      <w:pPr>
        <w:ind w:left="620" w:right="200" w:hanging="304"/>
        <w:spacing w:after="0" w:line="239" w:lineRule="auto"/>
        <w:tabs>
          <w:tab w:leader="none" w:pos="6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As permitted by SEC rules, the peer group referenced for purpose of the TSR comparison is the group of companies included in the S&amp;P 1500 Human Resources and Employment Services Index, which is the industry peer group used for purposes of item 201(e) of Regulation S-K as well as used in the Company’s Annual Report on Form 10-K for the year ended December 31, 2023. TSR is cumulative (assuming $100 was invested on December 31, 2019) for the measurement period ending December 31, 2019 and ending on December 31 of 2023, 2022, 2021, 2020, respectively.</w:t>
      </w:r>
    </w:p>
    <w:p>
      <w:pPr>
        <w:spacing w:after="0" w:line="57"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74 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Pay vs. Performance</w:t>
      </w:r>
    </w:p>
    <w:p>
      <w:pPr>
        <w:spacing w:after="0" w:line="132" w:lineRule="exact"/>
        <w:rPr>
          <w:sz w:val="20"/>
          <w:szCs w:val="20"/>
          <w:color w:val="auto"/>
        </w:rPr>
      </w:pPr>
    </w:p>
    <w:tbl>
      <w:tblPr>
        <w:tblLayout w:type="fixed"/>
        <w:tblInd w:w="320" w:type="dxa"/>
        <w:tblCellMar>
          <w:top w:w="0" w:type="dxa"/>
          <w:left w:w="0" w:type="dxa"/>
          <w:bottom w:w="0" w:type="dxa"/>
          <w:right w:w="0" w:type="dxa"/>
        </w:tblCellMar>
      </w:tblPr>
      <w:tr>
        <w:trPr>
          <w:trHeight w:val="160"/>
        </w:trPr>
        <w:tc>
          <w:tcPr>
            <w:tcW w:w="6160" w:type="dxa"/>
            <w:vAlign w:val="bottom"/>
          </w:tcPr>
          <w:p>
            <w:pPr>
              <w:spacing w:after="0"/>
              <w:rPr>
                <w:sz w:val="20"/>
                <w:szCs w:val="20"/>
                <w:color w:val="auto"/>
              </w:rPr>
            </w:pPr>
            <w:r>
              <w:rPr>
                <w:rFonts w:ascii="Arial" w:cs="Arial" w:eastAsia="Arial" w:hAnsi="Arial"/>
                <w:sz w:val="12"/>
                <w:szCs w:val="12"/>
                <w:color w:val="auto"/>
              </w:rPr>
              <w:t>(4)   The following amounts are the reconciliation of the CSM, EFO (in millions):</w:t>
            </w:r>
          </w:p>
        </w:tc>
        <w:tc>
          <w:tcPr>
            <w:tcW w:w="2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04"/>
        </w:trPr>
        <w:tc>
          <w:tcPr>
            <w:tcW w:w="6160" w:type="dxa"/>
            <w:vAlign w:val="bottom"/>
          </w:tcPr>
          <w:p>
            <w:pPr>
              <w:spacing w:after="0"/>
              <w:rPr>
                <w:sz w:val="24"/>
                <w:szCs w:val="24"/>
                <w:color w:val="auto"/>
              </w:rPr>
            </w:pPr>
          </w:p>
        </w:tc>
        <w:tc>
          <w:tcPr>
            <w:tcW w:w="2400" w:type="dxa"/>
            <w:vAlign w:val="bottom"/>
          </w:tcPr>
          <w:p>
            <w:pPr>
              <w:jc w:val="right"/>
              <w:ind w:right="191"/>
              <w:spacing w:after="0"/>
              <w:rPr>
                <w:sz w:val="20"/>
                <w:szCs w:val="20"/>
                <w:color w:val="auto"/>
              </w:rPr>
            </w:pPr>
            <w:r>
              <w:rPr>
                <w:rFonts w:ascii="Arial" w:cs="Arial" w:eastAsia="Arial" w:hAnsi="Arial"/>
                <w:sz w:val="14"/>
                <w:szCs w:val="14"/>
                <w:b w:val="1"/>
                <w:bCs w:val="1"/>
                <w:color w:val="0A9E50"/>
              </w:rPr>
              <w:t>2023</w:t>
            </w:r>
          </w:p>
        </w:tc>
        <w:tc>
          <w:tcPr>
            <w:tcW w:w="700" w:type="dxa"/>
            <w:vAlign w:val="bottom"/>
          </w:tcPr>
          <w:p>
            <w:pPr>
              <w:jc w:val="right"/>
              <w:ind w:right="231"/>
              <w:spacing w:after="0"/>
              <w:rPr>
                <w:sz w:val="20"/>
                <w:szCs w:val="20"/>
                <w:color w:val="auto"/>
              </w:rPr>
            </w:pPr>
            <w:r>
              <w:rPr>
                <w:rFonts w:ascii="Arial" w:cs="Arial" w:eastAsia="Arial" w:hAnsi="Arial"/>
                <w:sz w:val="14"/>
                <w:szCs w:val="14"/>
                <w:b w:val="1"/>
                <w:bCs w:val="1"/>
                <w:color w:val="0A9E50"/>
              </w:rPr>
              <w:t>2022</w:t>
            </w:r>
          </w:p>
        </w:tc>
        <w:tc>
          <w:tcPr>
            <w:tcW w:w="640" w:type="dxa"/>
            <w:vAlign w:val="bottom"/>
          </w:tcPr>
          <w:p>
            <w:pPr>
              <w:jc w:val="right"/>
              <w:ind w:right="171"/>
              <w:spacing w:after="0"/>
              <w:rPr>
                <w:sz w:val="20"/>
                <w:szCs w:val="20"/>
                <w:color w:val="auto"/>
              </w:rPr>
            </w:pPr>
            <w:r>
              <w:rPr>
                <w:rFonts w:ascii="Arial" w:cs="Arial" w:eastAsia="Arial" w:hAnsi="Arial"/>
                <w:sz w:val="14"/>
                <w:szCs w:val="14"/>
                <w:b w:val="1"/>
                <w:bCs w:val="1"/>
                <w:color w:val="0A9E50"/>
              </w:rPr>
              <w:t>2021</w:t>
            </w: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0A9E50"/>
              </w:rPr>
              <w:t>2020</w:t>
            </w:r>
          </w:p>
        </w:tc>
      </w:tr>
      <w:tr>
        <w:trPr>
          <w:trHeight w:val="39"/>
        </w:trPr>
        <w:tc>
          <w:tcPr>
            <w:tcW w:w="616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19"/>
        </w:trPr>
        <w:tc>
          <w:tcPr>
            <w:tcW w:w="6160" w:type="dxa"/>
            <w:vAlign w:val="bottom"/>
          </w:tcPr>
          <w:p>
            <w:pPr>
              <w:ind w:left="60"/>
              <w:spacing w:after="0"/>
              <w:rPr>
                <w:sz w:val="20"/>
                <w:szCs w:val="20"/>
                <w:color w:val="auto"/>
              </w:rPr>
            </w:pPr>
            <w:r>
              <w:rPr>
                <w:rFonts w:ascii="Arial" w:cs="Arial" w:eastAsia="Arial" w:hAnsi="Arial"/>
                <w:sz w:val="14"/>
                <w:szCs w:val="14"/>
                <w:color w:val="auto"/>
              </w:rPr>
              <w:t>As Reported</w:t>
            </w:r>
          </w:p>
        </w:tc>
        <w:tc>
          <w:tcPr>
            <w:tcW w:w="2400" w:type="dxa"/>
            <w:vAlign w:val="bottom"/>
          </w:tcPr>
          <w:p>
            <w:pPr>
              <w:jc w:val="right"/>
              <w:ind w:right="151"/>
              <w:spacing w:after="0"/>
              <w:rPr>
                <w:sz w:val="20"/>
                <w:szCs w:val="20"/>
                <w:color w:val="auto"/>
              </w:rPr>
            </w:pPr>
            <w:r>
              <w:rPr>
                <w:rFonts w:ascii="Arial" w:cs="Arial" w:eastAsia="Arial" w:hAnsi="Arial"/>
                <w:sz w:val="14"/>
                <w:szCs w:val="14"/>
                <w:color w:val="auto"/>
              </w:rPr>
              <w:t>$24.3</w:t>
            </w:r>
          </w:p>
        </w:tc>
        <w:tc>
          <w:tcPr>
            <w:tcW w:w="700" w:type="dxa"/>
            <w:vAlign w:val="bottom"/>
          </w:tcPr>
          <w:p>
            <w:pPr>
              <w:jc w:val="right"/>
              <w:ind w:right="191"/>
              <w:spacing w:after="0"/>
              <w:rPr>
                <w:sz w:val="20"/>
                <w:szCs w:val="20"/>
                <w:color w:val="auto"/>
              </w:rPr>
            </w:pPr>
            <w:r>
              <w:rPr>
                <w:rFonts w:ascii="Arial" w:cs="Arial" w:eastAsia="Arial" w:hAnsi="Arial"/>
                <w:sz w:val="14"/>
                <w:szCs w:val="14"/>
                <w:color w:val="auto"/>
              </w:rPr>
              <w:t>$14.8</w:t>
            </w:r>
          </w:p>
        </w:tc>
        <w:tc>
          <w:tcPr>
            <w:tcW w:w="640" w:type="dxa"/>
            <w:vAlign w:val="bottom"/>
          </w:tcPr>
          <w:p>
            <w:pPr>
              <w:jc w:val="right"/>
              <w:ind w:right="131"/>
              <w:spacing w:after="0"/>
              <w:rPr>
                <w:sz w:val="20"/>
                <w:szCs w:val="20"/>
                <w:color w:val="auto"/>
              </w:rPr>
            </w:pPr>
            <w:r>
              <w:rPr>
                <w:rFonts w:ascii="Arial" w:cs="Arial" w:eastAsia="Arial" w:hAnsi="Arial"/>
                <w:sz w:val="14"/>
                <w:szCs w:val="14"/>
                <w:color w:val="auto"/>
              </w:rPr>
              <w:t>$48.6</w:t>
            </w:r>
          </w:p>
        </w:tc>
        <w:tc>
          <w:tcPr>
            <w:tcW w:w="720" w:type="dxa"/>
            <w:vAlign w:val="bottom"/>
          </w:tcPr>
          <w:p>
            <w:pPr>
              <w:jc w:val="right"/>
              <w:ind w:right="114"/>
              <w:spacing w:after="0"/>
              <w:rPr>
                <w:sz w:val="20"/>
                <w:szCs w:val="20"/>
                <w:color w:val="auto"/>
              </w:rPr>
            </w:pPr>
            <w:r>
              <w:rPr>
                <w:rFonts w:ascii="Arial" w:cs="Arial" w:eastAsia="Arial" w:hAnsi="Arial"/>
                <w:sz w:val="14"/>
                <w:szCs w:val="14"/>
                <w:color w:val="auto"/>
              </w:rPr>
              <w:t>($93.6)</w:t>
            </w:r>
          </w:p>
        </w:tc>
      </w:tr>
      <w:tr>
        <w:trPr>
          <w:trHeight w:val="47"/>
        </w:trPr>
        <w:tc>
          <w:tcPr>
            <w:tcW w:w="6160" w:type="dxa"/>
            <w:vAlign w:val="bottom"/>
            <w:tcBorders>
              <w:bottom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6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r>
      <w:tr>
        <w:trPr>
          <w:trHeight w:val="266"/>
        </w:trPr>
        <w:tc>
          <w:tcPr>
            <w:tcW w:w="616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Gain on sale of assets</w:t>
            </w:r>
          </w:p>
        </w:tc>
        <w:tc>
          <w:tcPr>
            <w:tcW w:w="2400" w:type="dxa"/>
            <w:vAlign w:val="bottom"/>
            <w:tcBorders>
              <w:bottom w:val="single" w:sz="8" w:color="7F7F7F"/>
            </w:tcBorders>
          </w:tcPr>
          <w:p>
            <w:pPr>
              <w:spacing w:after="0"/>
              <w:rPr>
                <w:sz w:val="23"/>
                <w:szCs w:val="23"/>
                <w:color w:val="auto"/>
              </w:rPr>
            </w:pPr>
          </w:p>
        </w:tc>
        <w:tc>
          <w:tcPr>
            <w:tcW w:w="700" w:type="dxa"/>
            <w:vAlign w:val="bottom"/>
            <w:tcBorders>
              <w:bottom w:val="single" w:sz="8" w:color="7F7F7F"/>
            </w:tcBorders>
          </w:tcPr>
          <w:p>
            <w:pPr>
              <w:jc w:val="right"/>
              <w:ind w:right="51"/>
              <w:spacing w:after="0"/>
              <w:rPr>
                <w:sz w:val="20"/>
                <w:szCs w:val="20"/>
                <w:color w:val="auto"/>
              </w:rPr>
            </w:pPr>
            <w:r>
              <w:rPr>
                <w:rFonts w:ascii="Arial" w:cs="Arial" w:eastAsia="Arial" w:hAnsi="Arial"/>
                <w:sz w:val="14"/>
                <w:szCs w:val="14"/>
                <w:color w:val="auto"/>
              </w:rPr>
              <w:t>(6.2)</w:t>
            </w:r>
            <w:r>
              <w:rPr>
                <w:rFonts w:ascii="Arial" w:cs="Arial" w:eastAsia="Arial" w:hAnsi="Arial"/>
                <w:sz w:val="17"/>
                <w:szCs w:val="17"/>
                <w:color w:val="auto"/>
                <w:vertAlign w:val="superscript"/>
              </w:rPr>
              <w:t>(4)</w:t>
            </w:r>
          </w:p>
        </w:tc>
        <w:tc>
          <w:tcPr>
            <w:tcW w:w="640" w:type="dxa"/>
            <w:vAlign w:val="bottom"/>
            <w:tcBorders>
              <w:bottom w:val="single" w:sz="8" w:color="7F7F7F"/>
            </w:tcBorders>
          </w:tcPr>
          <w:p>
            <w:pPr>
              <w:spacing w:after="0"/>
              <w:rPr>
                <w:sz w:val="23"/>
                <w:szCs w:val="23"/>
                <w:color w:val="auto"/>
              </w:rPr>
            </w:pPr>
          </w:p>
        </w:tc>
        <w:tc>
          <w:tcPr>
            <w:tcW w:w="7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(32.1)</w:t>
            </w:r>
            <w:r>
              <w:rPr>
                <w:rFonts w:ascii="Arial" w:cs="Arial" w:eastAsia="Arial" w:hAnsi="Arial"/>
                <w:sz w:val="17"/>
                <w:szCs w:val="17"/>
                <w:color w:val="auto"/>
                <w:vertAlign w:val="superscript"/>
              </w:rPr>
              <w:t>(8)</w:t>
            </w:r>
          </w:p>
        </w:tc>
      </w:tr>
      <w:tr>
        <w:trPr>
          <w:trHeight w:val="266"/>
        </w:trPr>
        <w:tc>
          <w:tcPr>
            <w:tcW w:w="616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Loss on disposal</w:t>
            </w:r>
          </w:p>
        </w:tc>
        <w:tc>
          <w:tcPr>
            <w:tcW w:w="2400" w:type="dxa"/>
            <w:vAlign w:val="bottom"/>
            <w:tcBorders>
              <w:bottom w:val="single" w:sz="8" w:color="7F7F7F"/>
            </w:tcBorders>
          </w:tcPr>
          <w:p>
            <w:pPr>
              <w:spacing w:after="0"/>
              <w:rPr>
                <w:sz w:val="23"/>
                <w:szCs w:val="23"/>
                <w:color w:val="auto"/>
              </w:rPr>
            </w:pPr>
          </w:p>
        </w:tc>
        <w:tc>
          <w:tcPr>
            <w:tcW w:w="700" w:type="dxa"/>
            <w:vAlign w:val="bottom"/>
            <w:tcBorders>
              <w:bottom w:val="single" w:sz="8" w:color="7F7F7F"/>
            </w:tcBorders>
          </w:tcPr>
          <w:p>
            <w:pPr>
              <w:jc w:val="right"/>
              <w:ind w:right="91"/>
              <w:spacing w:after="0"/>
              <w:rPr>
                <w:sz w:val="20"/>
                <w:szCs w:val="20"/>
                <w:color w:val="auto"/>
              </w:rPr>
            </w:pPr>
            <w:r>
              <w:rPr>
                <w:rFonts w:ascii="Arial" w:cs="Arial" w:eastAsia="Arial" w:hAnsi="Arial"/>
                <w:sz w:val="14"/>
                <w:szCs w:val="14"/>
                <w:color w:val="auto"/>
              </w:rPr>
              <w:t>18.7</w:t>
            </w:r>
            <w:r>
              <w:rPr>
                <w:rFonts w:ascii="Arial" w:cs="Arial" w:eastAsia="Arial" w:hAnsi="Arial"/>
                <w:sz w:val="17"/>
                <w:szCs w:val="17"/>
                <w:color w:val="auto"/>
                <w:vertAlign w:val="superscript"/>
              </w:rPr>
              <w:t>(5)</w:t>
            </w:r>
          </w:p>
        </w:tc>
        <w:tc>
          <w:tcPr>
            <w:tcW w:w="640" w:type="dxa"/>
            <w:vAlign w:val="bottom"/>
            <w:tcBorders>
              <w:bottom w:val="single" w:sz="8" w:color="7F7F7F"/>
            </w:tcBorders>
          </w:tcPr>
          <w:p>
            <w:pPr>
              <w:spacing w:after="0"/>
              <w:rPr>
                <w:sz w:val="23"/>
                <w:szCs w:val="23"/>
                <w:color w:val="auto"/>
              </w:rPr>
            </w:pPr>
          </w:p>
        </w:tc>
        <w:tc>
          <w:tcPr>
            <w:tcW w:w="720" w:type="dxa"/>
            <w:vAlign w:val="bottom"/>
            <w:tcBorders>
              <w:bottom w:val="single" w:sz="8" w:color="7F7F7F"/>
            </w:tcBorders>
          </w:tcPr>
          <w:p>
            <w:pPr>
              <w:spacing w:after="0"/>
              <w:rPr>
                <w:sz w:val="23"/>
                <w:szCs w:val="23"/>
                <w:color w:val="auto"/>
              </w:rPr>
            </w:pPr>
          </w:p>
        </w:tc>
      </w:tr>
      <w:tr>
        <w:trPr>
          <w:trHeight w:val="266"/>
        </w:trPr>
        <w:tc>
          <w:tcPr>
            <w:tcW w:w="616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Goodwill impairment charge</w:t>
            </w:r>
          </w:p>
        </w:tc>
        <w:tc>
          <w:tcPr>
            <w:tcW w:w="2400" w:type="dxa"/>
            <w:vAlign w:val="bottom"/>
            <w:tcBorders>
              <w:bottom w:val="single" w:sz="8" w:color="7F7F7F"/>
            </w:tcBorders>
          </w:tcPr>
          <w:p>
            <w:pPr>
              <w:spacing w:after="0"/>
              <w:rPr>
                <w:sz w:val="23"/>
                <w:szCs w:val="23"/>
                <w:color w:val="auto"/>
              </w:rPr>
            </w:pPr>
          </w:p>
        </w:tc>
        <w:tc>
          <w:tcPr>
            <w:tcW w:w="700" w:type="dxa"/>
            <w:vAlign w:val="bottom"/>
            <w:tcBorders>
              <w:bottom w:val="single" w:sz="8" w:color="7F7F7F"/>
            </w:tcBorders>
          </w:tcPr>
          <w:p>
            <w:pPr>
              <w:jc w:val="right"/>
              <w:ind w:right="91"/>
              <w:spacing w:after="0"/>
              <w:rPr>
                <w:sz w:val="20"/>
                <w:szCs w:val="20"/>
                <w:color w:val="auto"/>
              </w:rPr>
            </w:pPr>
            <w:r>
              <w:rPr>
                <w:rFonts w:ascii="Arial" w:cs="Arial" w:eastAsia="Arial" w:hAnsi="Arial"/>
                <w:sz w:val="14"/>
                <w:szCs w:val="14"/>
                <w:color w:val="auto"/>
              </w:rPr>
              <w:t>41.0</w:t>
            </w:r>
            <w:r>
              <w:rPr>
                <w:rFonts w:ascii="Arial" w:cs="Arial" w:eastAsia="Arial" w:hAnsi="Arial"/>
                <w:sz w:val="17"/>
                <w:szCs w:val="17"/>
                <w:color w:val="auto"/>
                <w:vertAlign w:val="superscript"/>
              </w:rPr>
              <w:t>(6)</w:t>
            </w:r>
          </w:p>
        </w:tc>
        <w:tc>
          <w:tcPr>
            <w:tcW w:w="640" w:type="dxa"/>
            <w:vAlign w:val="bottom"/>
            <w:tcBorders>
              <w:bottom w:val="single" w:sz="8" w:color="7F7F7F"/>
            </w:tcBorders>
          </w:tcPr>
          <w:p>
            <w:pPr>
              <w:spacing w:after="0"/>
              <w:rPr>
                <w:sz w:val="23"/>
                <w:szCs w:val="23"/>
                <w:color w:val="auto"/>
              </w:rPr>
            </w:pPr>
          </w:p>
        </w:tc>
        <w:tc>
          <w:tcPr>
            <w:tcW w:w="720" w:type="dxa"/>
            <w:vAlign w:val="bottom"/>
            <w:tcBorders>
              <w:bottom w:val="single" w:sz="8" w:color="7F7F7F"/>
            </w:tcBorders>
          </w:tcPr>
          <w:p>
            <w:pPr>
              <w:jc w:val="right"/>
              <w:ind w:right="54"/>
              <w:spacing w:after="0"/>
              <w:rPr>
                <w:sz w:val="20"/>
                <w:szCs w:val="20"/>
                <w:color w:val="auto"/>
              </w:rPr>
            </w:pPr>
            <w:r>
              <w:rPr>
                <w:rFonts w:ascii="Arial" w:cs="Arial" w:eastAsia="Arial" w:hAnsi="Arial"/>
                <w:sz w:val="14"/>
                <w:szCs w:val="14"/>
                <w:color w:val="auto"/>
              </w:rPr>
              <w:t>147.7</w:t>
            </w:r>
            <w:r>
              <w:rPr>
                <w:rFonts w:ascii="Arial" w:cs="Arial" w:eastAsia="Arial" w:hAnsi="Arial"/>
                <w:sz w:val="17"/>
                <w:szCs w:val="17"/>
                <w:color w:val="auto"/>
                <w:vertAlign w:val="superscript"/>
              </w:rPr>
              <w:t>(9)</w:t>
            </w:r>
          </w:p>
        </w:tc>
      </w:tr>
      <w:tr>
        <w:trPr>
          <w:trHeight w:val="266"/>
        </w:trPr>
        <w:tc>
          <w:tcPr>
            <w:tcW w:w="616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Asset impairment charge</w:t>
            </w:r>
          </w:p>
        </w:tc>
        <w:tc>
          <w:tcPr>
            <w:tcW w:w="2400" w:type="dxa"/>
            <w:vAlign w:val="bottom"/>
            <w:tcBorders>
              <w:bottom w:val="single" w:sz="8" w:color="7F7F7F"/>
            </w:tcBorders>
          </w:tcPr>
          <w:p>
            <w:pPr>
              <w:jc w:val="right"/>
              <w:ind w:right="31"/>
              <w:spacing w:after="0"/>
              <w:rPr>
                <w:sz w:val="20"/>
                <w:szCs w:val="20"/>
                <w:color w:val="auto"/>
              </w:rPr>
            </w:pPr>
            <w:r>
              <w:rPr>
                <w:rFonts w:ascii="Arial" w:cs="Arial" w:eastAsia="Arial" w:hAnsi="Arial"/>
                <w:sz w:val="14"/>
                <w:szCs w:val="14"/>
                <w:color w:val="auto"/>
              </w:rPr>
              <w:t>2.4</w:t>
            </w:r>
            <w:r>
              <w:rPr>
                <w:rFonts w:ascii="Arial" w:cs="Arial" w:eastAsia="Arial" w:hAnsi="Arial"/>
                <w:sz w:val="17"/>
                <w:szCs w:val="17"/>
                <w:color w:val="auto"/>
                <w:vertAlign w:val="superscript"/>
              </w:rPr>
              <w:t>(1)</w:t>
            </w:r>
          </w:p>
        </w:tc>
        <w:tc>
          <w:tcPr>
            <w:tcW w:w="700" w:type="dxa"/>
            <w:vAlign w:val="bottom"/>
            <w:tcBorders>
              <w:bottom w:val="single" w:sz="8" w:color="7F7F7F"/>
            </w:tcBorders>
          </w:tcPr>
          <w:p>
            <w:pPr>
              <w:spacing w:after="0"/>
              <w:rPr>
                <w:sz w:val="23"/>
                <w:szCs w:val="23"/>
                <w:color w:val="auto"/>
              </w:rPr>
            </w:pPr>
          </w:p>
        </w:tc>
        <w:tc>
          <w:tcPr>
            <w:tcW w:w="640" w:type="dxa"/>
            <w:vAlign w:val="bottom"/>
            <w:tcBorders>
              <w:bottom w:val="single" w:sz="8" w:color="7F7F7F"/>
            </w:tcBorders>
          </w:tcPr>
          <w:p>
            <w:pPr>
              <w:spacing w:after="0"/>
              <w:rPr>
                <w:sz w:val="23"/>
                <w:szCs w:val="23"/>
                <w:color w:val="auto"/>
              </w:rPr>
            </w:pPr>
          </w:p>
        </w:tc>
        <w:tc>
          <w:tcPr>
            <w:tcW w:w="720" w:type="dxa"/>
            <w:vAlign w:val="bottom"/>
            <w:tcBorders>
              <w:bottom w:val="single" w:sz="8" w:color="7F7F7F"/>
            </w:tcBorders>
          </w:tcPr>
          <w:p>
            <w:pPr>
              <w:spacing w:after="0"/>
              <w:rPr>
                <w:sz w:val="23"/>
                <w:szCs w:val="23"/>
                <w:color w:val="auto"/>
              </w:rPr>
            </w:pPr>
          </w:p>
        </w:tc>
      </w:tr>
      <w:tr>
        <w:trPr>
          <w:trHeight w:val="266"/>
        </w:trPr>
        <w:tc>
          <w:tcPr>
            <w:tcW w:w="616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Restructuring charge</w:t>
            </w:r>
          </w:p>
        </w:tc>
        <w:tc>
          <w:tcPr>
            <w:tcW w:w="2400" w:type="dxa"/>
            <w:vAlign w:val="bottom"/>
            <w:tcBorders>
              <w:bottom w:val="single" w:sz="8" w:color="7F7F7F"/>
            </w:tcBorders>
          </w:tcPr>
          <w:p>
            <w:pPr>
              <w:jc w:val="right"/>
              <w:ind w:right="31"/>
              <w:spacing w:after="0"/>
              <w:rPr>
                <w:sz w:val="20"/>
                <w:szCs w:val="20"/>
                <w:color w:val="auto"/>
              </w:rPr>
            </w:pPr>
            <w:r>
              <w:rPr>
                <w:rFonts w:ascii="Arial" w:cs="Arial" w:eastAsia="Arial" w:hAnsi="Arial"/>
                <w:sz w:val="14"/>
                <w:szCs w:val="14"/>
                <w:color w:val="auto"/>
              </w:rPr>
              <w:t>35.5</w:t>
            </w:r>
            <w:r>
              <w:rPr>
                <w:rFonts w:ascii="Arial" w:cs="Arial" w:eastAsia="Arial" w:hAnsi="Arial"/>
                <w:sz w:val="17"/>
                <w:szCs w:val="17"/>
                <w:color w:val="auto"/>
                <w:vertAlign w:val="superscript"/>
              </w:rPr>
              <w:t>(2)</w:t>
            </w:r>
          </w:p>
        </w:tc>
        <w:tc>
          <w:tcPr>
            <w:tcW w:w="700" w:type="dxa"/>
            <w:vAlign w:val="bottom"/>
            <w:tcBorders>
              <w:bottom w:val="single" w:sz="8" w:color="7F7F7F"/>
            </w:tcBorders>
          </w:tcPr>
          <w:p>
            <w:pPr>
              <w:spacing w:after="0"/>
              <w:rPr>
                <w:sz w:val="23"/>
                <w:szCs w:val="23"/>
                <w:color w:val="auto"/>
              </w:rPr>
            </w:pPr>
          </w:p>
        </w:tc>
        <w:tc>
          <w:tcPr>
            <w:tcW w:w="640" w:type="dxa"/>
            <w:vAlign w:val="bottom"/>
            <w:tcBorders>
              <w:bottom w:val="single" w:sz="8" w:color="7F7F7F"/>
            </w:tcBorders>
          </w:tcPr>
          <w:p>
            <w:pPr>
              <w:jc w:val="right"/>
              <w:ind w:right="31"/>
              <w:spacing w:after="0"/>
              <w:rPr>
                <w:sz w:val="20"/>
                <w:szCs w:val="20"/>
                <w:color w:val="auto"/>
              </w:rPr>
            </w:pPr>
            <w:r>
              <w:rPr>
                <w:rFonts w:ascii="Arial" w:cs="Arial" w:eastAsia="Arial" w:hAnsi="Arial"/>
                <w:sz w:val="14"/>
                <w:szCs w:val="14"/>
                <w:color w:val="auto"/>
              </w:rPr>
              <w:t>4.0</w:t>
            </w:r>
            <w:r>
              <w:rPr>
                <w:rFonts w:ascii="Arial" w:cs="Arial" w:eastAsia="Arial" w:hAnsi="Arial"/>
                <w:sz w:val="17"/>
                <w:szCs w:val="17"/>
                <w:color w:val="auto"/>
                <w:vertAlign w:val="superscript"/>
              </w:rPr>
              <w:t>(7)</w:t>
            </w:r>
          </w:p>
        </w:tc>
        <w:tc>
          <w:tcPr>
            <w:tcW w:w="7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12.8</w:t>
            </w:r>
            <w:r>
              <w:rPr>
                <w:rFonts w:ascii="Arial" w:cs="Arial" w:eastAsia="Arial" w:hAnsi="Arial"/>
                <w:sz w:val="17"/>
                <w:szCs w:val="17"/>
                <w:color w:val="auto"/>
                <w:vertAlign w:val="superscript"/>
              </w:rPr>
              <w:t>(10)</w:t>
            </w:r>
          </w:p>
        </w:tc>
      </w:tr>
      <w:tr>
        <w:trPr>
          <w:trHeight w:val="266"/>
        </w:trPr>
        <w:tc>
          <w:tcPr>
            <w:tcW w:w="616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Transaction costs</w:t>
            </w:r>
          </w:p>
        </w:tc>
        <w:tc>
          <w:tcPr>
            <w:tcW w:w="2400" w:type="dxa"/>
            <w:vAlign w:val="bottom"/>
            <w:tcBorders>
              <w:bottom w:val="single" w:sz="8" w:color="7F7F7F"/>
            </w:tcBorders>
          </w:tcPr>
          <w:p>
            <w:pPr>
              <w:jc w:val="right"/>
              <w:ind w:right="31"/>
              <w:spacing w:after="0"/>
              <w:rPr>
                <w:sz w:val="20"/>
                <w:szCs w:val="20"/>
                <w:color w:val="auto"/>
              </w:rPr>
            </w:pPr>
            <w:r>
              <w:rPr>
                <w:rFonts w:ascii="Arial" w:cs="Arial" w:eastAsia="Arial" w:hAnsi="Arial"/>
                <w:sz w:val="14"/>
                <w:szCs w:val="14"/>
                <w:color w:val="auto"/>
              </w:rPr>
              <w:t>6.9</w:t>
            </w:r>
            <w:r>
              <w:rPr>
                <w:rFonts w:ascii="Arial" w:cs="Arial" w:eastAsia="Arial" w:hAnsi="Arial"/>
                <w:sz w:val="17"/>
                <w:szCs w:val="17"/>
                <w:color w:val="auto"/>
                <w:vertAlign w:val="superscript"/>
              </w:rPr>
              <w:t>(3)</w:t>
            </w:r>
          </w:p>
        </w:tc>
        <w:tc>
          <w:tcPr>
            <w:tcW w:w="700" w:type="dxa"/>
            <w:vAlign w:val="bottom"/>
            <w:tcBorders>
              <w:bottom w:val="single" w:sz="8" w:color="7F7F7F"/>
            </w:tcBorders>
          </w:tcPr>
          <w:p>
            <w:pPr>
              <w:spacing w:after="0"/>
              <w:rPr>
                <w:sz w:val="23"/>
                <w:szCs w:val="23"/>
                <w:color w:val="auto"/>
              </w:rPr>
            </w:pPr>
          </w:p>
        </w:tc>
        <w:tc>
          <w:tcPr>
            <w:tcW w:w="640" w:type="dxa"/>
            <w:vAlign w:val="bottom"/>
            <w:tcBorders>
              <w:bottom w:val="single" w:sz="8" w:color="7F7F7F"/>
            </w:tcBorders>
          </w:tcPr>
          <w:p>
            <w:pPr>
              <w:spacing w:after="0"/>
              <w:rPr>
                <w:sz w:val="23"/>
                <w:szCs w:val="23"/>
                <w:color w:val="auto"/>
              </w:rPr>
            </w:pPr>
          </w:p>
        </w:tc>
        <w:tc>
          <w:tcPr>
            <w:tcW w:w="720" w:type="dxa"/>
            <w:vAlign w:val="bottom"/>
            <w:tcBorders>
              <w:bottom w:val="single" w:sz="8" w:color="7F7F7F"/>
            </w:tcBorders>
          </w:tcPr>
          <w:p>
            <w:pPr>
              <w:spacing w:after="0"/>
              <w:rPr>
                <w:sz w:val="23"/>
                <w:szCs w:val="23"/>
                <w:color w:val="auto"/>
              </w:rPr>
            </w:pPr>
          </w:p>
        </w:tc>
      </w:tr>
      <w:tr>
        <w:trPr>
          <w:trHeight w:val="266"/>
        </w:trPr>
        <w:tc>
          <w:tcPr>
            <w:tcW w:w="616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Customer dispute</w:t>
            </w:r>
          </w:p>
        </w:tc>
        <w:tc>
          <w:tcPr>
            <w:tcW w:w="2400" w:type="dxa"/>
            <w:vAlign w:val="bottom"/>
            <w:tcBorders>
              <w:bottom w:val="single" w:sz="8" w:color="7F7F7F"/>
            </w:tcBorders>
          </w:tcPr>
          <w:p>
            <w:pPr>
              <w:spacing w:after="0"/>
              <w:rPr>
                <w:sz w:val="23"/>
                <w:szCs w:val="23"/>
                <w:color w:val="auto"/>
              </w:rPr>
            </w:pPr>
          </w:p>
        </w:tc>
        <w:tc>
          <w:tcPr>
            <w:tcW w:w="700" w:type="dxa"/>
            <w:vAlign w:val="bottom"/>
            <w:tcBorders>
              <w:bottom w:val="single" w:sz="8" w:color="7F7F7F"/>
            </w:tcBorders>
          </w:tcPr>
          <w:p>
            <w:pPr>
              <w:spacing w:after="0"/>
              <w:rPr>
                <w:sz w:val="23"/>
                <w:szCs w:val="23"/>
                <w:color w:val="auto"/>
              </w:rPr>
            </w:pPr>
          </w:p>
        </w:tc>
        <w:tc>
          <w:tcPr>
            <w:tcW w:w="640" w:type="dxa"/>
            <w:vAlign w:val="bottom"/>
            <w:tcBorders>
              <w:bottom w:val="single" w:sz="8" w:color="7F7F7F"/>
            </w:tcBorders>
          </w:tcPr>
          <w:p>
            <w:pPr>
              <w:spacing w:after="0"/>
              <w:rPr>
                <w:sz w:val="23"/>
                <w:szCs w:val="23"/>
                <w:color w:val="auto"/>
              </w:rPr>
            </w:pPr>
          </w:p>
        </w:tc>
        <w:tc>
          <w:tcPr>
            <w:tcW w:w="720" w:type="dxa"/>
            <w:vAlign w:val="bottom"/>
            <w:tcBorders>
              <w:bottom w:val="single" w:sz="8" w:color="7F7F7F"/>
            </w:tcBorders>
          </w:tcPr>
          <w:p>
            <w:pPr>
              <w:jc w:val="right"/>
              <w:ind w:right="14"/>
              <w:spacing w:after="0" w:line="266" w:lineRule="exact"/>
              <w:rPr>
                <w:sz w:val="20"/>
                <w:szCs w:val="20"/>
                <w:color w:val="auto"/>
              </w:rPr>
            </w:pPr>
            <w:r>
              <w:rPr>
                <w:rFonts w:ascii="Arial" w:cs="Arial" w:eastAsia="Arial" w:hAnsi="Arial"/>
                <w:sz w:val="27"/>
                <w:szCs w:val="27"/>
                <w:color w:val="auto"/>
                <w:vertAlign w:val="subscript"/>
              </w:rPr>
              <w:t>9.5</w:t>
            </w:r>
            <w:r>
              <w:rPr>
                <w:rFonts w:ascii="Arial" w:cs="Arial" w:eastAsia="Arial" w:hAnsi="Arial"/>
                <w:sz w:val="9"/>
                <w:szCs w:val="9"/>
                <w:color w:val="auto"/>
              </w:rPr>
              <w:t>(11)</w:t>
            </w:r>
          </w:p>
        </w:tc>
      </w:tr>
      <w:tr>
        <w:trPr>
          <w:trHeight w:val="219"/>
        </w:trPr>
        <w:tc>
          <w:tcPr>
            <w:tcW w:w="6160" w:type="dxa"/>
            <w:vAlign w:val="bottom"/>
          </w:tcPr>
          <w:p>
            <w:pPr>
              <w:ind w:left="60"/>
              <w:spacing w:after="0"/>
              <w:rPr>
                <w:sz w:val="20"/>
                <w:szCs w:val="20"/>
                <w:color w:val="auto"/>
              </w:rPr>
            </w:pPr>
            <w:r>
              <w:rPr>
                <w:rFonts w:ascii="Arial" w:cs="Arial" w:eastAsia="Arial" w:hAnsi="Arial"/>
                <w:sz w:val="14"/>
                <w:szCs w:val="14"/>
                <w:color w:val="auto"/>
              </w:rPr>
              <w:t>Adjusted</w:t>
            </w:r>
          </w:p>
        </w:tc>
        <w:tc>
          <w:tcPr>
            <w:tcW w:w="2400" w:type="dxa"/>
            <w:vAlign w:val="bottom"/>
          </w:tcPr>
          <w:p>
            <w:pPr>
              <w:jc w:val="right"/>
              <w:ind w:right="151"/>
              <w:spacing w:after="0"/>
              <w:rPr>
                <w:sz w:val="20"/>
                <w:szCs w:val="20"/>
                <w:color w:val="auto"/>
              </w:rPr>
            </w:pPr>
            <w:r>
              <w:rPr>
                <w:rFonts w:ascii="Arial" w:cs="Arial" w:eastAsia="Arial" w:hAnsi="Arial"/>
                <w:sz w:val="14"/>
                <w:szCs w:val="14"/>
                <w:color w:val="auto"/>
              </w:rPr>
              <w:t>$69.1</w:t>
            </w:r>
          </w:p>
        </w:tc>
        <w:tc>
          <w:tcPr>
            <w:tcW w:w="700" w:type="dxa"/>
            <w:vAlign w:val="bottom"/>
          </w:tcPr>
          <w:p>
            <w:pPr>
              <w:jc w:val="right"/>
              <w:ind w:right="191"/>
              <w:spacing w:after="0"/>
              <w:rPr>
                <w:sz w:val="20"/>
                <w:szCs w:val="20"/>
                <w:color w:val="auto"/>
              </w:rPr>
            </w:pPr>
            <w:r>
              <w:rPr>
                <w:rFonts w:ascii="Arial" w:cs="Arial" w:eastAsia="Arial" w:hAnsi="Arial"/>
                <w:sz w:val="14"/>
                <w:szCs w:val="14"/>
                <w:color w:val="auto"/>
              </w:rPr>
              <w:t>$68.3</w:t>
            </w:r>
          </w:p>
        </w:tc>
        <w:tc>
          <w:tcPr>
            <w:tcW w:w="640" w:type="dxa"/>
            <w:vAlign w:val="bottom"/>
          </w:tcPr>
          <w:p>
            <w:pPr>
              <w:jc w:val="right"/>
              <w:ind w:right="131"/>
              <w:spacing w:after="0"/>
              <w:rPr>
                <w:sz w:val="20"/>
                <w:szCs w:val="20"/>
                <w:color w:val="auto"/>
              </w:rPr>
            </w:pPr>
            <w:r>
              <w:rPr>
                <w:rFonts w:ascii="Arial" w:cs="Arial" w:eastAsia="Arial" w:hAnsi="Arial"/>
                <w:sz w:val="14"/>
                <w:szCs w:val="14"/>
                <w:color w:val="auto"/>
              </w:rPr>
              <w:t>$52.6</w:t>
            </w:r>
          </w:p>
        </w:tc>
        <w:tc>
          <w:tcPr>
            <w:tcW w:w="720" w:type="dxa"/>
            <w:vAlign w:val="bottom"/>
          </w:tcPr>
          <w:p>
            <w:pPr>
              <w:jc w:val="right"/>
              <w:ind w:right="154"/>
              <w:spacing w:after="0"/>
              <w:rPr>
                <w:sz w:val="20"/>
                <w:szCs w:val="20"/>
                <w:color w:val="auto"/>
              </w:rPr>
            </w:pPr>
            <w:r>
              <w:rPr>
                <w:rFonts w:ascii="Arial" w:cs="Arial" w:eastAsia="Arial" w:hAnsi="Arial"/>
                <w:sz w:val="14"/>
                <w:szCs w:val="14"/>
                <w:color w:val="auto"/>
              </w:rPr>
              <w:t>$44.3</w:t>
            </w:r>
          </w:p>
        </w:tc>
      </w:tr>
      <w:tr>
        <w:trPr>
          <w:trHeight w:val="47"/>
        </w:trPr>
        <w:tc>
          <w:tcPr>
            <w:tcW w:w="6160" w:type="dxa"/>
            <w:vAlign w:val="bottom"/>
            <w:tcBorders>
              <w:bottom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6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r>
    </w:tbl>
    <w:p>
      <w:pPr>
        <w:spacing w:after="0" w:line="99" w:lineRule="exact"/>
        <w:rPr>
          <w:sz w:val="20"/>
          <w:szCs w:val="20"/>
          <w:color w:val="auto"/>
        </w:rPr>
      </w:pPr>
    </w:p>
    <w:p>
      <w:pPr>
        <w:ind w:left="620" w:hanging="304"/>
        <w:spacing w:after="0"/>
        <w:tabs>
          <w:tab w:leader="none" w:pos="6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Asset impairment charge in 2023 represents the impairment of right-of-use assets related to an unoccupied existing office space lease</w:t>
      </w:r>
    </w:p>
    <w:p>
      <w:pPr>
        <w:spacing w:after="0" w:line="70" w:lineRule="exact"/>
        <w:rPr>
          <w:rFonts w:ascii="Arial" w:cs="Arial" w:eastAsia="Arial" w:hAnsi="Arial"/>
          <w:sz w:val="12"/>
          <w:szCs w:val="12"/>
          <w:color w:val="auto"/>
        </w:rPr>
      </w:pPr>
    </w:p>
    <w:p>
      <w:pPr>
        <w:ind w:left="620" w:right="60" w:hanging="304"/>
        <w:spacing w:after="0" w:line="264" w:lineRule="auto"/>
        <w:tabs>
          <w:tab w:leader="none" w:pos="6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Restructuring charges in 2023 represents costs related to a comprehensive transformation initiative that includes actions that will further streamline the Company’s operating model to enhance organizational efficiency and effectiveness</w:t>
      </w:r>
    </w:p>
    <w:p>
      <w:pPr>
        <w:spacing w:after="0" w:line="34" w:lineRule="exact"/>
        <w:rPr>
          <w:rFonts w:ascii="Arial" w:cs="Arial" w:eastAsia="Arial" w:hAnsi="Arial"/>
          <w:sz w:val="12"/>
          <w:szCs w:val="12"/>
          <w:color w:val="auto"/>
        </w:rPr>
      </w:pPr>
    </w:p>
    <w:p>
      <w:pPr>
        <w:ind w:left="620" w:hanging="304"/>
        <w:spacing w:after="0"/>
        <w:tabs>
          <w:tab w:leader="none" w:pos="6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Transaction costs, which includes employee termination costs, incurred in the fourth quarter of 2023 directly related to the sale of the EMEA staffing operations in the first quarter of 2024</w:t>
      </w:r>
    </w:p>
    <w:p>
      <w:pPr>
        <w:spacing w:after="0" w:line="70" w:lineRule="exact"/>
        <w:rPr>
          <w:rFonts w:ascii="Arial" w:cs="Arial" w:eastAsia="Arial" w:hAnsi="Arial"/>
          <w:sz w:val="12"/>
          <w:szCs w:val="12"/>
          <w:color w:val="auto"/>
        </w:rPr>
      </w:pPr>
    </w:p>
    <w:p>
      <w:pPr>
        <w:ind w:left="620" w:right="280" w:hanging="304"/>
        <w:spacing w:after="0" w:line="264" w:lineRule="auto"/>
        <w:tabs>
          <w:tab w:leader="none" w:pos="6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Gain on sale of assets in 2022 is related to the sale of real property in the fourth quarter, under-utilized real property in the second quarter, and other real property sold in the first quarter of 2022</w:t>
      </w:r>
    </w:p>
    <w:p>
      <w:pPr>
        <w:spacing w:after="0" w:line="34" w:lineRule="exact"/>
        <w:rPr>
          <w:rFonts w:ascii="Arial" w:cs="Arial" w:eastAsia="Arial" w:hAnsi="Arial"/>
          <w:sz w:val="12"/>
          <w:szCs w:val="12"/>
          <w:color w:val="auto"/>
        </w:rPr>
      </w:pPr>
    </w:p>
    <w:p>
      <w:pPr>
        <w:ind w:left="620" w:hanging="304"/>
        <w:spacing w:after="0"/>
        <w:tabs>
          <w:tab w:leader="none" w:pos="6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Loss on disposal in 2022 represents the write-off of the net assets of our Russian operations that were sold in the third quarter of 2022</w:t>
      </w:r>
    </w:p>
    <w:p>
      <w:pPr>
        <w:spacing w:after="0" w:line="70" w:lineRule="exact"/>
        <w:rPr>
          <w:rFonts w:ascii="Arial" w:cs="Arial" w:eastAsia="Arial" w:hAnsi="Arial"/>
          <w:sz w:val="12"/>
          <w:szCs w:val="12"/>
          <w:color w:val="auto"/>
        </w:rPr>
      </w:pPr>
    </w:p>
    <w:p>
      <w:pPr>
        <w:ind w:left="620" w:hanging="304"/>
        <w:spacing w:after="0"/>
        <w:tabs>
          <w:tab w:leader="none" w:pos="6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Goodwill impairment charge in 2022 is the result of interim impairment tests the Company performed related to RocketPower due to triggering events caused by changes in market conditions</w:t>
      </w:r>
    </w:p>
    <w:p>
      <w:pPr>
        <w:spacing w:after="0" w:line="70" w:lineRule="exact"/>
        <w:rPr>
          <w:rFonts w:ascii="Arial" w:cs="Arial" w:eastAsia="Arial" w:hAnsi="Arial"/>
          <w:sz w:val="12"/>
          <w:szCs w:val="12"/>
          <w:color w:val="auto"/>
        </w:rPr>
      </w:pPr>
    </w:p>
    <w:p>
      <w:pPr>
        <w:ind w:left="620" w:right="240" w:hanging="304"/>
        <w:spacing w:after="0" w:line="264" w:lineRule="auto"/>
        <w:tabs>
          <w:tab w:leader="none" w:pos="6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Restructuring charges in 2021 represents severance costs as part of cost management actions designed to increase operational efficiencies with enterprise functions that provide centralize support to operating units</w:t>
      </w:r>
    </w:p>
    <w:p>
      <w:pPr>
        <w:spacing w:after="0" w:line="34" w:lineRule="exact"/>
        <w:rPr>
          <w:rFonts w:ascii="Arial" w:cs="Arial" w:eastAsia="Arial" w:hAnsi="Arial"/>
          <w:sz w:val="12"/>
          <w:szCs w:val="12"/>
          <w:color w:val="auto"/>
        </w:rPr>
      </w:pPr>
    </w:p>
    <w:p>
      <w:pPr>
        <w:ind w:left="620" w:hanging="304"/>
        <w:spacing w:after="0"/>
        <w:tabs>
          <w:tab w:leader="none" w:pos="6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Gain on sale of assets primarily represents the excess of proceeds over the cost of the headquarters properties sold during the first quarter of 2020</w:t>
      </w:r>
    </w:p>
    <w:p>
      <w:pPr>
        <w:spacing w:after="0" w:line="70" w:lineRule="exact"/>
        <w:rPr>
          <w:rFonts w:ascii="Arial" w:cs="Arial" w:eastAsia="Arial" w:hAnsi="Arial"/>
          <w:sz w:val="12"/>
          <w:szCs w:val="12"/>
          <w:color w:val="auto"/>
        </w:rPr>
      </w:pPr>
    </w:p>
    <w:p>
      <w:pPr>
        <w:ind w:left="620" w:right="20" w:hanging="304"/>
        <w:spacing w:after="0" w:line="264" w:lineRule="auto"/>
        <w:tabs>
          <w:tab w:leader="none" w:pos="6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goodwill impairment charge is a result of an interim impairment test the Company performed during the first quarter of 2020, due to a triggering event caused by a decline in the Company’s common stock price</w:t>
      </w:r>
    </w:p>
    <w:p>
      <w:pPr>
        <w:spacing w:after="0" w:line="34" w:lineRule="exact"/>
        <w:rPr>
          <w:rFonts w:ascii="Arial" w:cs="Arial" w:eastAsia="Arial" w:hAnsi="Arial"/>
          <w:sz w:val="12"/>
          <w:szCs w:val="12"/>
          <w:color w:val="auto"/>
        </w:rPr>
      </w:pPr>
    </w:p>
    <w:p>
      <w:pPr>
        <w:ind w:left="620" w:hanging="304"/>
        <w:spacing w:after="0"/>
        <w:tabs>
          <w:tab w:leader="none" w:pos="6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Restructuring charges in 2020 represents severance and lease terminations in preparation for a new operating model adopted in the third quarter of 2020</w:t>
      </w:r>
    </w:p>
    <w:p>
      <w:pPr>
        <w:spacing w:after="0" w:line="70" w:lineRule="exact"/>
        <w:rPr>
          <w:rFonts w:ascii="Arial" w:cs="Arial" w:eastAsia="Arial" w:hAnsi="Arial"/>
          <w:sz w:val="12"/>
          <w:szCs w:val="12"/>
          <w:color w:val="auto"/>
        </w:rPr>
      </w:pPr>
    </w:p>
    <w:p>
      <w:pPr>
        <w:ind w:left="620" w:right="360" w:hanging="304"/>
        <w:spacing w:after="0" w:line="264" w:lineRule="auto"/>
        <w:tabs>
          <w:tab w:leader="none" w:pos="6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Customer dispute in 2020 represents a non-cash charge in Mexico to increase the reserve against a long-term receivable from a former customer based on an updated probability of loss assessment</w:t>
      </w:r>
    </w:p>
    <w:p>
      <w:pPr>
        <w:spacing w:after="0" w:line="170" w:lineRule="exact"/>
        <w:rPr>
          <w:sz w:val="20"/>
          <w:szCs w:val="20"/>
          <w:color w:val="auto"/>
        </w:rPr>
      </w:pPr>
    </w:p>
    <w:p>
      <w:pPr>
        <w:ind w:left="320" w:right="560"/>
        <w:spacing w:after="0" w:line="265" w:lineRule="auto"/>
        <w:rPr>
          <w:sz w:val="20"/>
          <w:szCs w:val="20"/>
          <w:color w:val="auto"/>
        </w:rPr>
      </w:pPr>
      <w:r>
        <w:rPr>
          <w:rFonts w:ascii="Arial" w:cs="Arial" w:eastAsia="Arial" w:hAnsi="Arial"/>
          <w:sz w:val="16"/>
          <w:szCs w:val="16"/>
          <w:color w:val="auto"/>
        </w:rPr>
        <w:t>As discussed in the CD&amp;A section of this Proxy Statement, the five items listed below represent the most important financial measures we used to determine CAP for FY 2023.</w:t>
      </w:r>
    </w:p>
    <w:p>
      <w:pPr>
        <w:spacing w:after="0" w:line="195" w:lineRule="exact"/>
        <w:rPr>
          <w:sz w:val="20"/>
          <w:szCs w:val="20"/>
          <w:color w:val="auto"/>
        </w:rPr>
      </w:pPr>
    </w:p>
    <w:p>
      <w:pPr>
        <w:jc w:val="center"/>
        <w:ind w:right="5740"/>
        <w:spacing w:after="0"/>
        <w:rPr>
          <w:sz w:val="20"/>
          <w:szCs w:val="20"/>
          <w:color w:val="auto"/>
        </w:rPr>
      </w:pPr>
      <w:r>
        <w:rPr>
          <w:rFonts w:ascii="Arial" w:cs="Arial" w:eastAsia="Arial" w:hAnsi="Arial"/>
          <w:sz w:val="14"/>
          <w:szCs w:val="14"/>
          <w:b w:val="1"/>
          <w:bCs w:val="1"/>
          <w:color w:val="0A9E50"/>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44450</wp:posOffset>
            </wp:positionV>
            <wp:extent cx="289941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53" w:lineRule="exact"/>
        <w:rPr>
          <w:sz w:val="20"/>
          <w:szCs w:val="20"/>
          <w:color w:val="auto"/>
        </w:rPr>
      </w:pPr>
    </w:p>
    <w:p>
      <w:pPr>
        <w:jc w:val="center"/>
        <w:ind w:right="5680"/>
        <w:spacing w:after="0"/>
        <w:rPr>
          <w:sz w:val="20"/>
          <w:szCs w:val="20"/>
          <w:color w:val="auto"/>
        </w:rPr>
      </w:pPr>
      <w:r>
        <w:rPr>
          <w:rFonts w:ascii="Arial" w:cs="Arial" w:eastAsia="Arial" w:hAnsi="Arial"/>
          <w:sz w:val="14"/>
          <w:szCs w:val="14"/>
          <w:color w:val="auto"/>
        </w:rPr>
        <w:t>Adjusted EFO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44450</wp:posOffset>
            </wp:positionV>
            <wp:extent cx="289941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53" w:lineRule="exact"/>
        <w:rPr>
          <w:sz w:val="20"/>
          <w:szCs w:val="20"/>
          <w:color w:val="auto"/>
        </w:rPr>
      </w:pPr>
    </w:p>
    <w:p>
      <w:pPr>
        <w:jc w:val="center"/>
        <w:ind w:right="5680"/>
        <w:spacing w:after="0"/>
        <w:rPr>
          <w:sz w:val="20"/>
          <w:szCs w:val="20"/>
          <w:color w:val="auto"/>
        </w:rPr>
      </w:pPr>
      <w:r>
        <w:rPr>
          <w:rFonts w:ascii="Arial" w:cs="Arial" w:eastAsia="Arial" w:hAnsi="Arial"/>
          <w:sz w:val="14"/>
          <w:szCs w:val="14"/>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44450</wp:posOffset>
            </wp:positionV>
            <wp:extent cx="289941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53" w:lineRule="exact"/>
        <w:rPr>
          <w:sz w:val="20"/>
          <w:szCs w:val="20"/>
          <w:color w:val="auto"/>
        </w:rPr>
      </w:pPr>
    </w:p>
    <w:p>
      <w:pPr>
        <w:jc w:val="center"/>
        <w:ind w:right="5680"/>
        <w:spacing w:after="0"/>
        <w:rPr>
          <w:sz w:val="20"/>
          <w:szCs w:val="20"/>
          <w:color w:val="auto"/>
        </w:rPr>
      </w:pPr>
      <w:r>
        <w:rPr>
          <w:rFonts w:ascii="Arial" w:cs="Arial" w:eastAsia="Arial" w:hAnsi="Arial"/>
          <w:sz w:val="14"/>
          <w:szCs w:val="14"/>
          <w:color w:val="auto"/>
        </w:rPr>
        <w:t>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44450</wp:posOffset>
            </wp:positionV>
            <wp:extent cx="289941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53" w:lineRule="exact"/>
        <w:rPr>
          <w:sz w:val="20"/>
          <w:szCs w:val="20"/>
          <w:color w:val="auto"/>
        </w:rPr>
      </w:pPr>
    </w:p>
    <w:p>
      <w:pPr>
        <w:jc w:val="center"/>
        <w:ind w:right="5680"/>
        <w:spacing w:after="0"/>
        <w:rPr>
          <w:sz w:val="20"/>
          <w:szCs w:val="20"/>
          <w:color w:val="auto"/>
        </w:rPr>
      </w:pPr>
      <w:r>
        <w:rPr>
          <w:rFonts w:ascii="Arial" w:cs="Arial" w:eastAsia="Arial" w:hAnsi="Arial"/>
          <w:sz w:val="14"/>
          <w:szCs w:val="14"/>
          <w:color w:val="auto"/>
        </w:rPr>
        <w:t>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44450</wp:posOffset>
            </wp:positionV>
            <wp:extent cx="289941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53" w:lineRule="exact"/>
        <w:rPr>
          <w:sz w:val="20"/>
          <w:szCs w:val="20"/>
          <w:color w:val="auto"/>
        </w:rPr>
      </w:pPr>
    </w:p>
    <w:p>
      <w:pPr>
        <w:jc w:val="center"/>
        <w:ind w:right="5680"/>
        <w:spacing w:after="0"/>
        <w:rPr>
          <w:sz w:val="20"/>
          <w:szCs w:val="20"/>
          <w:color w:val="auto"/>
        </w:rPr>
      </w:pPr>
      <w:r>
        <w:rPr>
          <w:rFonts w:ascii="Arial" w:cs="Arial" w:eastAsia="Arial" w:hAnsi="Arial"/>
          <w:sz w:val="14"/>
          <w:szCs w:val="14"/>
          <w:color w:val="auto"/>
        </w:rPr>
        <w:t>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44450</wp:posOffset>
            </wp:positionV>
            <wp:extent cx="289941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259" w:lineRule="exact"/>
        <w:rPr>
          <w:sz w:val="20"/>
          <w:szCs w:val="20"/>
          <w:color w:val="auto"/>
        </w:rPr>
      </w:pPr>
    </w:p>
    <w:p>
      <w:pPr>
        <w:ind w:left="320" w:right="80"/>
        <w:spacing w:after="0" w:line="245" w:lineRule="auto"/>
        <w:rPr>
          <w:sz w:val="20"/>
          <w:szCs w:val="20"/>
          <w:color w:val="auto"/>
        </w:rPr>
      </w:pPr>
      <w:r>
        <w:rPr>
          <w:rFonts w:ascii="Arial" w:cs="Arial" w:eastAsia="Arial" w:hAnsi="Arial"/>
          <w:sz w:val="16"/>
          <w:szCs w:val="16"/>
          <w:color w:val="auto"/>
        </w:rPr>
        <w:t>The charts below show, for the past four years, the relationship of the Company’s TSR relative to the S&amp;P 1500 Human Resources and Employment Services index, which reflects the Company’s industry sector, as well as the relationship between the CEO and non-CEO CAP and the Company’s TSR; the Company’s net earnings; and the Company’s non-GAAP adjusted EFO. Compensation in 2020 was impacted by the global pandemic. As a result, no annual cash payout was awarded to NEOs, and equity incentive awards were reduced by 50%.</w:t>
      </w: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-222250</wp:posOffset>
            </wp:positionV>
            <wp:extent cx="8255" cy="2228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Pay vs. Performance</w:t>
      </w:r>
    </w:p>
    <w:p>
      <w:pPr>
        <w:spacing w:after="0" w:line="123" w:lineRule="exact"/>
        <w:rPr>
          <w:sz w:val="20"/>
          <w:szCs w:val="20"/>
          <w:color w:val="auto"/>
        </w:rPr>
      </w:pPr>
    </w:p>
    <w:p>
      <w:pPr>
        <w:jc w:val="right"/>
        <w:ind w:right="7779"/>
        <w:spacing w:after="0"/>
        <w:rPr>
          <w:sz w:val="20"/>
          <w:szCs w:val="20"/>
          <w:color w:val="auto"/>
        </w:rPr>
      </w:pPr>
      <w:r>
        <w:rPr>
          <w:rFonts w:ascii="Arial" w:cs="Arial" w:eastAsia="Arial" w:hAnsi="Arial"/>
          <w:sz w:val="21"/>
          <w:szCs w:val="21"/>
          <w:b w:val="1"/>
          <w:bCs w:val="1"/>
          <w:color w:val="auto"/>
        </w:rPr>
        <w:t>Pay vs.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267970</wp:posOffset>
            </wp:positionV>
            <wp:extent cx="6212205" cy="30727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212205" cy="3072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76 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139"/>
          </w:cols>
          <w:pgMar w:left="320" w:top="471"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320" w:right="160"/>
        <w:spacing w:after="0" w:line="270" w:lineRule="auto"/>
        <w:rPr>
          <w:sz w:val="20"/>
          <w:szCs w:val="20"/>
          <w:color w:val="auto"/>
        </w:rPr>
      </w:pPr>
      <w:r>
        <w:rPr>
          <w:rFonts w:ascii="Arial" w:cs="Arial" w:eastAsia="Arial" w:hAnsi="Arial"/>
          <w:sz w:val="31"/>
          <w:szCs w:val="31"/>
          <w:b w:val="1"/>
          <w:bCs w:val="1"/>
          <w:color w:val="auto"/>
        </w:rPr>
        <w:t>Proposal 3 – Vote for the Amendment of the Company’s Restated Certificate of Incorporation to reflect updated Delaware law provisions permitting officer exculpation.</w:t>
      </w:r>
    </w:p>
    <w:p>
      <w:pPr>
        <w:spacing w:after="0" w:line="218" w:lineRule="exact"/>
        <w:rPr>
          <w:sz w:val="20"/>
          <w:szCs w:val="20"/>
          <w:color w:val="auto"/>
        </w:rPr>
      </w:pPr>
    </w:p>
    <w:p>
      <w:pPr>
        <w:jc w:val="both"/>
        <w:ind w:left="320" w:right="260"/>
        <w:spacing w:after="0" w:line="246" w:lineRule="auto"/>
        <w:rPr>
          <w:sz w:val="20"/>
          <w:szCs w:val="20"/>
          <w:color w:val="auto"/>
        </w:rPr>
      </w:pPr>
      <w:r>
        <w:rPr>
          <w:rFonts w:ascii="Arial" w:cs="Arial" w:eastAsia="Arial" w:hAnsi="Arial"/>
          <w:sz w:val="16"/>
          <w:szCs w:val="16"/>
          <w:color w:val="auto"/>
        </w:rPr>
        <w:t>As a general matter, the Board believes that our Restated Certificate of Incorporation should contain provisions consistent with the Delaware General Corporation Law ( the “DGCL”), as amended from time to time, and that amending our Restated Certificate to add the authorized liability protection for certain officers, which is consistent with the protection currently afforded our directors under the DGCL, is desirable in order to continue to attract and retain experienced and qualified officers.</w:t>
      </w:r>
    </w:p>
    <w:p>
      <w:pPr>
        <w:spacing w:after="0" w:line="52" w:lineRule="exact"/>
        <w:rPr>
          <w:sz w:val="20"/>
          <w:szCs w:val="20"/>
          <w:color w:val="auto"/>
        </w:rPr>
      </w:pPr>
    </w:p>
    <w:p>
      <w:pPr>
        <w:ind w:left="320"/>
        <w:spacing w:after="0" w:line="243" w:lineRule="auto"/>
        <w:rPr>
          <w:sz w:val="20"/>
          <w:szCs w:val="20"/>
          <w:color w:val="auto"/>
        </w:rPr>
      </w:pPr>
      <w:r>
        <w:rPr>
          <w:rFonts w:ascii="Arial" w:cs="Arial" w:eastAsia="Arial" w:hAnsi="Arial"/>
          <w:sz w:val="16"/>
          <w:szCs w:val="16"/>
          <w:color w:val="auto"/>
        </w:rPr>
        <w:t>The new provision of the DGCL, and if this proposal is approved, our Restated Certificate, would only eliminate or limit an officer’s liability in connection with those direct claims, including class actions, brought by stockholders for breach of an officer’s fiduciary duty of care. However, as is currently the case with directors under our Restated Certificate, the proposed amendment would not eliminate or limit liability of officers for breaches of their fiduciary duty of loyalty, acts or omissions not in good faith or that involve intentional misconduct or a knowing violation of law, or any transaction in which the officer derived an improper personal benefit. Further, the proposed amendment would not eliminate or limit officers’ monetary liability for breach of fiduciary duty claims brought by the Company itself or for derivative claims brought by stockholders in the name of the Company.</w:t>
      </w:r>
    </w:p>
    <w:p>
      <w:pPr>
        <w:spacing w:after="0" w:line="40" w:lineRule="exact"/>
        <w:rPr>
          <w:sz w:val="20"/>
          <w:szCs w:val="20"/>
          <w:color w:val="auto"/>
        </w:rPr>
      </w:pPr>
    </w:p>
    <w:p>
      <w:pPr>
        <w:ind w:left="320" w:right="40"/>
        <w:spacing w:after="0" w:line="246" w:lineRule="auto"/>
        <w:rPr>
          <w:sz w:val="20"/>
          <w:szCs w:val="20"/>
          <w:color w:val="auto"/>
        </w:rPr>
      </w:pPr>
      <w:r>
        <w:rPr>
          <w:rFonts w:ascii="Arial" w:cs="Arial" w:eastAsia="Arial" w:hAnsi="Arial"/>
          <w:sz w:val="16"/>
          <w:szCs w:val="16"/>
          <w:color w:val="auto"/>
        </w:rPr>
        <w:t>The rationale for limiting the scope of liability is to strike a balance between the interests of stockholders in accountability and their interests in the Company being able to attract and retain experienced and qualified officers. The Board believes it is important to provide protection from certain liabilities and expenses that may dissuade prospective or current officers from serving the Company due to the exposure to personal liability and risk of expenses they may incur without such protections.</w:t>
      </w:r>
    </w:p>
    <w:p>
      <w:pPr>
        <w:spacing w:after="0" w:line="39" w:lineRule="exact"/>
        <w:rPr>
          <w:sz w:val="20"/>
          <w:szCs w:val="20"/>
          <w:color w:val="auto"/>
        </w:rPr>
      </w:pPr>
    </w:p>
    <w:p>
      <w:pPr>
        <w:ind w:left="320" w:right="60"/>
        <w:spacing w:after="0" w:line="246" w:lineRule="auto"/>
        <w:rPr>
          <w:sz w:val="20"/>
          <w:szCs w:val="20"/>
          <w:color w:val="auto"/>
        </w:rPr>
      </w:pPr>
      <w:r>
        <w:rPr>
          <w:rFonts w:ascii="Arial" w:cs="Arial" w:eastAsia="Arial" w:hAnsi="Arial"/>
          <w:sz w:val="16"/>
          <w:szCs w:val="16"/>
          <w:color w:val="auto"/>
        </w:rPr>
        <w:t>The Board has considered the effects of the amendment to the Restated Certificate, if approved, including the narrow scope of the type and class of claims that officers of the Company would be exculpated from, the limited number of officers of the Company that would be subject to the amendment, and the benefits the Company would gain, and have determined that it is in the best interest of the Company and its stockholders to amend the Restated Certificate accordingly.</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Text of Proposed Amendment</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Board requests stockholders of the Company approve the following resolution:</w:t>
      </w:r>
    </w:p>
    <w:p>
      <w:pPr>
        <w:spacing w:after="0" w:line="63" w:lineRule="exact"/>
        <w:rPr>
          <w:sz w:val="20"/>
          <w:szCs w:val="20"/>
          <w:color w:val="auto"/>
        </w:rPr>
      </w:pPr>
    </w:p>
    <w:p>
      <w:pPr>
        <w:ind w:left="320" w:right="20"/>
        <w:spacing w:after="0" w:line="265" w:lineRule="auto"/>
        <w:rPr>
          <w:sz w:val="20"/>
          <w:szCs w:val="20"/>
          <w:color w:val="auto"/>
        </w:rPr>
      </w:pPr>
      <w:r>
        <w:rPr>
          <w:rFonts w:ascii="Arial" w:cs="Arial" w:eastAsia="Arial" w:hAnsi="Arial"/>
          <w:sz w:val="16"/>
          <w:szCs w:val="16"/>
          <w:color w:val="auto"/>
        </w:rPr>
        <w:t>“RESOLVED, that the Company’s stockholders approve an amendment to the Company’s Restated Certificate of Incorporation to revise Article NINTH as follows:</w:t>
      </w:r>
    </w:p>
    <w:p>
      <w:pPr>
        <w:spacing w:after="0" w:line="36" w:lineRule="exact"/>
        <w:rPr>
          <w:sz w:val="20"/>
          <w:szCs w:val="20"/>
          <w:color w:val="auto"/>
        </w:rPr>
      </w:pPr>
    </w:p>
    <w:p>
      <w:pPr>
        <w:ind w:left="740" w:right="20"/>
        <w:spacing w:after="0"/>
        <w:rPr>
          <w:sz w:val="20"/>
          <w:szCs w:val="20"/>
          <w:color w:val="auto"/>
        </w:rPr>
      </w:pPr>
      <w:r>
        <w:rPr>
          <w:rFonts w:ascii="Arial" w:cs="Arial" w:eastAsia="Arial" w:hAnsi="Arial"/>
          <w:sz w:val="16"/>
          <w:szCs w:val="16"/>
          <w:u w:val="single" w:color="auto"/>
          <w:color w:val="auto"/>
        </w:rPr>
        <w:t>NINTH</w:t>
      </w:r>
      <w:r>
        <w:rPr>
          <w:rFonts w:ascii="Arial" w:cs="Arial" w:eastAsia="Arial" w:hAnsi="Arial"/>
          <w:sz w:val="16"/>
          <w:szCs w:val="16"/>
          <w:color w:val="auto"/>
        </w:rPr>
        <w:t xml:space="preserve">: No director </w:t>
      </w:r>
      <w:r>
        <w:rPr>
          <w:rFonts w:ascii="Arial" w:cs="Arial" w:eastAsia="Arial" w:hAnsi="Arial"/>
          <w:sz w:val="16"/>
          <w:szCs w:val="16"/>
          <w:u w:val="single" w:color="auto"/>
          <w:color w:val="auto"/>
        </w:rPr>
        <w:t>or officer</w:t>
      </w:r>
      <w:r>
        <w:rPr>
          <w:rFonts w:ascii="Arial" w:cs="Arial" w:eastAsia="Arial" w:hAnsi="Arial"/>
          <w:sz w:val="16"/>
          <w:szCs w:val="16"/>
          <w:color w:val="auto"/>
        </w:rPr>
        <w:t xml:space="preserve"> of the corporation shall be personally liable to the corporation or its stockholders for monetary damages for breach of fiduciary duty by such </w:t>
      </w:r>
      <w:r>
        <w:rPr>
          <w:rFonts w:ascii="Arial" w:cs="Arial" w:eastAsia="Arial" w:hAnsi="Arial"/>
          <w:sz w:val="16"/>
          <w:szCs w:val="16"/>
          <w:u w:val="single" w:color="auto"/>
          <w:color w:val="auto"/>
        </w:rPr>
        <w:t>person</w:t>
      </w:r>
      <w:r>
        <w:rPr>
          <w:rFonts w:ascii="Arial" w:cs="Arial" w:eastAsia="Arial" w:hAnsi="Arial"/>
          <w:sz w:val="16"/>
          <w:szCs w:val="16"/>
          <w:color w:val="auto"/>
        </w:rPr>
        <w:t xml:space="preserve"> </w:t>
      </w:r>
      <w:r>
        <w:rPr>
          <w:rFonts w:ascii="Arial" w:cs="Arial" w:eastAsia="Arial" w:hAnsi="Arial"/>
          <w:sz w:val="16"/>
          <w:szCs w:val="16"/>
          <w:color w:val="auto"/>
          <w:strike w:val="1"/>
        </w:rPr>
        <w:t>director</w:t>
      </w:r>
      <w:r>
        <w:rPr>
          <w:rFonts w:ascii="Arial" w:cs="Arial" w:eastAsia="Arial" w:hAnsi="Arial"/>
          <w:sz w:val="16"/>
          <w:szCs w:val="16"/>
          <w:color w:val="auto"/>
        </w:rPr>
        <w:t xml:space="preserve"> as a director or </w:t>
      </w:r>
      <w:r>
        <w:rPr>
          <w:rFonts w:ascii="Arial" w:cs="Arial" w:eastAsia="Arial" w:hAnsi="Arial"/>
          <w:sz w:val="16"/>
          <w:szCs w:val="16"/>
          <w:u w:val="single" w:color="auto"/>
          <w:color w:val="auto"/>
        </w:rPr>
        <w:t>officer</w:t>
      </w:r>
      <w:r>
        <w:rPr>
          <w:rFonts w:ascii="Arial" w:cs="Arial" w:eastAsia="Arial" w:hAnsi="Arial"/>
          <w:sz w:val="16"/>
          <w:szCs w:val="16"/>
          <w:color w:val="auto"/>
        </w:rPr>
        <w:t xml:space="preserve">; provided, however, that this Article NINTH shall not eliminate or limit liability (i) for any breach of the director’s </w:t>
      </w:r>
      <w:r>
        <w:rPr>
          <w:rFonts w:ascii="Arial" w:cs="Arial" w:eastAsia="Arial" w:hAnsi="Arial"/>
          <w:sz w:val="16"/>
          <w:szCs w:val="16"/>
          <w:u w:val="single" w:color="auto"/>
          <w:color w:val="auto"/>
        </w:rPr>
        <w:t>or officer’s</w:t>
      </w:r>
      <w:r>
        <w:rPr>
          <w:rFonts w:ascii="Arial" w:cs="Arial" w:eastAsia="Arial" w:hAnsi="Arial"/>
          <w:sz w:val="16"/>
          <w:szCs w:val="16"/>
          <w:color w:val="auto"/>
        </w:rPr>
        <w:t xml:space="preserve"> duty of loyalty to the corporation or its stockholders, (ii) for acts or omissions not in good faith or which involve intentional misconduct or a knowing violation of law, (iii) of a director under section 174 of the Delaware General Corporation Law, or (iv) for any transaction from which the director </w:t>
      </w:r>
      <w:r>
        <w:rPr>
          <w:rFonts w:ascii="Arial" w:cs="Arial" w:eastAsia="Arial" w:hAnsi="Arial"/>
          <w:sz w:val="16"/>
          <w:szCs w:val="16"/>
          <w:u w:val="single" w:color="auto"/>
          <w:color w:val="auto"/>
        </w:rPr>
        <w:t>or officer</w:t>
      </w:r>
      <w:r>
        <w:rPr>
          <w:rFonts w:ascii="Arial" w:cs="Arial" w:eastAsia="Arial" w:hAnsi="Arial"/>
          <w:sz w:val="16"/>
          <w:szCs w:val="16"/>
          <w:color w:val="auto"/>
        </w:rPr>
        <w:t xml:space="preserve"> derived an improper personal benefit, </w:t>
      </w:r>
      <w:r>
        <w:rPr>
          <w:rFonts w:ascii="Arial" w:cs="Arial" w:eastAsia="Arial" w:hAnsi="Arial"/>
          <w:sz w:val="16"/>
          <w:szCs w:val="16"/>
          <w:u w:val="single" w:color="auto"/>
          <w:color w:val="auto"/>
        </w:rPr>
        <w:t>(v) of an officer in any action by or in the right of the Corporation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or (vi) of a director or officer to the extent that such elimination of liability is prohibited under the Delaware General Corporation Law</w:t>
      </w:r>
      <w:r>
        <w:rPr>
          <w:rFonts w:ascii="Arial" w:cs="Arial" w:eastAsia="Arial" w:hAnsi="Arial"/>
          <w:sz w:val="16"/>
          <w:szCs w:val="16"/>
          <w:color w:val="auto"/>
        </w:rPr>
        <w:t xml:space="preserve">. No amendment or repeal of this Article NINTH shall apply to or have any effect on the liability or alleged liability of any director </w:t>
      </w:r>
      <w:r>
        <w:rPr>
          <w:rFonts w:ascii="Arial" w:cs="Arial" w:eastAsia="Arial" w:hAnsi="Arial"/>
          <w:sz w:val="16"/>
          <w:szCs w:val="16"/>
          <w:u w:val="single" w:color="auto"/>
          <w:color w:val="auto"/>
        </w:rPr>
        <w:t>or officer</w:t>
      </w:r>
      <w:r>
        <w:rPr>
          <w:rFonts w:ascii="Arial" w:cs="Arial" w:eastAsia="Arial" w:hAnsi="Arial"/>
          <w:sz w:val="16"/>
          <w:szCs w:val="16"/>
          <w:color w:val="auto"/>
        </w:rPr>
        <w:t xml:space="preserve"> of the corporation for or with respect to any acts or omissions of such director </w:t>
      </w:r>
      <w:r>
        <w:rPr>
          <w:rFonts w:ascii="Arial" w:cs="Arial" w:eastAsia="Arial" w:hAnsi="Arial"/>
          <w:sz w:val="16"/>
          <w:szCs w:val="16"/>
          <w:u w:val="single" w:color="auto"/>
          <w:color w:val="auto"/>
        </w:rPr>
        <w:t>or officer</w:t>
      </w:r>
      <w:r>
        <w:rPr>
          <w:rFonts w:ascii="Arial" w:cs="Arial" w:eastAsia="Arial" w:hAnsi="Arial"/>
          <w:sz w:val="16"/>
          <w:szCs w:val="16"/>
          <w:color w:val="auto"/>
        </w:rPr>
        <w:t xml:space="preserve"> occurring prior to such amendment or repeal. All references in this </w:t>
      </w:r>
      <w:r>
        <w:rPr>
          <w:rFonts w:ascii="Arial" w:cs="Arial" w:eastAsia="Arial" w:hAnsi="Arial"/>
          <w:sz w:val="16"/>
          <w:szCs w:val="16"/>
          <w:u w:val="single" w:color="auto"/>
          <w:color w:val="auto"/>
        </w:rPr>
        <w:t>paragraph to an “officer” shall mean only a person who, at the time of an act or omission as to which liability is asserted, falls within the meaning of the term “officer” as defined in Section 102-(b)(7) of the Delaware General Corporation Law.</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-713740</wp:posOffset>
            </wp:positionV>
            <wp:extent cx="57848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78485"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-755015</wp:posOffset>
            </wp:positionV>
            <wp:extent cx="14287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42875" cy="8255"/>
                    </a:xfrm>
                    <a:prstGeom prst="rect">
                      <a:avLst/>
                    </a:prstGeom>
                    <a:noFill/>
                  </pic:spPr>
                </pic:pic>
              </a:graphicData>
            </a:graphic>
          </wp:anchor>
        </w:drawing>
        <w:drawing>
          <wp:anchor simplePos="0" relativeHeight="251657728" behindDoc="1" locked="0" layoutInCell="0" allowOverlap="1">
            <wp:simplePos x="0" y="0"/>
            <wp:positionH relativeFrom="column">
              <wp:posOffset>5994400</wp:posOffset>
            </wp:positionH>
            <wp:positionV relativeFrom="paragraph">
              <wp:posOffset>-251460</wp:posOffset>
            </wp:positionV>
            <wp:extent cx="92011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Effectiveness of the Amendment</w:t>
      </w:r>
    </w:p>
    <w:p>
      <w:pPr>
        <w:spacing w:after="0" w:line="72" w:lineRule="exact"/>
        <w:rPr>
          <w:sz w:val="20"/>
          <w:szCs w:val="20"/>
          <w:color w:val="auto"/>
        </w:rPr>
      </w:pPr>
    </w:p>
    <w:p>
      <w:pPr>
        <w:ind w:left="320" w:right="60"/>
        <w:spacing w:after="0" w:line="245" w:lineRule="auto"/>
        <w:rPr>
          <w:sz w:val="20"/>
          <w:szCs w:val="20"/>
          <w:color w:val="auto"/>
        </w:rPr>
      </w:pPr>
      <w:r>
        <w:rPr>
          <w:rFonts w:ascii="Arial" w:cs="Arial" w:eastAsia="Arial" w:hAnsi="Arial"/>
          <w:sz w:val="16"/>
          <w:szCs w:val="16"/>
          <w:color w:val="auto"/>
        </w:rPr>
        <w:t>Upon the approval of this proposal by our stockholders, the Company will file with the Delaware Secretary of State an Amended and Restated Certificate of Incorporation reflecting the changes contemplated by the proposed amendment. Such filing is expected to occur as soon as reasonably practicable following the Annual Meeting. If this proposal is not approved by our stockholders, the Company’s Restated Certificate will not be further amended, and no exculpation will be provided for our officers.</w:t>
      </w: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-222250</wp:posOffset>
            </wp:positionV>
            <wp:extent cx="8255" cy="2228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00"/>
          </w:cols>
          <w:pgMar w:left="320" w:top="471" w:right="6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Proposal 3 – Vote for the Amendment of the Company’s Restated Certificate of Incorporation to reflect updated Delaware law provisions permitting officer exculpation.</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Required Vote and Board Recommendation</w:t>
      </w:r>
    </w:p>
    <w:p>
      <w:pPr>
        <w:spacing w:after="0" w:line="85" w:lineRule="exact"/>
        <w:rPr>
          <w:sz w:val="20"/>
          <w:szCs w:val="20"/>
          <w:color w:val="auto"/>
        </w:rPr>
      </w:pPr>
    </w:p>
    <w:p>
      <w:pPr>
        <w:ind w:left="320" w:right="220"/>
        <w:spacing w:after="0" w:line="244" w:lineRule="auto"/>
        <w:rPr>
          <w:sz w:val="20"/>
          <w:szCs w:val="20"/>
          <w:color w:val="auto"/>
        </w:rPr>
      </w:pPr>
      <w:r>
        <w:rPr>
          <w:rFonts w:ascii="Arial" w:cs="Arial" w:eastAsia="Arial" w:hAnsi="Arial"/>
          <w:sz w:val="16"/>
          <w:szCs w:val="16"/>
          <w:color w:val="auto"/>
        </w:rPr>
        <w:t>The affirmative vote of the holders of a majority of the outstanding shares of our Class B Common Stock entitled to vote on this proposal is required to approve this proposal. If you hold your shares in your own name and abstain from voting on this matter, your abstention will have the effect of a vote against this proposal. If you hold your shares through a bank, broker or other holder of record and you do not instruct them on how to vote on this proposal, they will not have the authority to vote your shares. Abstentions and broker non-votes will each be counted as present for purposes of determining the presence of a quorum but will have the same effect as a vote against this proposal.</w:t>
      </w:r>
    </w:p>
    <w:p>
      <w:pPr>
        <w:spacing w:after="0" w:line="40" w:lineRule="exact"/>
        <w:rPr>
          <w:sz w:val="20"/>
          <w:szCs w:val="20"/>
          <w:color w:val="auto"/>
        </w:rPr>
      </w:pPr>
    </w:p>
    <w:p>
      <w:pPr>
        <w:ind w:left="320"/>
        <w:spacing w:after="0" w:line="265" w:lineRule="auto"/>
        <w:rPr>
          <w:sz w:val="20"/>
          <w:szCs w:val="20"/>
          <w:color w:val="auto"/>
        </w:rPr>
      </w:pPr>
      <w:r>
        <w:rPr>
          <w:rFonts w:ascii="Arial" w:cs="Arial" w:eastAsia="Arial" w:hAnsi="Arial"/>
          <w:sz w:val="16"/>
          <w:szCs w:val="16"/>
          <w:color w:val="auto"/>
        </w:rPr>
        <w:t>The Board believes that the proposed amendment to our Restated Certificate is in the best interests of the Company and its stockholders for the reasons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203835</wp:posOffset>
            </wp:positionV>
            <wp:extent cx="6773545" cy="4959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773545" cy="49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78 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860"/>
          </w:cols>
          <w:pgMar w:left="320" w:top="471" w:right="7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320" w:right="1500"/>
        <w:spacing w:after="0" w:line="270" w:lineRule="auto"/>
        <w:rPr>
          <w:sz w:val="20"/>
          <w:szCs w:val="20"/>
          <w:color w:val="auto"/>
        </w:rPr>
      </w:pPr>
      <w:r>
        <w:rPr>
          <w:rFonts w:ascii="Arial" w:cs="Arial" w:eastAsia="Arial" w:hAnsi="Arial"/>
          <w:sz w:val="31"/>
          <w:szCs w:val="31"/>
          <w:b w:val="1"/>
          <w:bCs w:val="1"/>
          <w:color w:val="auto"/>
        </w:rPr>
        <w:t>Proposal 4 – Ratification of the Appointment of PricewaterhouseCoopers LLP as the Company’s Independent Registered Public Accounting Firm for the 2024 Fiscal Year</w:t>
      </w:r>
    </w:p>
    <w:p>
      <w:pPr>
        <w:spacing w:after="0" w:line="218" w:lineRule="exact"/>
        <w:rPr>
          <w:sz w:val="20"/>
          <w:szCs w:val="20"/>
          <w:color w:val="auto"/>
        </w:rPr>
      </w:pPr>
    </w:p>
    <w:p>
      <w:pPr>
        <w:ind w:left="320" w:right="120"/>
        <w:spacing w:after="0" w:line="244" w:lineRule="auto"/>
        <w:rPr>
          <w:sz w:val="20"/>
          <w:szCs w:val="20"/>
          <w:color w:val="auto"/>
        </w:rPr>
      </w:pPr>
      <w:r>
        <w:rPr>
          <w:rFonts w:ascii="Arial" w:cs="Arial" w:eastAsia="Arial" w:hAnsi="Arial"/>
          <w:sz w:val="16"/>
          <w:szCs w:val="16"/>
          <w:color w:val="auto"/>
        </w:rPr>
        <w:t>On an annual basis, the Audit Committee approves and appoints the independent registered public accounting firm. During its February 13, 2024, meeting, PricewaterhouseCoopers LLP (“PwC”) was appointed to audit the consolidated financial statements of the Company for the year ending December 29, 2024. This firm has served as the Company’s independent registered public accounting firm since 1960 and is considered to be well qualified. The reappointment process for the independent registered public accounting firm includes an annual assessment that takes into consideration, but is not limited to, a review of the following:</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A9E50"/>
        </w:rPr>
        <w:t>1. Quality of services and sufficiency of resources provided by the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48895</wp:posOffset>
            </wp:positionV>
            <wp:extent cx="67405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Knowledge and skills to meet the Company’s audit requirements</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Partner rotation (every 5 years)</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Appropriate audit engagement partner</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Engagement letter compliance</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Industry experience</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Results of consultations</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Audit cost (fee negotiations included)</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Long tenure and familiarity with the Company’s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62865</wp:posOffset>
            </wp:positionV>
            <wp:extent cx="67405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A9E50"/>
        </w:rPr>
        <w:t>2. Communication and interaction during the engagements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48895</wp:posOffset>
            </wp:positionV>
            <wp:extent cx="67405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Professional and open dialog</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Accessibility</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Current accounting developments conversations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62865</wp:posOffset>
            </wp:positionV>
            <wp:extent cx="67405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A9E50"/>
        </w:rPr>
        <w:t>3. Independence, objectivity, and professional skepticism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48895</wp:posOffset>
            </wp:positionV>
            <wp:extent cx="67405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Assessment of audit evidence</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Internal Audit reliance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62865</wp:posOffset>
            </wp:positionV>
            <wp:extent cx="67405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88" w:lineRule="exact"/>
        <w:rPr>
          <w:sz w:val="20"/>
          <w:szCs w:val="20"/>
          <w:color w:val="auto"/>
        </w:rPr>
      </w:pPr>
    </w:p>
    <w:p>
      <w:pPr>
        <w:ind w:left="320" w:right="300"/>
        <w:spacing w:after="0" w:line="265" w:lineRule="auto"/>
        <w:rPr>
          <w:sz w:val="20"/>
          <w:szCs w:val="20"/>
          <w:color w:val="auto"/>
        </w:rPr>
      </w:pPr>
      <w:r>
        <w:rPr>
          <w:rFonts w:ascii="Arial" w:cs="Arial" w:eastAsia="Arial" w:hAnsi="Arial"/>
          <w:sz w:val="16"/>
          <w:szCs w:val="16"/>
          <w:color w:val="auto"/>
        </w:rPr>
        <w:t>The Board of Directors seeks ratification of the appointment of PwC. The representatives of the firm are expected to be present at the Annual Meeting and will be available to respond to all appropriate questions.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Audit and Non-Audit Fees</w:t>
      </w:r>
    </w:p>
    <w:p>
      <w:pPr>
        <w:spacing w:after="0" w:line="85" w:lineRule="exact"/>
        <w:rPr>
          <w:sz w:val="20"/>
          <w:szCs w:val="20"/>
          <w:color w:val="auto"/>
        </w:rPr>
      </w:pPr>
    </w:p>
    <w:p>
      <w:pPr>
        <w:jc w:val="both"/>
        <w:ind w:left="320" w:right="320"/>
        <w:spacing w:after="0" w:line="246" w:lineRule="auto"/>
        <w:rPr>
          <w:sz w:val="20"/>
          <w:szCs w:val="20"/>
          <w:color w:val="auto"/>
        </w:rPr>
      </w:pPr>
      <w:r>
        <w:rPr>
          <w:rFonts w:ascii="Arial" w:cs="Arial" w:eastAsia="Arial" w:hAnsi="Arial"/>
          <w:sz w:val="16"/>
          <w:szCs w:val="16"/>
          <w:color w:val="auto"/>
        </w:rPr>
        <w:t xml:space="preserve">The Audit Committee is responsible for the compensation (including negotiations) of the independent registered public accounting firm and requires pre-approval of all audit and non-audit services prior to engagement by the Company. In conjunction with the pre-approval, the Committee considers whether non-audit services are consistent with the rules and regulations of the SEC on auditor independence. The authority of the Audit Committee is detailed in its charter, which is posted on the Company’s website at </w:t>
      </w:r>
      <w:r>
        <w:rPr>
          <w:rFonts w:ascii="Arial" w:cs="Arial" w:eastAsia="Arial" w:hAnsi="Arial"/>
          <w:sz w:val="16"/>
          <w:szCs w:val="16"/>
          <w:i w:val="1"/>
          <w:iCs w:val="1"/>
          <w:color w:val="auto"/>
        </w:rPr>
        <w:t>kellyservices.com</w:t>
      </w:r>
      <w:r>
        <w:rPr>
          <w:rFonts w:ascii="Arial" w:cs="Arial" w:eastAsia="Arial" w:hAnsi="Arial"/>
          <w:sz w:val="16"/>
          <w:szCs w:val="16"/>
          <w:color w:val="auto"/>
        </w:rPr>
        <w:t>.</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table below displays the fees incurred from the audit and non-audit services provided by PwC.</w:t>
      </w:r>
    </w:p>
    <w:p>
      <w:pPr>
        <w:spacing w:after="0" w:line="92"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89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0A9E50"/>
              </w:rPr>
              <w:t>2022 ($)</w:t>
            </w:r>
          </w:p>
        </w:tc>
        <w:tc>
          <w:tcPr>
            <w:tcW w:w="78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4"/>
                <w:szCs w:val="14"/>
                <w:b w:val="1"/>
                <w:bCs w:val="1"/>
                <w:color w:val="0A9E50"/>
              </w:rPr>
              <w:t>2023 ($)</w:t>
            </w:r>
          </w:p>
        </w:tc>
        <w:tc>
          <w:tcPr>
            <w:tcW w:w="0" w:type="dxa"/>
            <w:vAlign w:val="bottom"/>
          </w:tcPr>
          <w:p>
            <w:pPr>
              <w:spacing w:after="0"/>
              <w:rPr>
                <w:sz w:val="1"/>
                <w:szCs w:val="1"/>
                <w:color w:val="auto"/>
              </w:rPr>
            </w:pPr>
          </w:p>
        </w:tc>
      </w:tr>
      <w:tr>
        <w:trPr>
          <w:trHeight w:val="219"/>
        </w:trPr>
        <w:tc>
          <w:tcPr>
            <w:tcW w:w="8960" w:type="dxa"/>
            <w:vAlign w:val="bottom"/>
          </w:tcPr>
          <w:p>
            <w:pPr>
              <w:ind w:left="60"/>
              <w:spacing w:after="0"/>
              <w:rPr>
                <w:sz w:val="20"/>
                <w:szCs w:val="20"/>
                <w:color w:val="auto"/>
              </w:rPr>
            </w:pPr>
            <w:r>
              <w:rPr>
                <w:rFonts w:ascii="Arial" w:cs="Arial" w:eastAsia="Arial" w:hAnsi="Arial"/>
                <w:sz w:val="14"/>
                <w:szCs w:val="14"/>
                <w:color w:val="auto"/>
              </w:rPr>
              <w:t>Audit Fees</w:t>
            </w:r>
          </w:p>
        </w:tc>
        <w:tc>
          <w:tcPr>
            <w:tcW w:w="880" w:type="dxa"/>
            <w:vAlign w:val="bottom"/>
          </w:tcPr>
          <w:p>
            <w:pPr>
              <w:jc w:val="right"/>
              <w:ind w:right="86"/>
              <w:spacing w:after="0"/>
              <w:rPr>
                <w:sz w:val="20"/>
                <w:szCs w:val="20"/>
                <w:color w:val="auto"/>
              </w:rPr>
            </w:pPr>
            <w:r>
              <w:rPr>
                <w:rFonts w:ascii="Arial" w:cs="Arial" w:eastAsia="Arial" w:hAnsi="Arial"/>
                <w:sz w:val="14"/>
                <w:szCs w:val="14"/>
                <w:color w:val="auto"/>
              </w:rPr>
              <w:t>4,103,600</w:t>
            </w:r>
          </w:p>
        </w:tc>
        <w:tc>
          <w:tcPr>
            <w:tcW w:w="780" w:type="dxa"/>
            <w:vAlign w:val="bottom"/>
            <w:gridSpan w:val="2"/>
          </w:tcPr>
          <w:p>
            <w:pPr>
              <w:jc w:val="right"/>
              <w:ind w:right="16"/>
              <w:spacing w:after="0"/>
              <w:rPr>
                <w:sz w:val="20"/>
                <w:szCs w:val="20"/>
                <w:color w:val="auto"/>
              </w:rPr>
            </w:pPr>
            <w:r>
              <w:rPr>
                <w:rFonts w:ascii="Arial" w:cs="Arial" w:eastAsia="Arial" w:hAnsi="Arial"/>
                <w:sz w:val="14"/>
                <w:szCs w:val="14"/>
                <w:color w:val="auto"/>
              </w:rPr>
              <w:t>4,594,500</w:t>
            </w:r>
          </w:p>
        </w:tc>
        <w:tc>
          <w:tcPr>
            <w:tcW w:w="0" w:type="dxa"/>
            <w:vAlign w:val="bottom"/>
          </w:tcPr>
          <w:p>
            <w:pPr>
              <w:spacing w:after="0"/>
              <w:rPr>
                <w:sz w:val="1"/>
                <w:szCs w:val="1"/>
                <w:color w:val="auto"/>
              </w:rPr>
            </w:pPr>
          </w:p>
        </w:tc>
      </w:tr>
      <w:tr>
        <w:trPr>
          <w:trHeight w:val="47"/>
        </w:trPr>
        <w:tc>
          <w:tcPr>
            <w:tcW w:w="896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8960" w:type="dxa"/>
            <w:vAlign w:val="bottom"/>
          </w:tcPr>
          <w:p>
            <w:pPr>
              <w:ind w:left="60"/>
              <w:spacing w:after="0"/>
              <w:rPr>
                <w:sz w:val="20"/>
                <w:szCs w:val="20"/>
                <w:color w:val="auto"/>
              </w:rPr>
            </w:pPr>
            <w:r>
              <w:rPr>
                <w:rFonts w:ascii="Arial" w:cs="Arial" w:eastAsia="Arial" w:hAnsi="Arial"/>
                <w:sz w:val="14"/>
                <w:szCs w:val="14"/>
                <w:color w:val="auto"/>
              </w:rPr>
              <w:t>Audit Related Fees</w:t>
            </w:r>
          </w:p>
        </w:tc>
        <w:tc>
          <w:tcPr>
            <w:tcW w:w="880" w:type="dxa"/>
            <w:vAlign w:val="bottom"/>
          </w:tcPr>
          <w:p>
            <w:pPr>
              <w:jc w:val="right"/>
              <w:ind w:right="86"/>
              <w:spacing w:after="0"/>
              <w:rPr>
                <w:sz w:val="20"/>
                <w:szCs w:val="20"/>
                <w:color w:val="auto"/>
              </w:rPr>
            </w:pPr>
            <w:r>
              <w:rPr>
                <w:rFonts w:ascii="Arial" w:cs="Arial" w:eastAsia="Arial" w:hAnsi="Arial"/>
                <w:sz w:val="14"/>
                <w:szCs w:val="14"/>
                <w:color w:val="auto"/>
              </w:rPr>
              <w:t>5,000</w:t>
            </w:r>
          </w:p>
        </w:tc>
        <w:tc>
          <w:tcPr>
            <w:tcW w:w="780" w:type="dxa"/>
            <w:vAlign w:val="bottom"/>
            <w:gridSpan w:val="2"/>
          </w:tcPr>
          <w:p>
            <w:pPr>
              <w:jc w:val="right"/>
              <w:ind w:right="16"/>
              <w:spacing w:after="0"/>
              <w:rPr>
                <w:sz w:val="20"/>
                <w:szCs w:val="20"/>
                <w:color w:val="auto"/>
              </w:rPr>
            </w:pPr>
            <w:r>
              <w:rPr>
                <w:rFonts w:ascii="Arial" w:cs="Arial" w:eastAsia="Arial" w:hAnsi="Arial"/>
                <w:sz w:val="14"/>
                <w:szCs w:val="14"/>
                <w:color w:val="auto"/>
              </w:rPr>
              <w:t>7,100</w:t>
            </w:r>
          </w:p>
        </w:tc>
        <w:tc>
          <w:tcPr>
            <w:tcW w:w="0" w:type="dxa"/>
            <w:vAlign w:val="bottom"/>
          </w:tcPr>
          <w:p>
            <w:pPr>
              <w:spacing w:after="0"/>
              <w:rPr>
                <w:sz w:val="1"/>
                <w:szCs w:val="1"/>
                <w:color w:val="auto"/>
              </w:rPr>
            </w:pPr>
          </w:p>
        </w:tc>
      </w:tr>
      <w:tr>
        <w:trPr>
          <w:trHeight w:val="47"/>
        </w:trPr>
        <w:tc>
          <w:tcPr>
            <w:tcW w:w="896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8960" w:type="dxa"/>
            <w:vAlign w:val="bottom"/>
          </w:tcPr>
          <w:p>
            <w:pPr>
              <w:ind w:left="60"/>
              <w:spacing w:after="0"/>
              <w:rPr>
                <w:sz w:val="20"/>
                <w:szCs w:val="20"/>
                <w:color w:val="auto"/>
              </w:rPr>
            </w:pPr>
            <w:r>
              <w:rPr>
                <w:rFonts w:ascii="Arial" w:cs="Arial" w:eastAsia="Arial" w:hAnsi="Arial"/>
                <w:sz w:val="14"/>
                <w:szCs w:val="14"/>
                <w:color w:val="auto"/>
              </w:rPr>
              <w:t>Tax Fees</w:t>
            </w:r>
          </w:p>
        </w:tc>
        <w:tc>
          <w:tcPr>
            <w:tcW w:w="880" w:type="dxa"/>
            <w:vAlign w:val="bottom"/>
          </w:tcPr>
          <w:p>
            <w:pPr>
              <w:jc w:val="right"/>
              <w:ind w:right="86"/>
              <w:spacing w:after="0"/>
              <w:rPr>
                <w:sz w:val="20"/>
                <w:szCs w:val="20"/>
                <w:color w:val="auto"/>
              </w:rPr>
            </w:pPr>
            <w:r>
              <w:rPr>
                <w:rFonts w:ascii="Arial" w:cs="Arial" w:eastAsia="Arial" w:hAnsi="Arial"/>
                <w:sz w:val="14"/>
                <w:szCs w:val="14"/>
                <w:color w:val="auto"/>
              </w:rPr>
              <w:t>381,000</w:t>
            </w:r>
          </w:p>
        </w:tc>
        <w:tc>
          <w:tcPr>
            <w:tcW w:w="780" w:type="dxa"/>
            <w:vAlign w:val="bottom"/>
            <w:gridSpan w:val="2"/>
          </w:tcPr>
          <w:p>
            <w:pPr>
              <w:jc w:val="right"/>
              <w:ind w:right="16"/>
              <w:spacing w:after="0"/>
              <w:rPr>
                <w:sz w:val="20"/>
                <w:szCs w:val="20"/>
                <w:color w:val="auto"/>
              </w:rPr>
            </w:pPr>
            <w:r>
              <w:rPr>
                <w:rFonts w:ascii="Arial" w:cs="Arial" w:eastAsia="Arial" w:hAnsi="Arial"/>
                <w:sz w:val="14"/>
                <w:szCs w:val="14"/>
                <w:color w:val="auto"/>
              </w:rPr>
              <w:t>111,600</w:t>
            </w:r>
          </w:p>
        </w:tc>
        <w:tc>
          <w:tcPr>
            <w:tcW w:w="0" w:type="dxa"/>
            <w:vAlign w:val="bottom"/>
          </w:tcPr>
          <w:p>
            <w:pPr>
              <w:spacing w:after="0"/>
              <w:rPr>
                <w:sz w:val="1"/>
                <w:szCs w:val="1"/>
                <w:color w:val="auto"/>
              </w:rPr>
            </w:pPr>
          </w:p>
        </w:tc>
      </w:tr>
      <w:tr>
        <w:trPr>
          <w:trHeight w:val="47"/>
        </w:trPr>
        <w:tc>
          <w:tcPr>
            <w:tcW w:w="896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8960" w:type="dxa"/>
            <w:vAlign w:val="bottom"/>
          </w:tcPr>
          <w:p>
            <w:pPr>
              <w:ind w:left="60"/>
              <w:spacing w:after="0"/>
              <w:rPr>
                <w:sz w:val="20"/>
                <w:szCs w:val="20"/>
                <w:color w:val="auto"/>
              </w:rPr>
            </w:pPr>
            <w:r>
              <w:rPr>
                <w:rFonts w:ascii="Arial" w:cs="Arial" w:eastAsia="Arial" w:hAnsi="Arial"/>
                <w:sz w:val="14"/>
                <w:szCs w:val="14"/>
                <w:color w:val="auto"/>
              </w:rPr>
              <w:t>All Other Fees</w:t>
            </w:r>
          </w:p>
        </w:tc>
        <w:tc>
          <w:tcPr>
            <w:tcW w:w="880" w:type="dxa"/>
            <w:vAlign w:val="bottom"/>
          </w:tcPr>
          <w:p>
            <w:pPr>
              <w:jc w:val="right"/>
              <w:ind w:right="86"/>
              <w:spacing w:after="0"/>
              <w:rPr>
                <w:sz w:val="20"/>
                <w:szCs w:val="20"/>
                <w:color w:val="auto"/>
              </w:rPr>
            </w:pPr>
            <w:r>
              <w:rPr>
                <w:rFonts w:ascii="Arial" w:cs="Arial" w:eastAsia="Arial" w:hAnsi="Arial"/>
                <w:sz w:val="14"/>
                <w:szCs w:val="14"/>
                <w:color w:val="auto"/>
              </w:rPr>
              <w:t>17,200</w:t>
            </w:r>
          </w:p>
        </w:tc>
        <w:tc>
          <w:tcPr>
            <w:tcW w:w="780" w:type="dxa"/>
            <w:vAlign w:val="bottom"/>
            <w:gridSpan w:val="2"/>
          </w:tcPr>
          <w:p>
            <w:pPr>
              <w:jc w:val="right"/>
              <w:ind w:right="16"/>
              <w:spacing w:after="0"/>
              <w:rPr>
                <w:sz w:val="20"/>
                <w:szCs w:val="20"/>
                <w:color w:val="auto"/>
              </w:rPr>
            </w:pPr>
            <w:r>
              <w:rPr>
                <w:rFonts w:ascii="Arial" w:cs="Arial" w:eastAsia="Arial" w:hAnsi="Arial"/>
                <w:sz w:val="14"/>
                <w:szCs w:val="14"/>
                <w:color w:val="auto"/>
              </w:rPr>
              <w:t>17,200</w:t>
            </w:r>
          </w:p>
        </w:tc>
        <w:tc>
          <w:tcPr>
            <w:tcW w:w="0" w:type="dxa"/>
            <w:vAlign w:val="bottom"/>
          </w:tcPr>
          <w:p>
            <w:pPr>
              <w:spacing w:after="0"/>
              <w:rPr>
                <w:sz w:val="1"/>
                <w:szCs w:val="1"/>
                <w:color w:val="auto"/>
              </w:rPr>
            </w:pPr>
          </w:p>
        </w:tc>
      </w:tr>
      <w:tr>
        <w:trPr>
          <w:trHeight w:val="47"/>
        </w:trPr>
        <w:tc>
          <w:tcPr>
            <w:tcW w:w="896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8960" w:type="dxa"/>
            <w:vAlign w:val="bottom"/>
          </w:tcPr>
          <w:p>
            <w:pPr>
              <w:ind w:left="60"/>
              <w:spacing w:after="0"/>
              <w:rPr>
                <w:sz w:val="20"/>
                <w:szCs w:val="20"/>
                <w:color w:val="auto"/>
              </w:rPr>
            </w:pPr>
            <w:r>
              <w:rPr>
                <w:rFonts w:ascii="Arial" w:cs="Arial" w:eastAsia="Arial" w:hAnsi="Arial"/>
                <w:sz w:val="14"/>
                <w:szCs w:val="14"/>
                <w:b w:val="1"/>
                <w:bCs w:val="1"/>
                <w:color w:val="auto"/>
              </w:rPr>
              <w:t>   Total</w:t>
            </w:r>
          </w:p>
        </w:tc>
        <w:tc>
          <w:tcPr>
            <w:tcW w:w="880" w:type="dxa"/>
            <w:vAlign w:val="bottom"/>
          </w:tcPr>
          <w:p>
            <w:pPr>
              <w:jc w:val="right"/>
              <w:ind w:right="86"/>
              <w:spacing w:after="0"/>
              <w:rPr>
                <w:sz w:val="20"/>
                <w:szCs w:val="20"/>
                <w:color w:val="auto"/>
              </w:rPr>
            </w:pPr>
            <w:r>
              <w:rPr>
                <w:rFonts w:ascii="Arial" w:cs="Arial" w:eastAsia="Arial" w:hAnsi="Arial"/>
                <w:sz w:val="14"/>
                <w:szCs w:val="14"/>
                <w:b w:val="1"/>
                <w:bCs w:val="1"/>
                <w:color w:val="auto"/>
              </w:rPr>
              <w:t>4,506,800</w:t>
            </w:r>
          </w:p>
        </w:tc>
        <w:tc>
          <w:tcPr>
            <w:tcW w:w="7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4,730,400</w:t>
            </w:r>
          </w:p>
        </w:tc>
        <w:tc>
          <w:tcPr>
            <w:tcW w:w="0" w:type="dxa"/>
            <w:vAlign w:val="bottom"/>
          </w:tcPr>
          <w:p>
            <w:pPr>
              <w:spacing w:after="0"/>
              <w:rPr>
                <w:sz w:val="1"/>
                <w:szCs w:val="1"/>
                <w:color w:val="auto"/>
              </w:rPr>
            </w:pPr>
          </w:p>
        </w:tc>
      </w:tr>
      <w:tr>
        <w:trPr>
          <w:trHeight w:val="39"/>
        </w:trPr>
        <w:tc>
          <w:tcPr>
            <w:tcW w:w="8960" w:type="dxa"/>
            <w:vAlign w:val="bottom"/>
            <w:tcBorders>
              <w:bottom w:val="single" w:sz="8" w:color="7F7F7F"/>
            </w:tcBorders>
          </w:tcPr>
          <w:p>
            <w:pPr>
              <w:spacing w:after="0"/>
              <w:rPr>
                <w:sz w:val="3"/>
                <w:szCs w:val="3"/>
                <w:color w:val="auto"/>
              </w:rPr>
            </w:pPr>
          </w:p>
        </w:tc>
        <w:tc>
          <w:tcPr>
            <w:tcW w:w="88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8960" w:type="dxa"/>
            <w:vAlign w:val="bottom"/>
            <w:vMerge w:val="restart"/>
          </w:tcPr>
          <w:p>
            <w:pPr>
              <w:ind w:left="8780"/>
              <w:spacing w:after="0"/>
              <w:rPr>
                <w:sz w:val="20"/>
                <w:szCs w:val="20"/>
                <w:color w:val="auto"/>
              </w:rPr>
            </w:pPr>
            <w:r>
              <w:rPr>
                <w:rFonts w:ascii="Arial" w:cs="Arial" w:eastAsia="Arial" w:hAnsi="Arial"/>
                <w:sz w:val="21"/>
                <w:szCs w:val="21"/>
                <w:color w:val="auto"/>
                <w:w w:val="75"/>
              </w:rPr>
              <w:t> </w:t>
            </w:r>
          </w:p>
        </w:tc>
        <w:tc>
          <w:tcPr>
            <w:tcW w:w="880" w:type="dxa"/>
            <w:vAlign w:val="bottom"/>
            <w:vMerge w:val="restart"/>
          </w:tcPr>
          <w:p>
            <w:pPr>
              <w:jc w:val="right"/>
              <w:spacing w:after="0"/>
              <w:rPr>
                <w:sz w:val="20"/>
                <w:szCs w:val="20"/>
                <w:color w:val="auto"/>
              </w:rPr>
            </w:pPr>
            <w:r>
              <w:rPr>
                <w:rFonts w:ascii="Arial" w:cs="Arial" w:eastAsia="Arial" w:hAnsi="Arial"/>
                <w:sz w:val="21"/>
                <w:szCs w:val="21"/>
                <w:color w:val="auto"/>
              </w:rPr>
              <w:t xml:space="preserve">  </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21"/>
                <w:szCs w:val="21"/>
                <w:color w:val="auto"/>
                <w:w w:val="90"/>
              </w:rPr>
              <w:t>    79</w:t>
            </w:r>
          </w:p>
        </w:tc>
        <w:tc>
          <w:tcPr>
            <w:tcW w:w="0" w:type="dxa"/>
            <w:vAlign w:val="bottom"/>
          </w:tcPr>
          <w:p>
            <w:pPr>
              <w:spacing w:after="0"/>
              <w:rPr>
                <w:sz w:val="1"/>
                <w:szCs w:val="1"/>
                <w:color w:val="auto"/>
              </w:rPr>
            </w:pPr>
          </w:p>
        </w:tc>
      </w:tr>
      <w:tr>
        <w:trPr>
          <w:trHeight w:val="248"/>
        </w:trPr>
        <w:tc>
          <w:tcPr>
            <w:tcW w:w="896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89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5950585</wp:posOffset>
            </wp:positionH>
            <wp:positionV relativeFrom="paragraph">
              <wp:posOffset>-222250</wp:posOffset>
            </wp:positionV>
            <wp:extent cx="396240" cy="1898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96240" cy="18986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Proposal 4 – Ratification of the Appointment of PricewaterhouseCoopers LLP as the Company’s Independent Registered Public Accounting Firm for the 2024 Fiscal Year</w:t>
      </w:r>
    </w:p>
    <w:p>
      <w:pPr>
        <w:spacing w:after="0" w:line="137" w:lineRule="exact"/>
        <w:rPr>
          <w:sz w:val="20"/>
          <w:szCs w:val="20"/>
          <w:color w:val="auto"/>
        </w:rPr>
      </w:pPr>
    </w:p>
    <w:p>
      <w:pPr>
        <w:ind w:left="320" w:right="320"/>
        <w:spacing w:after="0" w:line="265"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Audits and quarterly reviews of our consolidated financial statements, statutory audits, issuance of consent and assistance with review of</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filed with the SEC.</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Audit Related Fees: </w:t>
      </w:r>
      <w:r>
        <w:rPr>
          <w:rFonts w:ascii="Arial" w:cs="Arial" w:eastAsia="Arial" w:hAnsi="Arial"/>
          <w:sz w:val="16"/>
          <w:szCs w:val="16"/>
          <w:color w:val="auto"/>
        </w:rPr>
        <w:t>Services associated with international regulatory reporting.</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Tax and transfer pricing consulting.</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Accounting research tools and human resources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229870</wp:posOffset>
            </wp:positionV>
            <wp:extent cx="6773545" cy="4959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773545" cy="49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Report of the Audit Committee</w:t>
      </w:r>
    </w:p>
    <w:p>
      <w:pPr>
        <w:spacing w:after="0" w:line="85" w:lineRule="exact"/>
        <w:rPr>
          <w:sz w:val="20"/>
          <w:szCs w:val="20"/>
          <w:color w:val="auto"/>
        </w:rPr>
      </w:pPr>
    </w:p>
    <w:p>
      <w:pPr>
        <w:ind w:left="320" w:right="20"/>
        <w:spacing w:after="0" w:line="242" w:lineRule="auto"/>
        <w:rPr>
          <w:sz w:val="20"/>
          <w:szCs w:val="20"/>
          <w:color w:val="auto"/>
        </w:rPr>
      </w:pPr>
      <w:r>
        <w:rPr>
          <w:rFonts w:ascii="Arial" w:cs="Arial" w:eastAsia="Arial" w:hAnsi="Arial"/>
          <w:sz w:val="16"/>
          <w:szCs w:val="16"/>
          <w:color w:val="auto"/>
        </w:rPr>
        <w:t>Management is responsible for the preparation, presentation, and integrity of Kelly’s financial statements, for its accounting and financial reporting principles, and for the establishment and effectiveness of internal controls and procedures designed to ensure compliance with generally accepted accounting principles and applicable laws and regulations. The independent registered public accounting firm is responsible for performing an independent audit of Kelly’s financial statements and of its internal control over financial reporting in accordance with the standards of the Public Company Accounting Oversight Board (the “PCAOB”) and expressing an opinion as to the conformity of Kelly’s financial statements with generally accepted accounting principles and the effectiveness of its internal control over financial reporting. The independent registered public accounting firm has free access to the Committee to discuss any matters it deems appropriate.</w:t>
      </w:r>
    </w:p>
    <w:p>
      <w:pPr>
        <w:spacing w:after="0" w:line="41" w:lineRule="exact"/>
        <w:rPr>
          <w:sz w:val="20"/>
          <w:szCs w:val="20"/>
          <w:color w:val="auto"/>
        </w:rPr>
      </w:pPr>
    </w:p>
    <w:p>
      <w:pPr>
        <w:ind w:left="320"/>
        <w:spacing w:after="0" w:line="246" w:lineRule="auto"/>
        <w:rPr>
          <w:sz w:val="20"/>
          <w:szCs w:val="20"/>
          <w:color w:val="auto"/>
        </w:rPr>
      </w:pPr>
      <w:r>
        <w:rPr>
          <w:rFonts w:ascii="Arial" w:cs="Arial" w:eastAsia="Arial" w:hAnsi="Arial"/>
          <w:sz w:val="16"/>
          <w:szCs w:val="16"/>
          <w:color w:val="auto"/>
        </w:rPr>
        <w:t>In performing its oversight role, the Committee considered and discussed the audited financial statements of Kelly for the fiscal year ended December 31, 2023, with each of management and PwC, the independent registered public accounting firm. The Committee also discussed with PwC the matters required to be discussed by applicable requirements of the PCAOB. The Committee received the written disclosures of the PCAOB regarding the auditors’ independence and has discussed with PwC its independence.</w:t>
      </w:r>
    </w:p>
    <w:p>
      <w:pPr>
        <w:spacing w:after="0" w:line="39" w:lineRule="exact"/>
        <w:rPr>
          <w:sz w:val="20"/>
          <w:szCs w:val="20"/>
          <w:color w:val="auto"/>
        </w:rPr>
      </w:pPr>
    </w:p>
    <w:p>
      <w:pPr>
        <w:ind w:left="320" w:right="160"/>
        <w:spacing w:after="0" w:line="265" w:lineRule="auto"/>
        <w:rPr>
          <w:sz w:val="20"/>
          <w:szCs w:val="20"/>
          <w:color w:val="auto"/>
        </w:rPr>
      </w:pPr>
      <w:r>
        <w:rPr>
          <w:rFonts w:ascii="Arial" w:cs="Arial" w:eastAsia="Arial" w:hAnsi="Arial"/>
          <w:sz w:val="16"/>
          <w:szCs w:val="16"/>
          <w:color w:val="auto"/>
        </w:rPr>
        <w:t>Based on the reports and discussions described in this Report, the Committee recommended to the Board that the audited financial statements of Kelly for 2023 be included in the 2023 Annual Report on Form 10-K.</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AUDIT COMMITTEE</w:t>
      </w:r>
    </w:p>
    <w:p>
      <w:pPr>
        <w:spacing w:after="0" w:line="20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LESLIE A. MURPHY, CHAIR</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GERALD S. ADOLPH</w:t>
      </w:r>
    </w:p>
    <w:p>
      <w:pPr>
        <w:ind w:left="6060"/>
        <w:spacing w:after="0" w:line="237" w:lineRule="auto"/>
        <w:rPr>
          <w:sz w:val="20"/>
          <w:szCs w:val="20"/>
          <w:color w:val="auto"/>
        </w:rPr>
      </w:pPr>
      <w:r>
        <w:rPr>
          <w:rFonts w:ascii="Arial" w:cs="Arial" w:eastAsia="Arial" w:hAnsi="Arial"/>
          <w:sz w:val="16"/>
          <w:szCs w:val="16"/>
          <w:color w:val="auto"/>
        </w:rPr>
        <w:t>ROBERT S. CUBBIN</w:t>
      </w:r>
    </w:p>
    <w:p>
      <w:pPr>
        <w:ind w:left="6060"/>
        <w:spacing w:after="0"/>
        <w:rPr>
          <w:sz w:val="20"/>
          <w:szCs w:val="20"/>
          <w:color w:val="auto"/>
        </w:rPr>
      </w:pPr>
      <w:r>
        <w:rPr>
          <w:rFonts w:ascii="Arial" w:cs="Arial" w:eastAsia="Arial" w:hAnsi="Arial"/>
          <w:sz w:val="16"/>
          <w:szCs w:val="16"/>
          <w:color w:val="auto"/>
        </w:rPr>
        <w:t>AMALA DUGGIRALA</w:t>
      </w:r>
    </w:p>
    <w:p>
      <w:pPr>
        <w:spacing w:after="0" w:line="65"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80 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00"/>
          </w:cols>
          <w:pgMar w:left="320" w:top="471" w:right="6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320" w:right="600"/>
        <w:spacing w:after="0" w:line="295" w:lineRule="auto"/>
        <w:rPr>
          <w:sz w:val="20"/>
          <w:szCs w:val="20"/>
          <w:color w:val="auto"/>
        </w:rPr>
      </w:pPr>
      <w:r>
        <w:rPr>
          <w:rFonts w:ascii="Arial" w:cs="Arial" w:eastAsia="Arial" w:hAnsi="Arial"/>
          <w:sz w:val="31"/>
          <w:szCs w:val="31"/>
          <w:b w:val="1"/>
          <w:bCs w:val="1"/>
          <w:color w:val="auto"/>
        </w:rPr>
        <w:t>Questions and Answers About the Proxy Statement and the Annual Meeting</w:t>
      </w:r>
    </w:p>
    <w:p>
      <w:pPr>
        <w:spacing w:after="0" w:line="218" w:lineRule="exact"/>
        <w:rPr>
          <w:sz w:val="20"/>
          <w:szCs w:val="20"/>
          <w:color w:val="auto"/>
        </w:rPr>
      </w:pPr>
    </w:p>
    <w:p>
      <w:pPr>
        <w:ind w:left="740" w:hanging="424"/>
        <w:spacing w:after="0"/>
        <w:tabs>
          <w:tab w:leader="none" w:pos="74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WHERE ARE WE HOLDING THE ANNUAL MEETING?</w:t>
      </w:r>
    </w:p>
    <w:p>
      <w:pPr>
        <w:spacing w:after="0" w:line="78" w:lineRule="exact"/>
        <w:rPr>
          <w:sz w:val="20"/>
          <w:szCs w:val="20"/>
          <w:color w:val="auto"/>
        </w:rPr>
      </w:pPr>
    </w:p>
    <w:p>
      <w:pPr>
        <w:ind w:left="740" w:hanging="424"/>
        <w:spacing w:after="0" w:line="284" w:lineRule="auto"/>
        <w:tabs>
          <w:tab w:leader="none" w:pos="7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2024 Annual Meeting of Shareholders will be held virtually. To access the live audio webcast of the meeting, shareholders of record will need to visit kellyservices.com for instructions and use their 16-digit Control Number provided in the Notice to log in to this website. If your shares are held beneficially in the name of a bank, broker, or other holder of record (sometimes referred to as holding share “in street name”), you will receive instructions from the holder of record that you must follow for your shares to be voted. Beneficial holders will need to obtain a “legal proxy” from their broker, bank, or other holder of record that holds your shares if they want to vote during the virtual meeting. Beneficial holders will need to send our transfer agent, Computershare, the legal proxy before the meeting and they will then issue via email, an authorized control number.</w:t>
      </w:r>
    </w:p>
    <w:p>
      <w:pPr>
        <w:spacing w:after="0" w:line="299" w:lineRule="exact"/>
        <w:rPr>
          <w:sz w:val="20"/>
          <w:szCs w:val="20"/>
          <w:color w:val="auto"/>
        </w:rPr>
      </w:pPr>
    </w:p>
    <w:p>
      <w:pPr>
        <w:ind w:left="740" w:hanging="424"/>
        <w:spacing w:after="0"/>
        <w:tabs>
          <w:tab w:leader="none" w:pos="74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WHO IS MAKING THE SOLICITATION IN THIS PROXY STATEMENT?</w:t>
      </w:r>
    </w:p>
    <w:p>
      <w:pPr>
        <w:spacing w:after="0" w:line="78" w:lineRule="exact"/>
        <w:rPr>
          <w:sz w:val="20"/>
          <w:szCs w:val="20"/>
          <w:color w:val="auto"/>
        </w:rPr>
      </w:pPr>
    </w:p>
    <w:p>
      <w:pPr>
        <w:ind w:left="740" w:right="80" w:hanging="424"/>
        <w:spacing w:after="0" w:line="246" w:lineRule="auto"/>
        <w:tabs>
          <w:tab w:leader="none" w:pos="7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This Proxy Statement is furnished in connection with the solicitation of proxies on behalf of the Board of Directors of Kelly Services, Inc. for use at the Annual Meeting of Shareholders of the Company to be held virtually on May 9, 2024, for the purposes set forth in the Notice of Annual Meeting of Shareholders. The approximate date on which this Proxy Statement and enclosed form of proxy are first being sent to Class B shareholders of the Company is April 15, 2024.</w:t>
      </w:r>
    </w:p>
    <w:p>
      <w:pPr>
        <w:spacing w:after="0" w:line="323" w:lineRule="exact"/>
        <w:rPr>
          <w:sz w:val="20"/>
          <w:szCs w:val="20"/>
          <w:color w:val="auto"/>
        </w:rPr>
      </w:pPr>
    </w:p>
    <w:p>
      <w:pPr>
        <w:ind w:left="740" w:hanging="424"/>
        <w:spacing w:after="0"/>
        <w:tabs>
          <w:tab w:leader="none" w:pos="74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WHO WILL BEAR THE COST OF THE PROXY SOLICITATION?</w:t>
      </w:r>
    </w:p>
    <w:p>
      <w:pPr>
        <w:spacing w:after="0" w:line="78" w:lineRule="exact"/>
        <w:rPr>
          <w:sz w:val="20"/>
          <w:szCs w:val="20"/>
          <w:color w:val="auto"/>
        </w:rPr>
      </w:pPr>
    </w:p>
    <w:p>
      <w:pPr>
        <w:ind w:left="740" w:right="20" w:hanging="424"/>
        <w:spacing w:after="0" w:line="246" w:lineRule="auto"/>
        <w:tabs>
          <w:tab w:leader="none" w:pos="7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cost of soliciting proxies will be borne by the Company. The solicitation of proxies will be made primarily by mail. The Company may also make arrangements with brokerage houses, custodians, banks, nominees, and fiduciaries to forward solicitation material to beneficial owners of Class B stock held of record by them and to obtain authorization to execute proxies. The Company may reimburse such institutional holders for reasonable expenses incurred by them in connection therewith.</w:t>
      </w:r>
    </w:p>
    <w:p>
      <w:pPr>
        <w:spacing w:after="0" w:line="52" w:lineRule="exact"/>
        <w:rPr>
          <w:sz w:val="20"/>
          <w:szCs w:val="20"/>
          <w:color w:val="auto"/>
        </w:rPr>
      </w:pPr>
    </w:p>
    <w:p>
      <w:pPr>
        <w:ind w:left="740" w:right="80" w:hanging="424"/>
        <w:spacing w:after="0" w:line="246" w:lineRule="auto"/>
        <w:tabs>
          <w:tab w:leader="none" w:pos="7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copy of the Company’s Annual Report and Annual Report on Form 10-K as of December 31, 2023, the close of the Company’s latest fiscal year, has been mailed or otherwise made available to each shareholder of record. The expense of preparing, printing, assembling, and mailing the accompanying form of proxy and the material used in the solicitation of proxies will be paid by the Company. In addition, the Company may reimburse brokers or nominees for their expenses in transmitting proxies and proxy material to principals.</w:t>
      </w:r>
    </w:p>
    <w:p>
      <w:pPr>
        <w:spacing w:after="0" w:line="323" w:lineRule="exact"/>
        <w:rPr>
          <w:sz w:val="20"/>
          <w:szCs w:val="20"/>
          <w:color w:val="auto"/>
        </w:rPr>
      </w:pPr>
    </w:p>
    <w:p>
      <w:pPr>
        <w:ind w:left="740" w:hanging="424"/>
        <w:spacing w:after="0"/>
        <w:tabs>
          <w:tab w:leader="none" w:pos="74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WHO IS ENTITLED TO VOTE?</w:t>
      </w:r>
    </w:p>
    <w:p>
      <w:pPr>
        <w:spacing w:after="0" w:line="78" w:lineRule="exact"/>
        <w:rPr>
          <w:sz w:val="20"/>
          <w:szCs w:val="20"/>
          <w:color w:val="auto"/>
        </w:rPr>
      </w:pPr>
    </w:p>
    <w:p>
      <w:pPr>
        <w:ind w:left="740" w:right="40" w:hanging="424"/>
        <w:spacing w:after="0" w:line="251" w:lineRule="auto"/>
        <w:tabs>
          <w:tab w:leader="none" w:pos="7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Only shareholders of record of our Class B Common Stock, par value $1.00 per share, at the close of business on March 21, 2024, the record date for the Annual Meeting, are entitled to notice of and to vote at the Annual Meeting. Class B Common Stock is the only class of the Company’s securities with voting rights.</w:t>
      </w:r>
    </w:p>
    <w:p>
      <w:pPr>
        <w:spacing w:after="0" w:line="86" w:lineRule="exact"/>
        <w:rPr>
          <w:sz w:val="20"/>
          <w:szCs w:val="20"/>
          <w:color w:val="auto"/>
        </w:rPr>
      </w:pPr>
    </w:p>
    <w:p>
      <w:pPr>
        <w:ind w:left="740" w:right="180" w:hanging="424"/>
        <w:spacing w:after="0" w:line="337" w:lineRule="auto"/>
        <w:tabs>
          <w:tab w:leader="none" w:pos="7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At the close of business on March 21, 2024, the number of issued and outstanding voting securities (exclusive of treasury shares) was 3,321,601 shares of the Class B Common Stock. Class B shareholders on the record date will be entitled to one vote for each share held of record.</w:t>
      </w:r>
    </w:p>
    <w:p>
      <w:pPr>
        <w:spacing w:after="0" w:line="261" w:lineRule="exact"/>
        <w:rPr>
          <w:sz w:val="20"/>
          <w:szCs w:val="20"/>
          <w:color w:val="auto"/>
        </w:rPr>
      </w:pPr>
    </w:p>
    <w:p>
      <w:pPr>
        <w:ind w:left="740" w:hanging="424"/>
        <w:spacing w:after="0"/>
        <w:tabs>
          <w:tab w:leader="none" w:pos="74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HOW DO I VOTE?</w:t>
      </w:r>
    </w:p>
    <w:p>
      <w:pPr>
        <w:spacing w:after="0" w:line="78" w:lineRule="exact"/>
        <w:rPr>
          <w:sz w:val="20"/>
          <w:szCs w:val="20"/>
          <w:color w:val="auto"/>
        </w:rPr>
      </w:pPr>
    </w:p>
    <w:p>
      <w:pPr>
        <w:ind w:left="740" w:right="220" w:hanging="424"/>
        <w:spacing w:after="0" w:line="252" w:lineRule="auto"/>
        <w:tabs>
          <w:tab w:leader="none" w:pos="7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encourage Class B shareholders to return their proxies promptly via the enclosed form of proxy in the enclosed postage prepaid envelope or vote via the Internet, QR code scan, or telephone.</w:t>
      </w:r>
    </w:p>
    <w:p>
      <w:pPr>
        <w:spacing w:after="0" w:line="1" w:lineRule="exact"/>
        <w:rPr>
          <w:rFonts w:ascii="Arial" w:cs="Arial" w:eastAsia="Arial" w:hAnsi="Arial"/>
          <w:sz w:val="16"/>
          <w:szCs w:val="16"/>
          <w:color w:val="auto"/>
        </w:rPr>
      </w:pPr>
    </w:p>
    <w:p>
      <w:pPr>
        <w:ind w:left="9380" w:hanging="281"/>
        <w:spacing w:after="0"/>
        <w:tabs>
          <w:tab w:leader="none" w:pos="9380" w:val="left"/>
        </w:tabs>
        <w:numPr>
          <w:ilvl w:val="1"/>
          <w:numId w:val="66"/>
        </w:numPr>
        <w:rPr>
          <w:rFonts w:ascii="Arial" w:cs="Arial" w:eastAsia="Arial" w:hAnsi="Arial"/>
          <w:sz w:val="20"/>
          <w:szCs w:val="20"/>
          <w:color w:val="auto"/>
          <w:vertAlign w:val="subscript"/>
        </w:rPr>
      </w:pPr>
      <w:r>
        <w:rPr>
          <w:sz w:val="1"/>
          <w:szCs w:val="1"/>
          <w:color w:val="auto"/>
        </w:rPr>
        <w:drawing>
          <wp:inline distT="0" distB="0" distL="0" distR="0">
            <wp:extent cx="396240" cy="189865"/>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0"/>
          <w:szCs w:val="20"/>
          <w:color w:val="auto"/>
          <w:vertAlign w:val="subscript"/>
        </w:rPr>
        <w:t xml:space="preserve">    </w:t>
      </w:r>
      <w:r>
        <w:rPr>
          <w:rFonts w:ascii="Arial" w:cs="Arial" w:eastAsia="Arial" w:hAnsi="Arial"/>
          <w:sz w:val="20"/>
          <w:szCs w:val="20"/>
          <w:color w:val="auto"/>
        </w:rPr>
        <w: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-132080</wp:posOffset>
            </wp:positionV>
            <wp:extent cx="8255" cy="2228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00"/>
          </w:cols>
          <w:pgMar w:left="320" w:top="471" w:right="6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Questions and Answers About the Proxy Statement and the Annual Meeting</w:t>
      </w:r>
    </w:p>
    <w:p>
      <w:pPr>
        <w:spacing w:after="0" w:line="135" w:lineRule="exact"/>
        <w:rPr>
          <w:sz w:val="20"/>
          <w:szCs w:val="20"/>
          <w:color w:val="auto"/>
        </w:rPr>
      </w:pPr>
    </w:p>
    <w:p>
      <w:pPr>
        <w:ind w:left="740" w:hanging="424"/>
        <w:spacing w:after="0"/>
        <w:tabs>
          <w:tab w:leader="none" w:pos="74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HOW IS MY VOTE COUNTED?</w:t>
      </w:r>
    </w:p>
    <w:p>
      <w:pPr>
        <w:spacing w:after="0" w:line="78" w:lineRule="exact"/>
        <w:rPr>
          <w:sz w:val="20"/>
          <w:szCs w:val="20"/>
          <w:color w:val="auto"/>
        </w:rPr>
      </w:pPr>
    </w:p>
    <w:p>
      <w:pPr>
        <w:ind w:left="740" w:right="200" w:hanging="424"/>
        <w:spacing w:after="0" w:line="244" w:lineRule="auto"/>
        <w:tabs>
          <w:tab w:leader="none" w:pos="7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a proxy in the accompanying form is properly executed, returned to the Company and not revoked, the shares represented by the proxy will be voted in accordance with the instructions set forth thereon. If no instructions are given with respect to the matters to be acted upon, the shares represented by the proxy will be voted in accordance with the recommendation of the Company’s Board of Directors on each of the proposals set forth in the accompanying Notice of Annual Meeting of Shareholders and on any other matters that properly come before the Annual Meeting in such manner as may be determined by the individuals named as proxies.</w:t>
      </w:r>
    </w:p>
    <w:p>
      <w:pPr>
        <w:spacing w:after="0" w:line="325" w:lineRule="exact"/>
        <w:rPr>
          <w:sz w:val="20"/>
          <w:szCs w:val="20"/>
          <w:color w:val="auto"/>
        </w:rPr>
      </w:pPr>
    </w:p>
    <w:p>
      <w:pPr>
        <w:ind w:left="740" w:hanging="424"/>
        <w:spacing w:after="0"/>
        <w:tabs>
          <w:tab w:leader="none" w:pos="74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CAN I REVOKE MY PROXY AFTER I HAVE SUBMITTED IT?</w:t>
      </w:r>
    </w:p>
    <w:p>
      <w:pPr>
        <w:spacing w:after="0" w:line="78" w:lineRule="exact"/>
        <w:rPr>
          <w:sz w:val="20"/>
          <w:szCs w:val="20"/>
          <w:color w:val="auto"/>
        </w:rPr>
      </w:pPr>
    </w:p>
    <w:p>
      <w:pPr>
        <w:jc w:val="both"/>
        <w:ind w:left="740" w:right="100" w:hanging="424"/>
        <w:spacing w:after="0" w:line="304" w:lineRule="auto"/>
        <w:tabs>
          <w:tab w:leader="none" w:pos="7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If the enclosed form of proxy is executed and returned by the shareholder, it may nevertheless be revoked by the person giving it by written notice of revocation to the Corporate Secretary of the Company or by submitting a later dated proxy, provided such notice or later dated proxy is received by 11:59 p.m., Central Time, on May 8, 2024. You will also be able to vote your shares online by attending the Annual Meeting by webcast.</w:t>
      </w:r>
    </w:p>
    <w:p>
      <w:pPr>
        <w:spacing w:after="0" w:line="284" w:lineRule="exact"/>
        <w:rPr>
          <w:sz w:val="20"/>
          <w:szCs w:val="20"/>
          <w:color w:val="auto"/>
        </w:rPr>
      </w:pPr>
    </w:p>
    <w:p>
      <w:pPr>
        <w:ind w:left="740" w:hanging="424"/>
        <w:spacing w:after="0"/>
        <w:tabs>
          <w:tab w:leader="none" w:pos="74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WHAT CONSTITUTES A QUORUM?</w:t>
      </w:r>
    </w:p>
    <w:p>
      <w:pPr>
        <w:spacing w:after="0" w:line="78" w:lineRule="exact"/>
        <w:rPr>
          <w:sz w:val="20"/>
          <w:szCs w:val="20"/>
          <w:color w:val="auto"/>
        </w:rPr>
      </w:pPr>
    </w:p>
    <w:p>
      <w:pPr>
        <w:ind w:left="740" w:right="60" w:hanging="424"/>
        <w:spacing w:after="0" w:line="246" w:lineRule="auto"/>
        <w:tabs>
          <w:tab w:leader="none" w:pos="7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Pursuant to the Company’s Bylaws, the holders of 60% of the issued and outstanding shares of Class B Common Stock who are entitled to vote at a shareholders’ meeting, in person or represented by proxy, will constitute a quorum. Shares that are present and entitled to vote on any of the proposals to be considered at the Annual Meeting will be considered to be present at the Annual Meeting for purposes of establishing the presence or absence of a quorum for the transaction of business.</w:t>
      </w:r>
    </w:p>
    <w:p>
      <w:pPr>
        <w:spacing w:after="0" w:line="323" w:lineRule="exact"/>
        <w:rPr>
          <w:sz w:val="20"/>
          <w:szCs w:val="20"/>
          <w:color w:val="auto"/>
        </w:rPr>
      </w:pPr>
    </w:p>
    <w:p>
      <w:pPr>
        <w:ind w:left="740" w:hanging="424"/>
        <w:spacing w:after="0"/>
        <w:tabs>
          <w:tab w:leader="none" w:pos="74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WHAT IS A BROKER NON-VOTE?</w:t>
      </w:r>
    </w:p>
    <w:p>
      <w:pPr>
        <w:spacing w:after="0" w:line="78" w:lineRule="exact"/>
        <w:rPr>
          <w:sz w:val="20"/>
          <w:szCs w:val="20"/>
          <w:color w:val="auto"/>
        </w:rPr>
      </w:pPr>
    </w:p>
    <w:p>
      <w:pPr>
        <w:ind w:left="740" w:right="240" w:hanging="424"/>
        <w:spacing w:after="0" w:line="251" w:lineRule="auto"/>
        <w:tabs>
          <w:tab w:leader="none" w:pos="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“broker non-vote” occurs if a broker or other nominee indicates on the enclosed proxy that it does not have discretionary authority as to certain shares to vote on a particular proposal, but otherwise has authority to vote at the Annual Meeting. Abstentions and shares subject to broker non-votes will be considered as present for purposes of determining the presence or absence of a quorum at the Annual Meeting.</w:t>
      </w:r>
    </w:p>
    <w:p>
      <w:pPr>
        <w:spacing w:after="0" w:line="318" w:lineRule="exact"/>
        <w:rPr>
          <w:sz w:val="20"/>
          <w:szCs w:val="20"/>
          <w:color w:val="auto"/>
        </w:rPr>
      </w:pPr>
    </w:p>
    <w:p>
      <w:pPr>
        <w:ind w:left="740" w:hanging="424"/>
        <w:spacing w:after="0"/>
        <w:tabs>
          <w:tab w:leader="none" w:pos="74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HOW IS IT DETERMINED IF A MATTER HAS BEEN APPROVED?</w:t>
      </w:r>
    </w:p>
    <w:p>
      <w:pPr>
        <w:spacing w:after="0" w:line="78" w:lineRule="exact"/>
        <w:rPr>
          <w:sz w:val="20"/>
          <w:szCs w:val="20"/>
          <w:color w:val="auto"/>
        </w:rPr>
      </w:pPr>
    </w:p>
    <w:p>
      <w:pPr>
        <w:ind w:left="740" w:right="100" w:hanging="424"/>
        <w:spacing w:after="0" w:line="329" w:lineRule="auto"/>
        <w:tabs>
          <w:tab w:leader="none" w:pos="7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Under our Bylaws, directors are elected by plurality vote and the nominees who receive the greatest number of votes at the Annual Meeting will be elected. Withheld votes and broker non-votes will not be taken into account for purposes of determining the outcome of the election of directors.</w:t>
      </w:r>
    </w:p>
    <w:p>
      <w:pPr>
        <w:spacing w:after="0" w:line="1" w:lineRule="exact"/>
        <w:rPr>
          <w:sz w:val="20"/>
          <w:szCs w:val="20"/>
          <w:color w:val="auto"/>
        </w:rPr>
      </w:pPr>
    </w:p>
    <w:p>
      <w:pPr>
        <w:ind w:left="740" w:right="180" w:hanging="424"/>
        <w:spacing w:after="0" w:line="251" w:lineRule="auto"/>
        <w:tabs>
          <w:tab w:leader="none" w:pos="7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affirmative vote of a majority of the Class B shares present in person or by proxy at the Annual Meeting and entitled to vote on such proposal will be required to approve Proposal 2, and Proposal 4. Abstentions will have the effect of negative votes with respect to these proposals. Broker non-votes will not be taken into account for purposes of these proposals.</w:t>
      </w:r>
    </w:p>
    <w:p>
      <w:pPr>
        <w:spacing w:after="0" w:line="47" w:lineRule="exact"/>
        <w:rPr>
          <w:rFonts w:ascii="Arial" w:cs="Arial" w:eastAsia="Arial" w:hAnsi="Arial"/>
          <w:sz w:val="16"/>
          <w:szCs w:val="16"/>
          <w:color w:val="auto"/>
        </w:rPr>
      </w:pPr>
    </w:p>
    <w:p>
      <w:pPr>
        <w:ind w:left="740" w:hanging="424"/>
        <w:spacing w:after="0" w:line="265" w:lineRule="auto"/>
        <w:tabs>
          <w:tab w:leader="none" w:pos="7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affirmative vote of the holders of a majority of the outstanding shares of our Class B Common Stock entitled to vote on Proposal 3 is required to approve the Proposal. Abstentions and broker non-votes will have the same effect as a vote against Proposal 3.</w:t>
      </w:r>
    </w:p>
    <w:p>
      <w:pPr>
        <w:spacing w:after="0" w:line="307" w:lineRule="exact"/>
        <w:rPr>
          <w:sz w:val="20"/>
          <w:szCs w:val="20"/>
          <w:color w:val="auto"/>
        </w:rPr>
      </w:pPr>
    </w:p>
    <w:p>
      <w:pPr>
        <w:ind w:left="740" w:right="920" w:hanging="424"/>
        <w:spacing w:after="0" w:line="278" w:lineRule="auto"/>
        <w:tabs>
          <w:tab w:leader="none" w:pos="74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ADDITIONAL MATTERS (OTHER THAN THE PROPOSALS DESCRIBED IN THIS PROXY STATEMENT) ARE PRESENTED AT THE ANNUAL MEETING?</w:t>
      </w:r>
    </w:p>
    <w:p>
      <w:pPr>
        <w:spacing w:after="0" w:line="18" w:lineRule="exact"/>
        <w:rPr>
          <w:sz w:val="20"/>
          <w:szCs w:val="20"/>
          <w:color w:val="auto"/>
        </w:rPr>
      </w:pPr>
    </w:p>
    <w:p>
      <w:pPr>
        <w:ind w:left="740" w:right="180" w:hanging="424"/>
        <w:spacing w:after="0" w:line="265" w:lineRule="auto"/>
        <w:tabs>
          <w:tab w:leader="none" w:pos="7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any other matters do properly come before the Annual Meeting, all proxies signed and returned by holders of the Class B Common Stock, if not limited to the contrary, will be voted thereon in accordance with the best judgment of the persons voting the proxies.</w:t>
      </w:r>
    </w:p>
    <w:p>
      <w:pPr>
        <w:spacing w:after="0" w:line="38"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82 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20"/>
          </w:cols>
          <w:pgMar w:left="320" w:top="471" w:right="6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Questions and Answers About the Proxy Statement and the Annual Meeting</w:t>
      </w:r>
    </w:p>
    <w:p>
      <w:pPr>
        <w:spacing w:after="0" w:line="135" w:lineRule="exact"/>
        <w:rPr>
          <w:sz w:val="20"/>
          <w:szCs w:val="20"/>
          <w:color w:val="auto"/>
        </w:rPr>
      </w:pPr>
    </w:p>
    <w:p>
      <w:pPr>
        <w:ind w:left="740" w:hanging="424"/>
        <w:spacing w:after="0"/>
        <w:tabs>
          <w:tab w:leader="none" w:pos="74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HOW CAN I COMMUNICATE WITH THE BOARD?</w:t>
      </w:r>
    </w:p>
    <w:p>
      <w:pPr>
        <w:spacing w:after="0" w:line="78" w:lineRule="exact"/>
        <w:rPr>
          <w:sz w:val="20"/>
          <w:szCs w:val="20"/>
          <w:color w:val="auto"/>
        </w:rPr>
      </w:pPr>
    </w:p>
    <w:p>
      <w:pPr>
        <w:ind w:left="740" w:right="60" w:hanging="424"/>
        <w:spacing w:after="0" w:line="251" w:lineRule="auto"/>
        <w:tabs>
          <w:tab w:leader="none" w:pos="7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Shareholders may communicate with the Board in writing, addressed to the Board of Directors and mailed to the Corporate Secretary, Kelly Services, Inc., 999 West Big Beaver Road, Troy, Michigan 48084-4716. All written shareholder communications will be summarized and reported to the Board at its regularly scheduled meetings.</w:t>
      </w:r>
    </w:p>
    <w:p>
      <w:pPr>
        <w:spacing w:after="0" w:line="318" w:lineRule="exact"/>
        <w:rPr>
          <w:sz w:val="20"/>
          <w:szCs w:val="20"/>
          <w:color w:val="auto"/>
        </w:rPr>
      </w:pPr>
    </w:p>
    <w:p>
      <w:pPr>
        <w:ind w:left="740" w:right="20" w:hanging="424"/>
        <w:spacing w:after="0" w:line="278" w:lineRule="auto"/>
        <w:tabs>
          <w:tab w:leader="none" w:pos="740"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DEADLINE TO SUBMIT SHAREHOLDER PROPOSALS AND DIRECTOR NOMINATIONS FOR THE COMPANY’S 2025 ANNUAL MEETING OF SHAREHOLDERS?</w:t>
      </w:r>
    </w:p>
    <w:p>
      <w:pPr>
        <w:spacing w:after="0" w:line="18" w:lineRule="exact"/>
        <w:rPr>
          <w:sz w:val="20"/>
          <w:szCs w:val="20"/>
          <w:color w:val="auto"/>
        </w:rPr>
      </w:pPr>
    </w:p>
    <w:p>
      <w:pPr>
        <w:ind w:left="740" w:right="20" w:hanging="424"/>
        <w:spacing w:after="0" w:line="246" w:lineRule="auto"/>
        <w:tabs>
          <w:tab w:leader="none" w:pos="7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a Class B shareholder intends to present a proposal for inclusion in the proxy materials to be distributed by us in connection with the Company’s 2025 Annual Meeting of Shareholders in reliance on Rule 14a-8 under the Exchange Act, the proposal must be submitted in writing and received by the Corporate Secretary no later than December 16, 2024. The proposal must also meet the other requirements of the rules of the SEC relating to shareholder proposals.</w:t>
      </w:r>
    </w:p>
    <w:p>
      <w:pPr>
        <w:spacing w:after="0" w:line="52" w:lineRule="exact"/>
        <w:rPr>
          <w:sz w:val="20"/>
          <w:szCs w:val="20"/>
          <w:color w:val="auto"/>
        </w:rPr>
      </w:pPr>
    </w:p>
    <w:p>
      <w:pPr>
        <w:ind w:left="740" w:right="20" w:hanging="424"/>
        <w:spacing w:after="0" w:line="243" w:lineRule="auto"/>
        <w:tabs>
          <w:tab w:leader="none" w:pos="7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Our Bylaws contain an advance notice of shareholder business and nominations requirement, which generally prescribes the procedures that a shareholder of the Company must follow if the shareholder intends at an Annual Meeting of Shareholders to nominate a person for the election to the Board or to propose other business to be considered by shareholders. These procedures include, among other things, that the shareholder give timely notice to the Corporate Secretary of the nomination or other proposed business, that the notice contains specified information, and that the shareholder complies with certain other requirements. If a shareholder’s nomination or proposal is not in compliance with the procedures set forth in our Bylaws, the Company may disregard such nomination or proposal.</w:t>
      </w:r>
    </w:p>
    <w:p>
      <w:pPr>
        <w:spacing w:after="0" w:line="53" w:lineRule="exact"/>
        <w:rPr>
          <w:rFonts w:ascii="Arial" w:cs="Arial" w:eastAsia="Arial" w:hAnsi="Arial"/>
          <w:sz w:val="16"/>
          <w:szCs w:val="16"/>
          <w:color w:val="auto"/>
        </w:rPr>
      </w:pPr>
    </w:p>
    <w:p>
      <w:pPr>
        <w:ind w:left="740" w:right="20" w:hanging="424"/>
        <w:spacing w:after="0" w:line="241" w:lineRule="auto"/>
        <w:tabs>
          <w:tab w:leader="none" w:pos="7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Generally, in the case of an Annual Meeting of Shareholders, a shareholder’s notice must be delivered in writing to the Corporate Secretary, at the Company’s principal executive office, not later than the close of business on the 90th day nor earlier than the close of business on the 120th day prior to the first anniversary of the date of the proceeding year’s Annual Meeting of Shareholders. To be timely for the 2025 Annual Meeting of Shareholders, the notice must be received by the Corporate Secretary no earlier than January 9, 2025, and no later than February 7, 2025. In addition, shareholders seeking to include director nominations in the Company’s Proxy Statement for its 2025 Annual Meeting of Shareholders are required to provide notice to the Company pursuant to SEC Rule 14a-11 regarding proxy access no earlier than November 16, 2024 and no later than December 16, 2024, and to satisfy other conditions of such rule. Shareholders intending to utilize SEC Rule 14a-11 regarding universal proxies must provide notice to the Company postmarked no later than March 10, 2025.</w:t>
      </w:r>
    </w:p>
    <w:p>
      <w:pPr>
        <w:spacing w:after="0" w:line="57" w:lineRule="exact"/>
        <w:rPr>
          <w:rFonts w:ascii="Arial" w:cs="Arial" w:eastAsia="Arial" w:hAnsi="Arial"/>
          <w:sz w:val="16"/>
          <w:szCs w:val="16"/>
          <w:color w:val="auto"/>
        </w:rPr>
      </w:pPr>
    </w:p>
    <w:p>
      <w:pPr>
        <w:jc w:val="both"/>
        <w:ind w:left="740" w:right="220" w:hanging="424"/>
        <w:spacing w:after="0" w:line="247" w:lineRule="auto"/>
        <w:tabs>
          <w:tab w:leader="none" w:pos="7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each case, proposals made under Rule 14a-8 and nominations for director nominees and/or an item of business to be introduced at an Annual Meeting of Shareholders must be submitted in writing and received by the Corporate Secretary, Kelly Services, Inc., 999 West Big Beaver Road, Troy, Michigan 48084-4716.</w:t>
      </w:r>
    </w:p>
    <w:p>
      <w:pPr>
        <w:spacing w:after="0" w:line="1" w:lineRule="exact"/>
        <w:rPr>
          <w:rFonts w:ascii="Arial" w:cs="Arial" w:eastAsia="Arial" w:hAnsi="Arial"/>
          <w:sz w:val="16"/>
          <w:szCs w:val="16"/>
          <w:color w:val="auto"/>
        </w:rPr>
      </w:pPr>
    </w:p>
    <w:p>
      <w:pPr>
        <w:ind w:left="9380" w:hanging="281"/>
        <w:spacing w:after="0"/>
        <w:tabs>
          <w:tab w:leader="none" w:pos="9380" w:val="left"/>
        </w:tabs>
        <w:numPr>
          <w:ilvl w:val="1"/>
          <w:numId w:val="84"/>
        </w:numPr>
        <w:rPr>
          <w:rFonts w:ascii="Arial" w:cs="Arial" w:eastAsia="Arial" w:hAnsi="Arial"/>
          <w:sz w:val="21"/>
          <w:szCs w:val="21"/>
          <w:color w:val="auto"/>
          <w:vertAlign w:val="subscript"/>
        </w:rPr>
      </w:pPr>
      <w:r>
        <w:rPr>
          <w:sz w:val="1"/>
          <w:szCs w:val="1"/>
          <w:color w:val="auto"/>
        </w:rPr>
        <w:drawing>
          <wp:inline distT="0" distB="0" distL="0" distR="0">
            <wp:extent cx="396240" cy="189865"/>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1"/>
          <w:szCs w:val="21"/>
          <w:color w:val="auto"/>
          <w:vertAlign w:val="subscript"/>
        </w:rPr>
        <w:t xml:space="preserve">    </w:t>
      </w:r>
      <w:r>
        <w:rPr>
          <w:rFonts w:ascii="Arial" w:cs="Arial" w:eastAsia="Arial" w:hAnsi="Arial"/>
          <w:sz w:val="21"/>
          <w:szCs w:val="21"/>
          <w:color w:val="auto"/>
        </w:rPr>
        <w:t>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-133985</wp:posOffset>
            </wp:positionV>
            <wp:extent cx="8255" cy="2228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7000240" cy="91198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000240" cy="9119870"/>
                    </a:xfrm>
                    <a:prstGeom prst="rect">
                      <a:avLst/>
                    </a:prstGeom>
                    <a:noFill/>
                  </pic:spPr>
                </pic:pic>
              </a:graphicData>
            </a:graphic>
          </wp:anchor>
        </w:drawing>
      </w:r>
    </w:p>
    <w:p>
      <w:pPr>
        <w:sectPr>
          <w:pgSz w:w="11900" w:h="16838" w:orient="portrait"/>
          <w:cols w:equalWidth="0" w:num="1">
            <w:col w:w="10139"/>
          </w:cols>
          <w:pgMar w:left="320" w:top="471"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202565</wp:posOffset>
            </wp:positionV>
            <wp:extent cx="6129655" cy="79305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129655" cy="7930515"/>
                    </a:xfrm>
                    <a:prstGeom prst="rect">
                      <a:avLst/>
                    </a:prstGeom>
                    <a:noFill/>
                  </pic:spPr>
                </pic:pic>
              </a:graphicData>
            </a:graphic>
          </wp:anchor>
        </w:drawing>
      </w:r>
    </w:p>
    <w:p>
      <w:pPr>
        <w:sectPr>
          <w:pgSz w:w="11900" w:h="16838" w:orient="portrait"/>
          <w:cols w:equalWidth="0" w:num="1">
            <w:col w:w="10139"/>
          </w:cols>
          <w:pgMar w:left="320" w:top="471"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202565</wp:posOffset>
            </wp:positionV>
            <wp:extent cx="6129655" cy="79305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129655" cy="7930515"/>
                    </a:xfrm>
                    <a:prstGeom prst="rect">
                      <a:avLst/>
                    </a:prstGeom>
                    <a:noFill/>
                  </pic:spPr>
                </pic:pic>
              </a:graphicData>
            </a:graphic>
          </wp:anchor>
        </w:drawing>
      </w: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1)"/>
      <w:numFmt w:val="decimal"/>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lvl w:ilvl="1">
      <w:lvlJc w:val="left"/>
      <w:lvlText w:val=" "/>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8"/>
      <w:numFmt w:val="bullet"/>
      <w:start w:val="1"/>
    </w:lvl>
  </w:abstractNum>
  <w:abstractNum w:abstractNumId="13">
    <w:nsid w:val="684A481A"/>
    <w:multiLevelType w:val="hybridMultilevel"/>
    <w:lvl w:ilvl="0">
      <w:lvlJc w:val="left"/>
      <w:lvlText w:val="7"/>
      <w:numFmt w:val="bullet"/>
      <w:start w:val="1"/>
    </w:lvl>
  </w:abstractNum>
  <w:abstractNum w:abstractNumId="14">
    <w:nsid w:val="579478FE"/>
    <w:multiLevelType w:val="hybridMultilevel"/>
    <w:lvl w:ilvl="0">
      <w:lvlJc w:val="left"/>
      <w:lvlText w:val="8"/>
      <w:numFmt w:val="bullet"/>
      <w:start w:val="1"/>
    </w:lvl>
  </w:abstractNum>
  <w:abstractNum w:abstractNumId="15">
    <w:nsid w:val="749ABB43"/>
    <w:multiLevelType w:val="hybridMultilevel"/>
    <w:lvl w:ilvl="0">
      <w:lvlJc w:val="left"/>
      <w:lvlText w:val="6"/>
      <w:numFmt w:val="bullet"/>
      <w:start w:val="1"/>
    </w:lvl>
  </w:abstractNum>
  <w:abstractNum w:abstractNumId="16">
    <w:nsid w:val="3DC240FB"/>
    <w:multiLevelType w:val="hybridMultilevel"/>
    <w:lvl w:ilvl="0">
      <w:lvlJc w:val="left"/>
      <w:lvlText w:val="9"/>
      <w:numFmt w:val="bullet"/>
      <w:start w:val="1"/>
    </w:lvl>
  </w:abstractNum>
  <w:abstractNum w:abstractNumId="17">
    <w:nsid w:val="1BA026FA"/>
    <w:multiLevelType w:val="hybridMultilevel"/>
    <w:lvl w:ilvl="0">
      <w:lvlJc w:val="left"/>
      <w:lvlText w:val="2"/>
      <w:numFmt w:val="bullet"/>
      <w:start w:val="1"/>
    </w:lvl>
  </w:abstractNum>
  <w:abstractNum w:abstractNumId="18">
    <w:nsid w:val="79A1DEAA"/>
    <w:multiLevelType w:val="hybridMultilevel"/>
    <w:lvl w:ilvl="0">
      <w:lvlJc w:val="left"/>
      <w:lvlText w:val="7"/>
      <w:numFmt w:val="bullet"/>
      <w:start w:val="1"/>
    </w:lvl>
  </w:abstractNum>
  <w:abstractNum w:abstractNumId="19">
    <w:nsid w:val="75C6C33A"/>
    <w:multiLevelType w:val="hybridMultilevel"/>
    <w:lvl w:ilvl="0">
      <w:lvlJc w:val="left"/>
      <w:lvlText w:val="4"/>
      <w:numFmt w:val="bullet"/>
      <w:start w:val="1"/>
    </w:lvl>
  </w:abstractNum>
  <w:abstractNum w:abstractNumId="20">
    <w:nsid w:val="12E685FB"/>
    <w:multiLevelType w:val="hybridMultilevel"/>
    <w:lvl w:ilvl="0">
      <w:lvlJc w:val="left"/>
      <w:lvlText w:val="9"/>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lvl w:ilvl="1">
      <w:lvlJc w:val="left"/>
      <w:lvlText w:val=" "/>
      <w:numFmt w:val="bullet"/>
      <w:start w:val="1"/>
    </w:lvl>
  </w:abstractNum>
  <w:abstractNum w:abstractNumId="23">
    <w:nsid w:val="374A3FE6"/>
    <w:multiLevelType w:val="hybridMultilevel"/>
    <w:lvl w:ilvl="0">
      <w:lvlJc w:val="left"/>
      <w:lvlText w:val="(%1)"/>
      <w:numFmt w:val="decimal"/>
      <w:start w:val="1"/>
    </w:lvl>
  </w:abstractNum>
  <w:abstractNum w:abstractNumId="24">
    <w:nsid w:val="4F4EF005"/>
    <w:multiLevelType w:val="hybridMultilevel"/>
    <w:lvl w:ilvl="0">
      <w:lvlJc w:val="left"/>
      <w:lvlText w:val="●"/>
      <w:numFmt w:val="bullet"/>
      <w:start w:val="1"/>
    </w:lvl>
    <w:lvl w:ilvl="1">
      <w:lvlJc w:val="left"/>
      <w:lvlText w:val=" "/>
      <w:numFmt w:val="bullet"/>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1)"/>
      <w:numFmt w:val="decimal"/>
      <w:start w:val="1"/>
    </w:lvl>
    <w:lvl w:ilvl="1">
      <w:lvlJc w:val="left"/>
      <w:lvlText w:val=" "/>
      <w:numFmt w:val="bullet"/>
      <w:start w:val="1"/>
    </w:lvl>
  </w:abstractNum>
  <w:abstractNum w:abstractNumId="27">
    <w:nsid w:val="275AC794"/>
    <w:multiLevelType w:val="hybridMultilevel"/>
    <w:lvl w:ilvl="0">
      <w:lvlJc w:val="left"/>
      <w:lvlText w:val="1"/>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lvl w:ilvl="1">
      <w:lvlJc w:val="left"/>
      <w:lvlText w:val="•"/>
      <w:numFmt w:val="bullet"/>
      <w:start w:val="1"/>
    </w:lvl>
  </w:abstractNum>
  <w:abstractNum w:abstractNumId="30">
    <w:nsid w:val="180115BE"/>
    <w:multiLevelType w:val="hybridMultilevel"/>
    <w:lvl w:ilvl="0">
      <w:lvlJc w:val="left"/>
      <w:lvlText w:val="●"/>
      <w:numFmt w:val="bullet"/>
      <w:start w:val="1"/>
    </w:lvl>
    <w:lvl w:ilvl="1">
      <w:lvlJc w:val="left"/>
      <w:lvlText w:val=" "/>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1)"/>
      <w:numFmt w:val="decimal"/>
      <w:start w:val="1"/>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
      <w:numFmt w:val="bullet"/>
      <w:start w:val="1"/>
    </w:lvl>
  </w:abstractNum>
  <w:abstractNum w:abstractNumId="39">
    <w:nsid w:val="61574095"/>
    <w:multiLevelType w:val="hybridMultilevel"/>
    <w:lvl w:ilvl="0">
      <w:lvlJc w:val="left"/>
      <w:lvlText w:val="(%1)"/>
      <w:numFmt w:val="decimal"/>
      <w:start w:val="1"/>
    </w:lvl>
  </w:abstractNum>
  <w:abstractNum w:abstractNumId="40">
    <w:nsid w:val="7E0C57B1"/>
    <w:multiLevelType w:val="hybridMultilevel"/>
    <w:lvl w:ilvl="0">
      <w:lvlJc w:val="left"/>
      <w:lvlText w:val="(%1)"/>
      <w:numFmt w:val="decimal"/>
      <w:start w:val="4"/>
    </w:lvl>
  </w:abstractNum>
  <w:abstractNum w:abstractNumId="41">
    <w:nsid w:val="77AE35EB"/>
    <w:multiLevelType w:val="hybridMultilevel"/>
    <w:lvl w:ilvl="0">
      <w:lvlJc w:val="left"/>
      <w:lvlText w:val="(%1)"/>
      <w:numFmt w:val="decimal"/>
      <w:start w:val="5"/>
    </w:lvl>
  </w:abstractNum>
  <w:abstractNum w:abstractNumId="42">
    <w:nsid w:val="579BE4F1"/>
    <w:multiLevelType w:val="hybridMultilevel"/>
    <w:lvl w:ilvl="0">
      <w:lvlJc w:val="left"/>
      <w:lvlText w:val="(%1)"/>
      <w:numFmt w:val="decimal"/>
      <w:start w:val="6"/>
    </w:lvl>
  </w:abstractNum>
  <w:abstractNum w:abstractNumId="43">
    <w:nsid w:val="310C50B3"/>
    <w:multiLevelType w:val="hybridMultilevel"/>
    <w:lvl w:ilvl="0">
      <w:lvlJc w:val="left"/>
      <w:lvlText w:val="(%1)"/>
      <w:numFmt w:val="decimal"/>
      <w:start w:val="1"/>
    </w:lvl>
  </w:abstractNum>
  <w:abstractNum w:abstractNumId="44">
    <w:nsid w:val="5FF87E05"/>
    <w:multiLevelType w:val="hybridMultilevel"/>
    <w:lvl w:ilvl="0">
      <w:lvlJc w:val="left"/>
      <w:lvlText w:val="(%1)"/>
      <w:numFmt w:val="decimal"/>
      <w:start w:val="1"/>
    </w:lvl>
    <w:lvl w:ilvl="1">
      <w:lvlJc w:val="left"/>
      <w:lvlText w:val=" "/>
      <w:numFmt w:val="bullet"/>
      <w:start w:val="1"/>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1)"/>
      <w:numFmt w:val="decimal"/>
      <w:start w:val="1"/>
    </w:lvl>
  </w:abstractNum>
  <w:abstractNum w:abstractNumId="47">
    <w:nsid w:val="1DBABF00"/>
    <w:multiLevelType w:val="hybridMultilevel"/>
    <w:lvl w:ilvl="0">
      <w:lvlJc w:val="left"/>
      <w:lvlText w:val="(%1)"/>
      <w:numFmt w:val="decimal"/>
      <w:start w:val="1"/>
    </w:lvl>
    <w:lvl w:ilvl="1">
      <w:lvlJc w:val="left"/>
      <w:lvlText w:val=" "/>
      <w:numFmt w:val="bullet"/>
      <w:start w:val="1"/>
    </w:lvl>
  </w:abstractNum>
  <w:abstractNum w:abstractNumId="48">
    <w:nsid w:val="4AD084E9"/>
    <w:multiLevelType w:val="hybridMultilevel"/>
    <w:lvl w:ilvl="0">
      <w:lvlJc w:val="left"/>
      <w:lvlText w:val="(%1)"/>
      <w:numFmt w:val="decimal"/>
      <w:start w:val="2"/>
    </w:lvl>
  </w:abstractNum>
  <w:abstractNum w:abstractNumId="49">
    <w:nsid w:val="1F48EAA1"/>
    <w:multiLevelType w:val="hybridMultilevel"/>
    <w:lvl w:ilvl="0">
      <w:lvlJc w:val="left"/>
      <w:lvlText w:val="●"/>
      <w:numFmt w:val="bullet"/>
      <w:start w:val="1"/>
    </w:lvl>
    <w:lvl w:ilvl="1">
      <w:lvlJc w:val="left"/>
      <w:lvlText w:val="•"/>
      <w:numFmt w:val="bullet"/>
      <w:start w:val="1"/>
    </w:lvl>
  </w:abstractNum>
  <w:abstractNum w:abstractNumId="50">
    <w:nsid w:val="1381823A"/>
    <w:multiLevelType w:val="hybridMultilevel"/>
    <w:lvl w:ilvl="0">
      <w:lvlJc w:val="left"/>
      <w:lvlText w:val="●"/>
      <w:numFmt w:val="bullet"/>
      <w:start w:val="1"/>
    </w:lvl>
    <w:lvl w:ilvl="1">
      <w:lvlJc w:val="left"/>
      <w:lvlText w:val=" "/>
      <w:numFmt w:val="bullet"/>
      <w:start w:val="1"/>
    </w:lvl>
  </w:abstractNum>
  <w:abstractNum w:abstractNumId="51">
    <w:nsid w:val="5DB70AE5"/>
    <w:multiLevelType w:val="hybridMultilevel"/>
    <w:lvl w:ilvl="0">
      <w:lvlJc w:val="left"/>
      <w:lvlText w:val="(%1)"/>
      <w:numFmt w:val="decimal"/>
      <w:start w:val="1"/>
    </w:lvl>
  </w:abstractNum>
  <w:abstractNum w:abstractNumId="52">
    <w:nsid w:val="100F8FCA"/>
    <w:multiLevelType w:val="hybridMultilevel"/>
    <w:lvl w:ilvl="0">
      <w:lvlJc w:val="left"/>
      <w:lvlText w:val="(%1)"/>
      <w:numFmt w:val="decimal"/>
      <w:start w:val="2"/>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1)"/>
      <w:numFmt w:val="upperLetter"/>
      <w:start w:val="17"/>
    </w:lvl>
  </w:abstractNum>
  <w:abstractNum w:abstractNumId="55">
    <w:nsid w:val="5F5E7FD0"/>
    <w:multiLevelType w:val="hybridMultilevel"/>
    <w:lvl w:ilvl="0">
      <w:lvlJc w:val="left"/>
      <w:lvlText w:val="%1)"/>
      <w:numFmt w:val="upperLetter"/>
      <w:start w:val="1"/>
    </w:lvl>
  </w:abstractNum>
  <w:abstractNum w:abstractNumId="56">
    <w:nsid w:val="98A3148"/>
    <w:multiLevelType w:val="hybridMultilevel"/>
    <w:lvl w:ilvl="0">
      <w:lvlJc w:val="left"/>
      <w:lvlText w:val="%1)"/>
      <w:numFmt w:val="upperLetter"/>
      <w:start w:val="17"/>
    </w:lvl>
  </w:abstractNum>
  <w:abstractNum w:abstractNumId="57">
    <w:nsid w:val="799D0247"/>
    <w:multiLevelType w:val="hybridMultilevel"/>
    <w:lvl w:ilvl="0">
      <w:lvlJc w:val="left"/>
      <w:lvlText w:val="%1)"/>
      <w:numFmt w:val="upperLetter"/>
      <w:start w:val="1"/>
    </w:lvl>
  </w:abstractNum>
  <w:abstractNum w:abstractNumId="58">
    <w:nsid w:val="6B94764"/>
    <w:multiLevelType w:val="hybridMultilevel"/>
    <w:lvl w:ilvl="0">
      <w:lvlJc w:val="left"/>
      <w:lvlText w:val="%1)"/>
      <w:numFmt w:val="upperLetter"/>
      <w:start w:val="17"/>
    </w:lvl>
  </w:abstractNum>
  <w:abstractNum w:abstractNumId="59">
    <w:nsid w:val="42C296BD"/>
    <w:multiLevelType w:val="hybridMultilevel"/>
    <w:lvl w:ilvl="0">
      <w:lvlJc w:val="left"/>
      <w:lvlText w:val="%1)"/>
      <w:numFmt w:val="upperLetter"/>
      <w:start w:val="1"/>
    </w:lvl>
  </w:abstractNum>
  <w:abstractNum w:abstractNumId="60">
    <w:nsid w:val="168E121F"/>
    <w:multiLevelType w:val="hybridMultilevel"/>
    <w:lvl w:ilvl="0">
      <w:lvlJc w:val="left"/>
      <w:lvlText w:val=" "/>
      <w:numFmt w:val="bullet"/>
      <w:start w:val="1"/>
    </w:lvl>
  </w:abstractNum>
  <w:abstractNum w:abstractNumId="61">
    <w:nsid w:val="1EBA5D23"/>
    <w:multiLevelType w:val="hybridMultilevel"/>
    <w:lvl w:ilvl="0">
      <w:lvlJc w:val="left"/>
      <w:lvlText w:val="%1)"/>
      <w:numFmt w:val="upperLetter"/>
      <w:start w:val="17"/>
    </w:lvl>
  </w:abstractNum>
  <w:abstractNum w:abstractNumId="62">
    <w:nsid w:val="661E3F1E"/>
    <w:multiLevelType w:val="hybridMultilevel"/>
    <w:lvl w:ilvl="0">
      <w:lvlJc w:val="left"/>
      <w:lvlText w:val="%1)"/>
      <w:numFmt w:val="upperLetter"/>
      <w:start w:val="1"/>
    </w:lvl>
  </w:abstractNum>
  <w:abstractNum w:abstractNumId="63">
    <w:nsid w:val="5DC79EA8"/>
    <w:multiLevelType w:val="hybridMultilevel"/>
    <w:lvl w:ilvl="0">
      <w:lvlJc w:val="left"/>
      <w:lvlText w:val=" "/>
      <w:numFmt w:val="bullet"/>
      <w:start w:val="1"/>
    </w:lvl>
  </w:abstractNum>
  <w:abstractNum w:abstractNumId="64">
    <w:nsid w:val="540A471C"/>
    <w:multiLevelType w:val="hybridMultilevel"/>
    <w:lvl w:ilvl="0">
      <w:lvlJc w:val="left"/>
      <w:lvlText w:val="%1)"/>
      <w:numFmt w:val="upperLetter"/>
      <w:start w:val="17"/>
    </w:lvl>
  </w:abstractNum>
  <w:abstractNum w:abstractNumId="65">
    <w:nsid w:val="7BD3EE7B"/>
    <w:multiLevelType w:val="hybridMultilevel"/>
    <w:lvl w:ilvl="0">
      <w:lvlJc w:val="left"/>
      <w:lvlText w:val="%1)"/>
      <w:numFmt w:val="upperLetter"/>
      <w:start w:val="1"/>
    </w:lvl>
    <w:lvl w:ilvl="1">
      <w:lvlJc w:val="left"/>
      <w:lvlText w:val=" "/>
      <w:numFmt w:val="bullet"/>
      <w:start w:val="1"/>
    </w:lvl>
  </w:abstractNum>
  <w:abstractNum w:abstractNumId="66">
    <w:nsid w:val="51D9C564"/>
    <w:multiLevelType w:val="hybridMultilevel"/>
    <w:lvl w:ilvl="0">
      <w:lvlJc w:val="left"/>
      <w:lvlText w:val="%1)"/>
      <w:numFmt w:val="upperLetter"/>
      <w:start w:val="17"/>
    </w:lvl>
  </w:abstractNum>
  <w:abstractNum w:abstractNumId="67">
    <w:nsid w:val="613EFDC5"/>
    <w:multiLevelType w:val="hybridMultilevel"/>
    <w:lvl w:ilvl="0">
      <w:lvlJc w:val="left"/>
      <w:lvlText w:val="%1)"/>
      <w:numFmt w:val="upperLetter"/>
      <w:start w:val="1"/>
    </w:lvl>
  </w:abstractNum>
  <w:abstractNum w:abstractNumId="68">
    <w:nsid w:val="BF72B14"/>
    <w:multiLevelType w:val="hybridMultilevel"/>
    <w:lvl w:ilvl="0">
      <w:lvlJc w:val="left"/>
      <w:lvlText w:val="%1)"/>
      <w:numFmt w:val="upperLetter"/>
      <w:start w:val="17"/>
    </w:lvl>
  </w:abstractNum>
  <w:abstractNum w:abstractNumId="69">
    <w:nsid w:val="11447B73"/>
    <w:multiLevelType w:val="hybridMultilevel"/>
    <w:lvl w:ilvl="0">
      <w:lvlJc w:val="left"/>
      <w:lvlText w:val="%1)"/>
      <w:numFmt w:val="upperLetter"/>
      <w:start w:val="1"/>
    </w:lvl>
  </w:abstractNum>
  <w:abstractNum w:abstractNumId="70">
    <w:nsid w:val="42963E5A"/>
    <w:multiLevelType w:val="hybridMultilevel"/>
    <w:lvl w:ilvl="0">
      <w:lvlJc w:val="left"/>
      <w:lvlText w:val="%1)"/>
      <w:numFmt w:val="upperLetter"/>
      <w:start w:val="17"/>
    </w:lvl>
  </w:abstractNum>
  <w:abstractNum w:abstractNumId="71">
    <w:nsid w:val="A0382C5"/>
    <w:multiLevelType w:val="hybridMultilevel"/>
    <w:lvl w:ilvl="0">
      <w:lvlJc w:val="left"/>
      <w:lvlText w:val="%1)"/>
      <w:numFmt w:val="upperLetter"/>
      <w:start w:val="1"/>
    </w:lvl>
  </w:abstractNum>
  <w:abstractNum w:abstractNumId="72">
    <w:nsid w:val="8F2B15E"/>
    <w:multiLevelType w:val="hybridMultilevel"/>
    <w:lvl w:ilvl="0">
      <w:lvlJc w:val="left"/>
      <w:lvlText w:val="%1)"/>
      <w:numFmt w:val="upperLetter"/>
      <w:start w:val="17"/>
    </w:lvl>
  </w:abstractNum>
  <w:abstractNum w:abstractNumId="73">
    <w:nsid w:val="1A32234B"/>
    <w:multiLevelType w:val="hybridMultilevel"/>
    <w:lvl w:ilvl="0">
      <w:lvlJc w:val="left"/>
      <w:lvlText w:val="%1)"/>
      <w:numFmt w:val="upperLetter"/>
      <w:start w:val="1"/>
    </w:lvl>
  </w:abstractNum>
  <w:abstractNum w:abstractNumId="74">
    <w:nsid w:val="3B0FD379"/>
    <w:multiLevelType w:val="hybridMultilevel"/>
    <w:lvl w:ilvl="0">
      <w:lvlJc w:val="left"/>
      <w:lvlText w:val="%1)"/>
      <w:numFmt w:val="upperLetter"/>
      <w:start w:val="17"/>
    </w:lvl>
  </w:abstractNum>
  <w:abstractNum w:abstractNumId="75">
    <w:nsid w:val="68EB2F63"/>
    <w:multiLevelType w:val="hybridMultilevel"/>
    <w:lvl w:ilvl="0">
      <w:lvlJc w:val="left"/>
      <w:lvlText w:val="%1)"/>
      <w:numFmt w:val="upperLetter"/>
      <w:start w:val="1"/>
    </w:lvl>
  </w:abstractNum>
  <w:abstractNum w:abstractNumId="76">
    <w:nsid w:val="4962813B"/>
    <w:multiLevelType w:val="hybridMultilevel"/>
    <w:lvl w:ilvl="0">
      <w:lvlJc w:val="left"/>
      <w:lvlText w:val=" "/>
      <w:numFmt w:val="bullet"/>
      <w:start w:val="1"/>
    </w:lvl>
  </w:abstractNum>
  <w:abstractNum w:abstractNumId="77">
    <w:nsid w:val="60B6DF70"/>
    <w:multiLevelType w:val="hybridMultilevel"/>
    <w:lvl w:ilvl="0">
      <w:lvlJc w:val="left"/>
      <w:lvlText w:val="%1)"/>
      <w:numFmt w:val="upperLetter"/>
      <w:start w:val="17"/>
    </w:lvl>
  </w:abstractNum>
  <w:abstractNum w:abstractNumId="78">
    <w:nsid w:val="6A5EE64"/>
    <w:multiLevelType w:val="hybridMultilevel"/>
    <w:lvl w:ilvl="0">
      <w:lvlJc w:val="left"/>
      <w:lvlText w:val="%1)"/>
      <w:numFmt w:val="upperLetter"/>
      <w:start w:val="1"/>
    </w:lvl>
  </w:abstractNum>
  <w:abstractNum w:abstractNumId="79">
    <w:nsid w:val="14330624"/>
    <w:multiLevelType w:val="hybridMultilevel"/>
    <w:lvl w:ilvl="0">
      <w:lvlJc w:val="left"/>
      <w:lvlText w:val="%1)"/>
      <w:numFmt w:val="upperLetter"/>
      <w:start w:val="17"/>
    </w:lvl>
  </w:abstractNum>
  <w:abstractNum w:abstractNumId="80">
    <w:nsid w:val="7FFFCA11"/>
    <w:multiLevelType w:val="hybridMultilevel"/>
    <w:lvl w:ilvl="0">
      <w:lvlJc w:val="left"/>
      <w:lvlText w:val="%1)"/>
      <w:numFmt w:val="upperLetter"/>
      <w:start w:val="1"/>
    </w:lvl>
  </w:abstractNum>
  <w:abstractNum w:abstractNumId="81">
    <w:nsid w:val="1A27709E"/>
    <w:multiLevelType w:val="hybridMultilevel"/>
    <w:lvl w:ilvl="0">
      <w:lvlJc w:val="left"/>
      <w:lvlText w:val="%1)"/>
      <w:numFmt w:val="upperLetter"/>
      <w:start w:val="17"/>
    </w:lvl>
  </w:abstractNum>
  <w:abstractNum w:abstractNumId="82">
    <w:nsid w:val="71EA1109"/>
    <w:multiLevelType w:val="hybridMultilevel"/>
    <w:lvl w:ilvl="0">
      <w:lvlJc w:val="left"/>
      <w:lvlText w:val="%1)"/>
      <w:numFmt w:val="upperLetter"/>
      <w:start w:val="1"/>
    </w:lvl>
  </w:abstractNum>
  <w:abstractNum w:abstractNumId="83">
    <w:nsid w:val="100F59DC"/>
    <w:multiLevelType w:val="hybridMultilevel"/>
    <w:lvl w:ilvl="0">
      <w:lvlJc w:val="left"/>
      <w:lvlText w:val=" "/>
      <w:numFmt w:val="bullet"/>
      <w:start w:val="1"/>
    </w:lvl>
    <w:lvl w:ilvl="1">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2024-04-15T15:17:11Z</dcterms:created>
  <dcterms:modified xsi:type="dcterms:W3CDTF">2024-04-15T15:17:11Z</dcterms:modified>
</cp:coreProperties>
</file>