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KELLY SERVICES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B Common Stock, $1.00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Kara Harchuck</w:t>
              <w:br/>
              <w:t>Hunt Equity Opportunities, LLC, 601 N. MESA STREET</w:t>
              <w:br/>
              <w:t>EL PASO, TX, 79901</w:t>
              <w:br/>
              <w:t>312-799-3900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05/19/2026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Hunt Equity Opportunities,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3,039,940.00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3,039,940.00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3,039,940.00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92.2 %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HEO Finance,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3,039,940.00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3,039,940.00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3,039,940.00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92.2 %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Hunt ELP, Ltd.</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3,039,940.00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3,039,940.00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3,039,940.00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92.2 %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HB GP, LLC</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3,039,940.00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3,039,940.00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3,039,940.00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92.2 %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Hunt Company, LLC</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3,039,940.00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3,039,940.00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3,039,940.00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92.2 %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Hunt Companies, Inc.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3,039,940.00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3,039,940.00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3,039,940.00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92.2 %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Woody L. Hunt</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3,039,940.00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3,039,940.00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3,039,940.00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92.2 %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James Christopher Hunt</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In addition to the Class B Common Stock reported herein, James Christopher Hunt directly owns 25,000 shares of Class A Common Stock of the Issuer, which constitute a separate class of securities not reported on this Schedule 13D.</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item1to7"/>
      <w:bookmarkStart w:id="39" w:name="item1to7"/>
      <w:bookmarkEnd w:id="39"/>
    </w:p>
    <w:tbl>
      <w:tblPr>
        <w:tblW w:w="10205" w:type="dxa"/>
        <w:jc w:val="left"/>
        <w:tblInd w:w="0" w:type="dxa"/>
        <w:tblLayout w:type="fixed"/>
        <w:tblCellMar>
          <w:top w:w="28" w:type="dxa"/>
          <w:left w:w="28" w:type="dxa"/>
          <w:bottom w:w="28" w:type="dxa"/>
          <w:right w:w="28" w:type="dxa"/>
        </w:tblCellMar>
      </w:tblPr>
      <w:tblGrid>
        <w:gridCol w:w="1161"/>
        <w:gridCol w:w="8889"/>
        <w:gridCol w:w="155"/>
      </w:tblGrid>
      <w:tr>
        <w:trPr/>
        <w:tc>
          <w:tcPr>
            <w:tcW w:w="1161" w:type="dxa"/>
            <w:tcBorders/>
            <w:vAlign w:val="center"/>
          </w:tcPr>
          <w:p>
            <w:pPr>
              <w:pStyle w:val="TableContents"/>
              <w:bidi w:val="0"/>
              <w:spacing w:before="0" w:after="283"/>
              <w:jc w:val="left"/>
              <w:rPr/>
            </w:pPr>
            <w:r>
              <w:rPr/>
              <w:t>Item 1.</w:t>
            </w:r>
          </w:p>
        </w:tc>
        <w:tc>
          <w:tcPr>
            <w:tcW w:w="888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B Common Stock, $1.00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Name of Issuer: </w:t>
            </w:r>
          </w:p>
          <w:p>
            <w:pPr>
              <w:pStyle w:val="TableContents"/>
              <w:bidi w:val="0"/>
              <w:spacing w:before="0" w:after="0"/>
              <w:jc w:val="left"/>
              <w:rPr/>
            </w:pPr>
            <w:r>
              <w:rPr/>
              <w:t>KELLY SERVICES INC</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999 W BIG BEAVER RD, TROY, MICHIGAN , 48084.</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 to the Schedule 13D is being filed pursuant to Section 13d-2 of the Securities and Exchange Act of 1934, as amended (the "Act") on behalf of Hunt Equity Opportunities, LLC, a Delaware limited liability company ("Hunt Opportunities"), HEO Finance, LLC, a Delaware limited liability company ("HEO Finance"), Hunt ELP, Ltd., a Texas limited partnership ("Hunt ELP"), HB GP, LLC, a Nevada limited liability company ("HB GP"), Hunt Company, LLC, a Nevada limited liability company ("Hunt Company"), Hunt Companies, Inc., a Delaware corporation ("HCI"), Woody L. Hunt ("Mr. W.L. Hunt") and James Christopher Hunt ("Mr. J.C. Hunt" and, together with Hunt Opportunities, HEO Finance, Hunt ELP, HB GP, Hunt Company, HCI and Mr. W.L. Hunt, the "Reporting Persons") to amend and supplement the statement on Schedule 13D originally filed with the Securities and Exchange Commission (the "SEC") on January 30, 2026 (the "Original Schedule 13D"). The Original 13D, as amended through the date of this amendment (the "Amendment") is collectively referred to herein as the "Schedule 13D." Capitalized terms used but not defined in this Amendment shall have the meanings set forth in the Original Schedule 13D.</w:t>
            </w:r>
          </w:p>
        </w:tc>
      </w:tr>
      <w:tr>
        <w:trPr/>
        <w:tc>
          <w:tcPr>
            <w:tcW w:w="1161" w:type="dxa"/>
            <w:tcBorders/>
            <w:vAlign w:val="center"/>
          </w:tcPr>
          <w:p>
            <w:pPr>
              <w:pStyle w:val="TableContents"/>
              <w:bidi w:val="0"/>
              <w:spacing w:before="0" w:after="283"/>
              <w:jc w:val="left"/>
              <w:rPr/>
            </w:pPr>
            <w:r>
              <w:rPr/>
              <w:t>Item 2.</w:t>
            </w:r>
          </w:p>
        </w:tc>
        <w:tc>
          <w:tcPr>
            <w:tcW w:w="8889"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spacing w:before="0" w:after="0"/>
              <w:jc w:val="left"/>
              <w:rPr/>
            </w:pPr>
            <w:r>
              <w:rPr/>
              <w:t>This Schedule 13D is being filed on behalf of Hunt Equity Opportunities, HEO Finance, Hunt ELP, HB GP, Hunt Company, HCI, Mr. W.L. Hunt and Mr. J.C. Hunt. HEO Finance serves as the sole member of Hunt Opportunities. Hunt ELP serves as the sole member of HEO Finance. HB GP serves as the general partner of Hunt ELP. Hunt Company is the majority limited partner of Hunt ELP. HCI is the sole member of Hunt Company. Mr. W.L. Hunt holds the majority voting power in HB GP and HCI. Mr. J.C. Hunt serves as a member of the board of directors and as the Chief Executive Officer of HCI.</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spacing w:before="0" w:after="0"/>
              <w:jc w:val="left"/>
              <w:rPr/>
            </w:pPr>
            <w:r>
              <w:rPr/>
              <w:t>The address of the principal office of (i) each of Hunt Opportunities, HEO Finance, Hunt ELP, HB GP, Hunt Company, HCI, Mr. W.L. Hunt and Mr. J.C. Hunt is 601 N. Mesa Street, Suite 1900, El Paso, Texas 79901 and (ii) the directors and executive officers of HCI named on Schedule I hereto (each, a "Scheduled Person" and collectively, the "Scheduled Persons") is listed thereon, which Schedule I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0"/>
              <w:jc w:val="left"/>
              <w:rPr/>
            </w:pPr>
            <w:r>
              <w:rPr/>
              <w:t>The principal business of Hunt Opportunities is to serve as a holding company. The principal business of HEO Finance is to serve as a holding company. The principal business of Hunt ELP is to serve as a holding company. The principal business of HB GP is to serve as the general partner of Hunt ELP. The principal business of Hunt Company is to serve as a holding company. The principal business of HCI is to invest in real estate, other assets and related businesses. Mr. W.L. Hunt holds the majority voting power in HB GP and HCI. Mr. J.C. Hunt serves as a member of the board of directors and as the Chief Executive Officer of HCI.</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spacing w:before="0" w:after="0"/>
              <w:jc w:val="left"/>
              <w:rPr/>
            </w:pPr>
            <w:r>
              <w:rPr/>
              <w:t>None of the Reporting Persons, nor, to their knowledge, any of the Scheduled Persons, has during the last five years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spacing w:before="0" w:after="0"/>
              <w:jc w:val="left"/>
              <w:rPr/>
            </w:pPr>
            <w:r>
              <w:rPr/>
              <w:t>None of the Reporting Persons, nor, to their knowledge, any of the Scheduled Persons,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(f)</w:t>
            </w:r>
          </w:p>
        </w:tc>
        <w:tc>
          <w:tcPr>
            <w:tcW w:w="8889" w:type="dxa"/>
            <w:tcBorders/>
            <w:vAlign w:val="center"/>
          </w:tcPr>
          <w:p>
            <w:pPr>
              <w:pStyle w:val="TableContents"/>
              <w:bidi w:val="0"/>
              <w:spacing w:before="0" w:after="0"/>
              <w:jc w:val="left"/>
              <w:rPr/>
            </w:pPr>
            <w:r>
              <w:rPr/>
              <w:t>Each of Hunt Opportunities, HEO Finance and HCI is organized under the laws of Delaware. Each of HB GP and Hunt Company is organized under the laws of Nevada. Hunt ELP is organized under the laws of Texas. Mr. W.L. Hunt, Mr. J.C. Hunt and each of the directors and executive officers named on Schedule I hereto is a United States citizen, which Schedule I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3.</w:t>
            </w:r>
          </w:p>
        </w:tc>
        <w:tc>
          <w:tcPr>
            <w:tcW w:w="8889"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Item 3 remains unchanged from the Original Schedule 13D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4.</w:t>
            </w:r>
          </w:p>
        </w:tc>
        <w:tc>
          <w:tcPr>
            <w:tcW w:w="8889"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Item 4 of the Original Schedule 13D is hereby amended and supplemented by adding the following: The Reporting Persons have requested that the Board of Directors of the Issuer (the "Board") form a special committee of independent and disinterested directors (the "Special Committee"), fully empowered to retain its own independent legal and financial advisors, so that the Issuer is prepared to discuss and evaluate one or more possible transactions involving the Issuer and affiliate(s) of certain of the Reporting Persons (the "Potential Transactions"). In the course of such discussions, the Reporting Persons may share information or analyses with respect to, or discuss potential terms of, the Potential Transactions with representatives of the Issuer (including the Special Committee, when formed). A copy of the letter delivered by the Reporting Persons to the Board on May 19, 2026, is attached hereto as Exhibit 99.2 and incorporated herein by reference (the "Letter"). In connection with this request, the Reporting Persons confirmed that any Potential Transaction would be pursued only in accordance with the terms of the Letter Agreement, dated January 30, 2026, by and between the Issuer and Hunt Opportunities. As of the date hereof, no Reporting Person has made a proposal with respect to any Potential Transaction. The Reporting Persons expect that there may be additional discussions between the Reporting Persons and representatives of the Issuer (including the Special Committee) regarding the Potential Transactions and related matters. There can be no assurance that (a) any proposal will be made or (b) if a proposal is made, (i) as to the terms of any such proposal, (ii) that any such proposal will be approved by the Special Committee, (iii) that any definitive agreement will be entered into or (iv) that any Potential Transaction will be consummated. A Potential Transaction, if consummated, may result in one or more of the transactions, events or actions specified in clauses (a) through (j) of Item 4 of Schedule 13D, including, without limitation, the acquisition of a business by the Issuer, the issuance of additional securities of the Issuer, and other material changes in the Issuer's business, corporate structure, or capitalization. The Reporting Persons intend to review their investment in the Issuer on a continuing basis and may, depending on various factors, take such actions with respect to their investment in the Issuer as they deem appropriate, including, without limitation, engaging in discussions with the Board, the Special Committee (if formed), and their respective advisors; acquiring additional securities of the Issuer or disposing of securities of the Issuer; and otherwise changing their intention with respect to any and all matters referred to in Item 4 of Schedule 13D. The Letter contains forward-looking statements that involve known and unknown risks, uncertainties, and other factors that may cause actual results, performance, or achievements to differ materially from those expressed or implied. Past performance is not indicative of future results, and there can be no assurance that any particular result, performance, or outcome will be achieved. Except as set forth in this Amendment, the Reporting Persons do not currently have any plans or proposals that relate to or would result in any of the actions specified in clauses (a) through (j) of Item 4 of Schedule 13D. However, the Reporting Persons may at any time modify their plans, formulate other proposals, or take any other actions with respect to their investment in the Issuer, in each case subject to applicable law.</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5.</w:t>
            </w:r>
          </w:p>
        </w:tc>
        <w:tc>
          <w:tcPr>
            <w:tcW w:w="888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spacing w:before="0" w:after="0"/>
              <w:jc w:val="left"/>
              <w:rPr/>
            </w:pPr>
            <w:r>
              <w:rPr/>
              <w:t>Item 5(a) is hereby amended and supplemented by adding the following: In addition to the Class B Common Stock reported on the cover page hereto, Mr. J.C. Hunt directly owns 25,000 shares of Class A Common Stock of the Issuer, representing less than 1% of the Class A Common Stock outstanding. Such shares were acquired by Mr. J.C. Hunt as compensation for his service as a non-employee director of the Issuer.</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spacing w:before="0" w:after="0"/>
              <w:jc w:val="left"/>
              <w:rPr/>
            </w:pPr>
            <w:r>
              <w:rPr/>
              <w:t>Item 5(b) remains unchanged from the Original Schedule 13D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0"/>
              <w:jc w:val="left"/>
              <w:rPr/>
            </w:pPr>
            <w:r>
              <w:rPr/>
              <w:t>Item 5(c) is hereby amended and supplemented by adding the following: In addition to the Class B Common Stock reported on the cover page hereto, on May 7, 2026, Mr. J.C. Hunt acquired 25,000 shares of Class A Common Stock of the Issuer as compensation for his service as a non-employee director of the Issuer.</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spacing w:before="0" w:after="0"/>
              <w:jc w:val="left"/>
              <w:rPr/>
            </w:pPr>
            <w:r>
              <w:rPr/>
              <w:t>Item 5(d) remains unchanged from the Original Schedule 13D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spacing w:before="0" w:after="0"/>
              <w:jc w:val="left"/>
              <w:rPr/>
            </w:pPr>
            <w:r>
              <w:rPr/>
              <w:t>Item 5(e) remains unchanged from the Original Schedule 13D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6.</w:t>
            </w:r>
          </w:p>
        </w:tc>
        <w:tc>
          <w:tcPr>
            <w:tcW w:w="8889"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Item 6 remains unchanged from the Original Schedule 13D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7.</w:t>
            </w:r>
          </w:p>
        </w:tc>
        <w:tc>
          <w:tcPr>
            <w:tcW w:w="8889"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Exhibit 99.1 - Joint Filing Agreement, dated as of May 19, 2026, by and among Hunt Opportunities, HEO Finance, Hunt ELP, HB GP, Hunt Company, HCI, Mr. W.L. Hunt and Mr. J.C. Hunt. Exhibit 99.2 - Letter from James Christopher Hunt to the Board of Directors of Kelly Services, Inc., dated May 19,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signatureInfo"/>
      <w:bookmarkStart w:id="41" w:name="signatureInfo"/>
      <w:bookmarkEnd w:id="4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Hunt Equity Opportunities, LLC</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Kara Harchuck</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Kara Harchuck, Executive Vice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05/19/2026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tbl>
      <w:tblPr>
        <w:tblW w:w="4388" w:type="dxa"/>
        <w:jc w:val="left"/>
        <w:tblInd w:w="0" w:type="dxa"/>
        <w:tblLayout w:type="fixed"/>
        <w:tblCellMar>
          <w:top w:w="28" w:type="dxa"/>
          <w:left w:w="28" w:type="dxa"/>
          <w:bottom w:w="28" w:type="dxa"/>
          <w:right w:w="28" w:type="dxa"/>
        </w:tblCellMar>
      </w:tblPr>
      <w:tblGrid>
        <w:gridCol w:w="2194"/>
        <w:gridCol w:w="2194"/>
      </w:tblGrid>
      <w:tr>
        <w:trPr/>
        <w:tc>
          <w:tcPr>
            <w:tcW w:w="2194" w:type="dxa"/>
            <w:tcBorders/>
            <w:vAlign w:val="center"/>
          </w:tcPr>
          <w:p>
            <w:pPr>
              <w:pStyle w:val="TableContents"/>
              <w:bidi w:val="0"/>
              <w:spacing w:before="0" w:after="0"/>
              <w:jc w:val="left"/>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0"/>
                    <w:jc w:val="left"/>
                    <w:rPr/>
                  </w:pPr>
                  <w:r>
                    <w:rPr/>
                    <w:t>HEO Finance, LLC</w:t>
                  </w:r>
                </w:p>
              </w:tc>
            </w:tr>
          </w:tbl>
          <w:p>
            <w:pPr>
              <w:pStyle w:val="TableContents"/>
              <w:bidi w:val="0"/>
              <w:spacing w:before="0" w:after="283"/>
              <w:jc w:val="left"/>
              <w:rPr/>
            </w:pPr>
            <w:r>
              <w:rPr/>
            </w:r>
          </w:p>
        </w:tc>
        <w:tc>
          <w:tcPr>
            <w:tcW w:w="21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Kara Harchuck</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Kara Harchuck, Executive Vice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05/19/2026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tbl>
      <w:tblPr>
        <w:tblW w:w="3528" w:type="dxa"/>
        <w:jc w:val="left"/>
        <w:tblInd w:w="0" w:type="dxa"/>
        <w:tblLayout w:type="fixed"/>
        <w:tblCellMar>
          <w:top w:w="28" w:type="dxa"/>
          <w:left w:w="28" w:type="dxa"/>
          <w:bottom w:w="28" w:type="dxa"/>
          <w:right w:w="28" w:type="dxa"/>
        </w:tblCellMar>
      </w:tblPr>
      <w:tblGrid>
        <w:gridCol w:w="1764"/>
        <w:gridCol w:w="1764"/>
      </w:tblGrid>
      <w:tr>
        <w:trPr/>
        <w:tc>
          <w:tcPr>
            <w:tcW w:w="1764" w:type="dxa"/>
            <w:tcBorders/>
            <w:vAlign w:val="center"/>
          </w:tcPr>
          <w:p>
            <w:pPr>
              <w:pStyle w:val="TableContents"/>
              <w:bidi w:val="0"/>
              <w:spacing w:before="0" w:after="0"/>
              <w:jc w:val="left"/>
              <w:rPr/>
            </w:pPr>
            <w:r>
              <w:rPr/>
              <w:t> </w:t>
            </w:r>
          </w:p>
          <w:tbl>
            <w:tblPr>
              <w:tblW w:w="1651" w:type="dxa"/>
              <w:jc w:val="left"/>
              <w:tblInd w:w="0" w:type="dxa"/>
              <w:tblLayout w:type="fixed"/>
              <w:tblCellMar>
                <w:top w:w="28" w:type="dxa"/>
                <w:left w:w="28" w:type="dxa"/>
                <w:bottom w:w="28" w:type="dxa"/>
                <w:right w:w="28" w:type="dxa"/>
              </w:tblCellMar>
            </w:tblPr>
            <w:tblGrid>
              <w:gridCol w:w="1651"/>
            </w:tblGrid>
            <w:tr>
              <w:trPr/>
              <w:tc>
                <w:tcPr>
                  <w:tcW w:w="1651" w:type="dxa"/>
                  <w:tcBorders/>
                  <w:vAlign w:val="center"/>
                </w:tcPr>
                <w:p>
                  <w:pPr>
                    <w:pStyle w:val="TableContents"/>
                    <w:bidi w:val="0"/>
                    <w:spacing w:before="0" w:after="0"/>
                    <w:jc w:val="left"/>
                    <w:rPr/>
                  </w:pPr>
                  <w:r>
                    <w:rPr/>
                    <w:t>Hunt ELP, Ltd.</w:t>
                  </w:r>
                </w:p>
              </w:tc>
            </w:tr>
          </w:tbl>
          <w:p>
            <w:pPr>
              <w:pStyle w:val="TableContents"/>
              <w:bidi w:val="0"/>
              <w:spacing w:before="0" w:after="283"/>
              <w:jc w:val="left"/>
              <w:rPr/>
            </w:pPr>
            <w:r>
              <w:rPr/>
            </w:r>
          </w:p>
        </w:tc>
        <w:tc>
          <w:tcPr>
            <w:tcW w:w="17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Kara Harchuck</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Kara Harchuck, Executive Vice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05/19/2026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tbl>
      <w:tblPr>
        <w:tblW w:w="3196" w:type="dxa"/>
        <w:jc w:val="left"/>
        <w:tblInd w:w="0" w:type="dxa"/>
        <w:tblLayout w:type="fixed"/>
        <w:tblCellMar>
          <w:top w:w="28" w:type="dxa"/>
          <w:left w:w="28" w:type="dxa"/>
          <w:bottom w:w="28" w:type="dxa"/>
          <w:right w:w="28" w:type="dxa"/>
        </w:tblCellMar>
      </w:tblPr>
      <w:tblGrid>
        <w:gridCol w:w="1598"/>
        <w:gridCol w:w="1598"/>
      </w:tblGrid>
      <w:tr>
        <w:trPr/>
        <w:tc>
          <w:tcPr>
            <w:tcW w:w="1598" w:type="dxa"/>
            <w:tcBorders/>
            <w:vAlign w:val="center"/>
          </w:tcPr>
          <w:p>
            <w:pPr>
              <w:pStyle w:val="TableContents"/>
              <w:bidi w:val="0"/>
              <w:spacing w:before="0" w:after="0"/>
              <w:jc w:val="left"/>
              <w:rPr/>
            </w:pPr>
            <w:r>
              <w:rPr/>
              <w:t> </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0"/>
                    <w:jc w:val="left"/>
                    <w:rPr/>
                  </w:pPr>
                  <w:r>
                    <w:rPr/>
                    <w:t>HB GP, LLC</w:t>
                  </w:r>
                </w:p>
              </w:tc>
            </w:tr>
          </w:tbl>
          <w:p>
            <w:pPr>
              <w:pStyle w:val="TableContents"/>
              <w:bidi w:val="0"/>
              <w:spacing w:before="0" w:after="283"/>
              <w:jc w:val="left"/>
              <w:rPr/>
            </w:pPr>
            <w:r>
              <w:rPr/>
            </w:r>
          </w:p>
        </w:tc>
        <w:tc>
          <w:tcPr>
            <w:tcW w:w="15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Kara Harchuck</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Kara Harchuck, Executive Vice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05/19/2026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Hunt Company, LLC</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Kara Harchuck</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Kara Harchuck, Executive Vice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05/19/2026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tbl>
      <w:tblPr>
        <w:tblW w:w="4728" w:type="dxa"/>
        <w:jc w:val="left"/>
        <w:tblInd w:w="0" w:type="dxa"/>
        <w:tblLayout w:type="fixed"/>
        <w:tblCellMar>
          <w:top w:w="28" w:type="dxa"/>
          <w:left w:w="28" w:type="dxa"/>
          <w:bottom w:w="28" w:type="dxa"/>
          <w:right w:w="28" w:type="dxa"/>
        </w:tblCellMar>
      </w:tblPr>
      <w:tblGrid>
        <w:gridCol w:w="2364"/>
        <w:gridCol w:w="2364"/>
      </w:tblGrid>
      <w:tr>
        <w:trPr/>
        <w:tc>
          <w:tcPr>
            <w:tcW w:w="2364" w:type="dxa"/>
            <w:tcBorders/>
            <w:vAlign w:val="center"/>
          </w:tcPr>
          <w:p>
            <w:pPr>
              <w:pStyle w:val="TableContents"/>
              <w:bidi w:val="0"/>
              <w:spacing w:before="0" w:after="0"/>
              <w:jc w:val="left"/>
              <w:rPr/>
            </w:pPr>
            <w:r>
              <w:rPr/>
              <w:t> </w:t>
            </w:r>
          </w:p>
          <w:tbl>
            <w:tblPr>
              <w:tblW w:w="2251" w:type="dxa"/>
              <w:jc w:val="left"/>
              <w:tblInd w:w="0" w:type="dxa"/>
              <w:tblLayout w:type="fixed"/>
              <w:tblCellMar>
                <w:top w:w="28" w:type="dxa"/>
                <w:left w:w="28" w:type="dxa"/>
                <w:bottom w:w="28" w:type="dxa"/>
                <w:right w:w="28" w:type="dxa"/>
              </w:tblCellMar>
            </w:tblPr>
            <w:tblGrid>
              <w:gridCol w:w="2251"/>
            </w:tblGrid>
            <w:tr>
              <w:trPr/>
              <w:tc>
                <w:tcPr>
                  <w:tcW w:w="2251" w:type="dxa"/>
                  <w:tcBorders/>
                  <w:vAlign w:val="center"/>
                </w:tcPr>
                <w:p>
                  <w:pPr>
                    <w:pStyle w:val="TableContents"/>
                    <w:bidi w:val="0"/>
                    <w:spacing w:before="0" w:after="0"/>
                    <w:jc w:val="left"/>
                    <w:rPr/>
                  </w:pPr>
                  <w:r>
                    <w:rPr/>
                    <w:t>Hunt Companies, Inc.</w:t>
                  </w:r>
                </w:p>
              </w:tc>
            </w:tr>
          </w:tbl>
          <w:p>
            <w:pPr>
              <w:pStyle w:val="TableContents"/>
              <w:bidi w:val="0"/>
              <w:spacing w:before="0" w:after="283"/>
              <w:jc w:val="left"/>
              <w:rPr/>
            </w:pPr>
            <w:r>
              <w:rPr/>
            </w:r>
          </w:p>
        </w:tc>
        <w:tc>
          <w:tcPr>
            <w:tcW w:w="2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Kara Harchuck</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Kara Harchuck, Executive Vice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05/19/2026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Woody L. Hunt</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3"/>
        <w:gridCol w:w="4092"/>
      </w:tblGrid>
      <w:tr>
        <w:trPr/>
        <w:tc>
          <w:tcPr>
            <w:tcW w:w="61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Paul Donnelly as Attorney-in-Fact of Woody L. Hunt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Paul Donnelly, Attorney-in-Fact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05/19/2026</w:t>
                  </w:r>
                </w:p>
              </w:tc>
            </w:tr>
          </w:tbl>
          <w:p>
            <w:pPr>
              <w:pStyle w:val="TableContents"/>
              <w:bidi w:val="0"/>
              <w:spacing w:before="0" w:after="283"/>
              <w:jc w:val="left"/>
              <w:rPr/>
            </w:pPr>
            <w:r>
              <w:rPr/>
            </w:r>
          </w:p>
        </w:tc>
        <w:tc>
          <w:tcPr>
            <w:tcW w:w="4092" w:type="dxa"/>
            <w:tcBorders/>
            <w:vAlign w:val="center"/>
          </w:tcPr>
          <w:p>
            <w:pPr>
              <w:pStyle w:val="TableContents"/>
              <w:bidi w:val="0"/>
              <w:spacing w:before="0" w:after="283"/>
              <w:jc w:val="left"/>
              <w:rPr>
                <w:sz w:val="4"/>
                <w:szCs w:val="4"/>
              </w:rPr>
            </w:pPr>
            <w:r>
              <w:rPr>
                <w:sz w:val="4"/>
                <w:szCs w:val="4"/>
              </w:rPr>
            </w:r>
          </w:p>
        </w:tc>
      </w:tr>
    </w:tbl>
    <w:tbl>
      <w:tblPr>
        <w:tblW w:w="5096" w:type="dxa"/>
        <w:jc w:val="left"/>
        <w:tblInd w:w="0" w:type="dxa"/>
        <w:tblLayout w:type="fixed"/>
        <w:tblCellMar>
          <w:top w:w="28" w:type="dxa"/>
          <w:left w:w="28" w:type="dxa"/>
          <w:bottom w:w="28" w:type="dxa"/>
          <w:right w:w="28" w:type="dxa"/>
        </w:tblCellMar>
      </w:tblPr>
      <w:tblGrid>
        <w:gridCol w:w="2548"/>
        <w:gridCol w:w="2548"/>
      </w:tblGrid>
      <w:tr>
        <w:trPr/>
        <w:tc>
          <w:tcPr>
            <w:tcW w:w="2548" w:type="dxa"/>
            <w:tcBorders/>
            <w:vAlign w:val="center"/>
          </w:tcPr>
          <w:p>
            <w:pPr>
              <w:pStyle w:val="TableContents"/>
              <w:bidi w:val="0"/>
              <w:spacing w:before="0" w:after="0"/>
              <w:jc w:val="left"/>
              <w:rPr/>
            </w:pPr>
            <w:r>
              <w:rPr/>
              <w:t> </w:t>
            </w:r>
          </w:p>
          <w:tbl>
            <w:tblPr>
              <w:tblW w:w="2446" w:type="dxa"/>
              <w:jc w:val="left"/>
              <w:tblInd w:w="0" w:type="dxa"/>
              <w:tblLayout w:type="fixed"/>
              <w:tblCellMar>
                <w:top w:w="28" w:type="dxa"/>
                <w:left w:w="28" w:type="dxa"/>
                <w:bottom w:w="28" w:type="dxa"/>
                <w:right w:w="28" w:type="dxa"/>
              </w:tblCellMar>
            </w:tblPr>
            <w:tblGrid>
              <w:gridCol w:w="2446"/>
            </w:tblGrid>
            <w:tr>
              <w:trPr/>
              <w:tc>
                <w:tcPr>
                  <w:tcW w:w="2446" w:type="dxa"/>
                  <w:tcBorders/>
                  <w:vAlign w:val="center"/>
                </w:tcPr>
                <w:p>
                  <w:pPr>
                    <w:pStyle w:val="TableContents"/>
                    <w:bidi w:val="0"/>
                    <w:spacing w:before="0" w:after="0"/>
                    <w:jc w:val="left"/>
                    <w:rPr/>
                  </w:pPr>
                  <w:r>
                    <w:rPr/>
                    <w:t>James Christopher Hunt</w:t>
                  </w:r>
                </w:p>
              </w:tc>
            </w:tr>
          </w:tbl>
          <w:p>
            <w:pPr>
              <w:pStyle w:val="TableContents"/>
              <w:bidi w:val="0"/>
              <w:spacing w:before="0" w:after="283"/>
              <w:jc w:val="left"/>
              <w:rPr/>
            </w:pPr>
            <w:r>
              <w:rPr/>
            </w:r>
          </w:p>
        </w:tc>
        <w:tc>
          <w:tcPr>
            <w:tcW w:w="25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2"/>
        <w:gridCol w:w="4093"/>
      </w:tblGrid>
      <w:tr>
        <w:trPr/>
        <w:tc>
          <w:tcPr>
            <w:tcW w:w="61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Paul Donnelly as Attorney-in-Fact of James Christopher Hunt</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Paul Donnelly, 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05/19/2026</w:t>
                  </w:r>
                </w:p>
              </w:tc>
            </w:tr>
          </w:tbl>
          <w:p>
            <w:pPr>
              <w:pStyle w:val="TableContents"/>
              <w:bidi w:val="0"/>
              <w:spacing w:before="0" w:after="283"/>
              <w:jc w:val="left"/>
              <w:rPr/>
            </w:pPr>
            <w:r>
              <w:rPr/>
            </w:r>
          </w:p>
        </w:tc>
        <w:tc>
          <w:tcPr>
            <w:tcW w:w="409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2" w:name="eh260778462_ex9901.htm"/>
      <w:bookmarkStart w:id="43" w:name="kseh260778462_ex9901"/>
      <w:bookmarkEnd w:id="42"/>
      <w:bookmarkEnd w:id="4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jc w:val="center"/>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under the Securities Exchange Act of 1934, as amended, the persons named below agree to the joint filing on behalf of each of them of a statement on Schedule 13D, and amendments thereto, relating to the Class B Common Stock, par value $1.00 per share of Kelly Services, Inc., a Delaware corporation.  This Joint Filing Agreement shall be included as an Exhibit to such joint filing, and may be executed in any number of counterparts all of which together shall constitute one and the same instrument.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evidence thereof, each of the undersigned, being duly authorized, hereby execute this Joint Filing Agreement.</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19, 2026</w:t>
      </w:r>
    </w:p>
    <w:p>
      <w:pPr>
        <w:pStyle w:val="TextBody"/>
        <w:bidi w:val="0"/>
        <w:spacing w:before="0" w:after="0"/>
        <w:ind w:left="0" w:right="0" w:hanging="0"/>
        <w:jc w:val="left"/>
        <w:rPr>
          <w:caps w:val="false"/>
          <w:smallCaps w:val="false"/>
        </w:rPr>
      </w:pPr>
      <w:r>
        <w:rPr>
          <w:caps w:val="false"/>
          <w:smallCaps w:val="false"/>
        </w:rPr>
        <w:t> </w:t>
      </w:r>
    </w:p>
    <w:tbl>
      <w:tblPr>
        <w:tblW w:w="4593" w:type="dxa"/>
        <w:jc w:val="left"/>
        <w:tblInd w:w="0" w:type="dxa"/>
        <w:tblLayout w:type="fixed"/>
        <w:tblCellMar>
          <w:top w:w="0" w:type="dxa"/>
          <w:left w:w="0" w:type="dxa"/>
          <w:bottom w:w="0" w:type="dxa"/>
          <w:right w:w="0" w:type="dxa"/>
        </w:tblCellMar>
      </w:tblPr>
      <w:tblGrid>
        <w:gridCol w:w="75"/>
        <w:gridCol w:w="517"/>
        <w:gridCol w:w="1006"/>
        <w:gridCol w:w="2920"/>
        <w:gridCol w:w="75"/>
      </w:tblGrid>
      <w:tr>
        <w:trPr/>
        <w:tc>
          <w:tcPr>
            <w:tcW w:w="75" w:type="dxa"/>
            <w:tcBorders/>
            <w:vAlign w:val="center"/>
          </w:tcPr>
          <w:p>
            <w:pPr>
              <w:pStyle w:val="TableContents"/>
              <w:bidi w:val="0"/>
              <w:spacing w:before="0" w:after="283"/>
              <w:jc w:val="left"/>
              <w:rPr/>
            </w:pPr>
            <w:r>
              <w:rPr/>
              <w:t> </w:t>
            </w:r>
          </w:p>
        </w:tc>
        <w:tc>
          <w:tcPr>
            <w:tcW w:w="4443" w:type="dxa"/>
            <w:gridSpan w:val="3"/>
            <w:tcBorders/>
            <w:vAlign w:val="center"/>
          </w:tcPr>
          <w:p>
            <w:pPr>
              <w:pStyle w:val="TableContents"/>
              <w:bidi w:val="0"/>
              <w:spacing w:before="0" w:after="283"/>
              <w:jc w:val="left"/>
              <w:rPr>
                <w:b/>
                <w:caps/>
              </w:rPr>
            </w:pPr>
            <w:r>
              <w:rPr>
                <w:b/>
                <w:caps/>
              </w:rPr>
              <w:t>Hunt Equity Opportunities,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43"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left"/>
              <w:rPr/>
            </w:pPr>
            <w:r>
              <w:rPr/>
              <w:t>By:</w:t>
            </w:r>
          </w:p>
        </w:tc>
        <w:tc>
          <w:tcPr>
            <w:tcW w:w="3926" w:type="dxa"/>
            <w:gridSpan w:val="2"/>
            <w:tcBorders/>
            <w:vAlign w:val="center"/>
          </w:tcPr>
          <w:p>
            <w:pPr>
              <w:pStyle w:val="TableContents"/>
              <w:bidi w:val="0"/>
              <w:spacing w:before="0" w:after="283"/>
              <w:jc w:val="left"/>
              <w:rPr/>
            </w:pPr>
            <w:r>
              <w:rPr/>
              <w:t>Hunt ELP, Ltd., its Sole Member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left"/>
              <w:rPr/>
            </w:pPr>
            <w:r>
              <w:rPr/>
              <w:t> </w:t>
            </w:r>
          </w:p>
        </w:tc>
        <w:tc>
          <w:tcPr>
            <w:tcW w:w="3926"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left"/>
              <w:rPr/>
            </w:pPr>
            <w:r>
              <w:rPr/>
              <w:t>By:</w:t>
            </w:r>
          </w:p>
        </w:tc>
        <w:tc>
          <w:tcPr>
            <w:tcW w:w="3926" w:type="dxa"/>
            <w:gridSpan w:val="2"/>
            <w:tcBorders>
              <w:bottom w:val="single" w:sz="8" w:space="0" w:color="000000"/>
            </w:tcBorders>
            <w:tcMar>
              <w:bottom w:w="28" w:type="dxa"/>
            </w:tcMar>
            <w:vAlign w:val="center"/>
          </w:tcPr>
          <w:p>
            <w:pPr>
              <w:pStyle w:val="TableContents"/>
              <w:bidi w:val="0"/>
              <w:spacing w:before="0" w:after="283"/>
              <w:jc w:val="left"/>
              <w:rPr/>
            </w:pPr>
            <w:r>
              <w:rPr/>
              <w:t>/s/ Kara Harchuck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left"/>
              <w:rPr/>
            </w:pPr>
            <w:r>
              <w:rPr/>
              <w:t>Name: </w:t>
            </w:r>
          </w:p>
        </w:tc>
        <w:tc>
          <w:tcPr>
            <w:tcW w:w="2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Kara Harchuck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left"/>
              <w:rPr/>
            </w:pPr>
            <w:r>
              <w:rPr/>
              <w:t>Title:</w:t>
            </w:r>
          </w:p>
        </w:tc>
        <w:tc>
          <w:tcPr>
            <w:tcW w:w="2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tbl>
      <w:tblPr>
        <w:tblW w:w="3744" w:type="dxa"/>
        <w:jc w:val="left"/>
        <w:tblInd w:w="0" w:type="dxa"/>
        <w:tblLayout w:type="fixed"/>
        <w:tblCellMar>
          <w:top w:w="0" w:type="dxa"/>
          <w:left w:w="0" w:type="dxa"/>
          <w:bottom w:w="0" w:type="dxa"/>
          <w:right w:w="0" w:type="dxa"/>
        </w:tblCellMar>
      </w:tblPr>
      <w:tblGrid>
        <w:gridCol w:w="75"/>
        <w:gridCol w:w="425"/>
        <w:gridCol w:w="722"/>
        <w:gridCol w:w="2447"/>
        <w:gridCol w:w="75"/>
      </w:tblGrid>
      <w:tr>
        <w:trPr/>
        <w:tc>
          <w:tcPr>
            <w:tcW w:w="75" w:type="dxa"/>
            <w:tcBorders/>
            <w:vAlign w:val="center"/>
          </w:tcPr>
          <w:p>
            <w:pPr>
              <w:pStyle w:val="TableContents"/>
              <w:bidi w:val="0"/>
              <w:spacing w:before="0" w:after="283"/>
              <w:jc w:val="left"/>
              <w:rPr/>
            </w:pPr>
            <w:r>
              <w:rPr/>
              <w:t> </w:t>
            </w:r>
          </w:p>
        </w:tc>
        <w:tc>
          <w:tcPr>
            <w:tcW w:w="3594" w:type="dxa"/>
            <w:gridSpan w:val="3"/>
            <w:tcBorders/>
            <w:vAlign w:val="center"/>
          </w:tcPr>
          <w:p>
            <w:pPr>
              <w:pStyle w:val="TableContents"/>
              <w:bidi w:val="0"/>
              <w:spacing w:before="0" w:after="283"/>
              <w:jc w:val="left"/>
              <w:rPr>
                <w:b/>
              </w:rPr>
            </w:pPr>
            <w:r>
              <w:rPr>
                <w:b/>
              </w:rPr>
              <w:t>HEO FINANCE,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94"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xml:space="preserve">By: </w:t>
            </w:r>
          </w:p>
        </w:tc>
        <w:tc>
          <w:tcPr>
            <w:tcW w:w="3169" w:type="dxa"/>
            <w:gridSpan w:val="2"/>
            <w:tcBorders/>
            <w:vAlign w:val="center"/>
          </w:tcPr>
          <w:p>
            <w:pPr>
              <w:pStyle w:val="TableContents"/>
              <w:bidi w:val="0"/>
              <w:spacing w:before="0" w:after="283"/>
              <w:jc w:val="left"/>
              <w:rPr/>
            </w:pPr>
            <w:r>
              <w:rPr/>
              <w:t>Hunt ELP, Ltd., its Sole Member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316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By:</w:t>
            </w:r>
          </w:p>
        </w:tc>
        <w:tc>
          <w:tcPr>
            <w:tcW w:w="3169" w:type="dxa"/>
            <w:gridSpan w:val="2"/>
            <w:tcBorders>
              <w:bottom w:val="single" w:sz="8" w:space="0" w:color="000000"/>
            </w:tcBorders>
            <w:tcMar>
              <w:bottom w:w="28" w:type="dxa"/>
            </w:tcMar>
            <w:vAlign w:val="center"/>
          </w:tcPr>
          <w:p>
            <w:pPr>
              <w:pStyle w:val="TableContents"/>
              <w:bidi w:val="0"/>
              <w:spacing w:before="0" w:after="283"/>
              <w:jc w:val="left"/>
              <w:rPr/>
            </w:pPr>
            <w:r>
              <w:rPr/>
              <w:t>/s/ Kara Harchuck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Name: </w:t>
            </w:r>
          </w:p>
        </w:tc>
        <w:tc>
          <w:tcPr>
            <w:tcW w:w="2447" w:type="dxa"/>
            <w:tcBorders/>
            <w:vAlign w:val="center"/>
          </w:tcPr>
          <w:p>
            <w:pPr>
              <w:pStyle w:val="TableContents"/>
              <w:bidi w:val="0"/>
              <w:spacing w:before="0" w:after="283"/>
              <w:jc w:val="left"/>
              <w:rPr/>
            </w:pPr>
            <w:r>
              <w:rPr/>
              <w:t>Kara Harchuck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Title:</w:t>
            </w:r>
          </w:p>
        </w:tc>
        <w:tc>
          <w:tcPr>
            <w:tcW w:w="2447" w:type="dxa"/>
            <w:tcBorders/>
            <w:vAlign w:val="center"/>
          </w:tcPr>
          <w:p>
            <w:pPr>
              <w:pStyle w:val="TableContents"/>
              <w:bidi w:val="0"/>
              <w:spacing w:before="0" w:after="283"/>
              <w:jc w:val="left"/>
              <w:rPr/>
            </w:pPr>
            <w:r>
              <w:rPr/>
              <w:t>Executive Vice President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 </w:t>
            </w:r>
          </w:p>
        </w:tc>
        <w:tc>
          <w:tcPr>
            <w:tcW w:w="244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630" w:type="dxa"/>
        <w:jc w:val="left"/>
        <w:tblInd w:w="0" w:type="dxa"/>
        <w:tblLayout w:type="fixed"/>
        <w:tblCellMar>
          <w:top w:w="0" w:type="dxa"/>
          <w:left w:w="0" w:type="dxa"/>
          <w:bottom w:w="0" w:type="dxa"/>
          <w:right w:w="0" w:type="dxa"/>
        </w:tblCellMar>
      </w:tblPr>
      <w:tblGrid>
        <w:gridCol w:w="75"/>
        <w:gridCol w:w="365"/>
        <w:gridCol w:w="710"/>
        <w:gridCol w:w="2405"/>
        <w:gridCol w:w="75"/>
      </w:tblGrid>
      <w:tr>
        <w:trPr/>
        <w:tc>
          <w:tcPr>
            <w:tcW w:w="75" w:type="dxa"/>
            <w:tcBorders/>
            <w:vAlign w:val="center"/>
          </w:tcPr>
          <w:p>
            <w:pPr>
              <w:pStyle w:val="TableContents"/>
              <w:bidi w:val="0"/>
              <w:spacing w:before="0" w:after="283"/>
              <w:jc w:val="left"/>
              <w:rPr/>
            </w:pPr>
            <w:r>
              <w:rPr/>
              <w:t> </w:t>
            </w:r>
          </w:p>
        </w:tc>
        <w:tc>
          <w:tcPr>
            <w:tcW w:w="3480" w:type="dxa"/>
            <w:gridSpan w:val="3"/>
            <w:tcBorders/>
            <w:vAlign w:val="center"/>
          </w:tcPr>
          <w:p>
            <w:pPr>
              <w:pStyle w:val="TableContents"/>
              <w:bidi w:val="0"/>
              <w:spacing w:before="0" w:after="283"/>
              <w:jc w:val="left"/>
              <w:rPr>
                <w:b/>
              </w:rPr>
            </w:pPr>
            <w:r>
              <w:rPr>
                <w:b/>
              </w:rPr>
              <w:t>HUNT ELP, LTD.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80"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115" w:type="dxa"/>
            <w:gridSpan w:val="2"/>
            <w:tcBorders>
              <w:bottom w:val="single" w:sz="8" w:space="0" w:color="000000"/>
            </w:tcBorders>
            <w:tcMar>
              <w:bottom w:w="28" w:type="dxa"/>
            </w:tcMar>
            <w:vAlign w:val="center"/>
          </w:tcPr>
          <w:p>
            <w:pPr>
              <w:pStyle w:val="TableContents"/>
              <w:bidi w:val="0"/>
              <w:spacing w:before="0" w:after="283"/>
              <w:jc w:val="left"/>
              <w:rPr/>
            </w:pPr>
            <w:r>
              <w:rPr/>
              <w:t>/s/ Kara Harchuck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2405" w:type="dxa"/>
            <w:tcBorders/>
            <w:vAlign w:val="center"/>
          </w:tcPr>
          <w:p>
            <w:pPr>
              <w:pStyle w:val="TableContents"/>
              <w:bidi w:val="0"/>
              <w:spacing w:before="0" w:after="283"/>
              <w:jc w:val="left"/>
              <w:rPr/>
            </w:pPr>
            <w:r>
              <w:rPr/>
              <w:t>Kara Harchuck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405" w:type="dxa"/>
            <w:tcBorders/>
            <w:vAlign w:val="center"/>
          </w:tcPr>
          <w:p>
            <w:pPr>
              <w:pStyle w:val="TableContents"/>
              <w:bidi w:val="0"/>
              <w:spacing w:before="0" w:after="283"/>
              <w:jc w:val="left"/>
              <w:rPr/>
            </w:pPr>
            <w:r>
              <w:rPr/>
              <w:t>Executive Vice President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630" w:type="dxa"/>
        <w:jc w:val="left"/>
        <w:tblInd w:w="0" w:type="dxa"/>
        <w:tblLayout w:type="fixed"/>
        <w:tblCellMar>
          <w:top w:w="0" w:type="dxa"/>
          <w:left w:w="0" w:type="dxa"/>
          <w:bottom w:w="0" w:type="dxa"/>
          <w:right w:w="0" w:type="dxa"/>
        </w:tblCellMar>
      </w:tblPr>
      <w:tblGrid>
        <w:gridCol w:w="75"/>
        <w:gridCol w:w="365"/>
        <w:gridCol w:w="710"/>
        <w:gridCol w:w="2405"/>
        <w:gridCol w:w="75"/>
      </w:tblGrid>
      <w:tr>
        <w:trPr/>
        <w:tc>
          <w:tcPr>
            <w:tcW w:w="75" w:type="dxa"/>
            <w:tcBorders/>
            <w:vAlign w:val="center"/>
          </w:tcPr>
          <w:p>
            <w:pPr>
              <w:pStyle w:val="TableContents"/>
              <w:bidi w:val="0"/>
              <w:spacing w:before="0" w:after="283"/>
              <w:jc w:val="left"/>
              <w:rPr/>
            </w:pPr>
            <w:r>
              <w:rPr/>
              <w:t> </w:t>
            </w:r>
          </w:p>
        </w:tc>
        <w:tc>
          <w:tcPr>
            <w:tcW w:w="3480" w:type="dxa"/>
            <w:gridSpan w:val="3"/>
            <w:tcBorders/>
            <w:vAlign w:val="center"/>
          </w:tcPr>
          <w:p>
            <w:pPr>
              <w:pStyle w:val="TableContents"/>
              <w:bidi w:val="0"/>
              <w:spacing w:before="0" w:after="283"/>
              <w:jc w:val="left"/>
              <w:rPr>
                <w:b/>
              </w:rPr>
            </w:pPr>
            <w:r>
              <w:rPr>
                <w:b/>
              </w:rPr>
              <w:t>HB GP,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80"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115" w:type="dxa"/>
            <w:gridSpan w:val="2"/>
            <w:tcBorders>
              <w:bottom w:val="single" w:sz="8" w:space="0" w:color="000000"/>
            </w:tcBorders>
            <w:tcMar>
              <w:bottom w:w="28" w:type="dxa"/>
            </w:tcMar>
            <w:vAlign w:val="center"/>
          </w:tcPr>
          <w:p>
            <w:pPr>
              <w:pStyle w:val="TableContents"/>
              <w:bidi w:val="0"/>
              <w:spacing w:before="0" w:after="283"/>
              <w:jc w:val="left"/>
              <w:rPr/>
            </w:pPr>
            <w:r>
              <w:rPr/>
              <w:t>/s/ Kara Harchuck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2405" w:type="dxa"/>
            <w:tcBorders/>
            <w:vAlign w:val="center"/>
          </w:tcPr>
          <w:p>
            <w:pPr>
              <w:pStyle w:val="TableContents"/>
              <w:bidi w:val="0"/>
              <w:spacing w:before="0" w:after="283"/>
              <w:jc w:val="left"/>
              <w:rPr/>
            </w:pPr>
            <w:r>
              <w:rPr/>
              <w:t>Kara Harchuck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405" w:type="dxa"/>
            <w:tcBorders/>
            <w:vAlign w:val="center"/>
          </w:tcPr>
          <w:p>
            <w:pPr>
              <w:pStyle w:val="TableContents"/>
              <w:bidi w:val="0"/>
              <w:spacing w:before="0" w:after="283"/>
              <w:jc w:val="left"/>
              <w:rPr/>
            </w:pPr>
            <w:r>
              <w:rPr/>
              <w:t>Executive Vice President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75"/>
        <w:gridCol w:w="385"/>
        <w:gridCol w:w="748"/>
        <w:gridCol w:w="1555"/>
        <w:gridCol w:w="75"/>
      </w:tblGrid>
      <w:tr>
        <w:trPr/>
        <w:tc>
          <w:tcPr>
            <w:tcW w:w="75" w:type="dxa"/>
            <w:tcBorders/>
            <w:vAlign w:val="center"/>
          </w:tcPr>
          <w:p>
            <w:pPr>
              <w:pStyle w:val="TableContents"/>
              <w:bidi w:val="0"/>
              <w:spacing w:before="0" w:after="283"/>
              <w:jc w:val="left"/>
              <w:rPr/>
            </w:pPr>
            <w:r>
              <w:rPr/>
              <w:t> </w:t>
            </w:r>
          </w:p>
        </w:tc>
        <w:tc>
          <w:tcPr>
            <w:tcW w:w="2688" w:type="dxa"/>
            <w:gridSpan w:val="3"/>
            <w:tcBorders/>
            <w:vAlign w:val="center"/>
          </w:tcPr>
          <w:p>
            <w:pPr>
              <w:pStyle w:val="TableContents"/>
              <w:bidi w:val="0"/>
              <w:spacing w:before="0" w:after="283"/>
              <w:jc w:val="left"/>
              <w:rPr>
                <w:b/>
              </w:rPr>
            </w:pPr>
            <w:r>
              <w:rPr>
                <w:b/>
              </w:rPr>
              <w:t>HUNT COMPANY,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88"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By:</w:t>
            </w:r>
          </w:p>
        </w:tc>
        <w:tc>
          <w:tcPr>
            <w:tcW w:w="2303" w:type="dxa"/>
            <w:gridSpan w:val="2"/>
            <w:tcBorders>
              <w:bottom w:val="single" w:sz="8" w:space="0" w:color="000000"/>
            </w:tcBorders>
            <w:tcMar>
              <w:bottom w:w="28" w:type="dxa"/>
            </w:tcMar>
            <w:vAlign w:val="center"/>
          </w:tcPr>
          <w:p>
            <w:pPr>
              <w:pStyle w:val="TableContents"/>
              <w:bidi w:val="0"/>
              <w:spacing w:before="0" w:after="283"/>
              <w:jc w:val="left"/>
              <w:rPr/>
            </w:pPr>
            <w:r>
              <w:rPr/>
              <w:t>/s/ Kara Harchuck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Name: </w:t>
            </w:r>
          </w:p>
        </w:tc>
        <w:tc>
          <w:tcPr>
            <w:tcW w:w="1555" w:type="dxa"/>
            <w:tcBorders/>
            <w:vAlign w:val="center"/>
          </w:tcPr>
          <w:p>
            <w:pPr>
              <w:pStyle w:val="TableContents"/>
              <w:bidi w:val="0"/>
              <w:spacing w:before="0" w:after="283"/>
              <w:jc w:val="left"/>
              <w:rPr/>
            </w:pPr>
            <w:r>
              <w:rPr/>
              <w:t>Kara Harchuck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Title:</w:t>
            </w:r>
          </w:p>
        </w:tc>
        <w:tc>
          <w:tcPr>
            <w:tcW w:w="1555" w:type="dxa"/>
            <w:tcBorders/>
            <w:vAlign w:val="center"/>
          </w:tcPr>
          <w:p>
            <w:pPr>
              <w:pStyle w:val="TableContents"/>
              <w:bidi w:val="0"/>
              <w:spacing w:before="0" w:after="283"/>
              <w:jc w:val="left"/>
              <w:rPr/>
            </w:pPr>
            <w:r>
              <w:rPr/>
              <w:t>Manager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15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630" w:type="dxa"/>
        <w:jc w:val="left"/>
        <w:tblInd w:w="0" w:type="dxa"/>
        <w:tblLayout w:type="fixed"/>
        <w:tblCellMar>
          <w:top w:w="0" w:type="dxa"/>
          <w:left w:w="0" w:type="dxa"/>
          <w:bottom w:w="0" w:type="dxa"/>
          <w:right w:w="0" w:type="dxa"/>
        </w:tblCellMar>
      </w:tblPr>
      <w:tblGrid>
        <w:gridCol w:w="75"/>
        <w:gridCol w:w="365"/>
        <w:gridCol w:w="710"/>
        <w:gridCol w:w="2405"/>
        <w:gridCol w:w="75"/>
      </w:tblGrid>
      <w:tr>
        <w:trPr/>
        <w:tc>
          <w:tcPr>
            <w:tcW w:w="75" w:type="dxa"/>
            <w:tcBorders/>
            <w:vAlign w:val="center"/>
          </w:tcPr>
          <w:p>
            <w:pPr>
              <w:pStyle w:val="TableContents"/>
              <w:bidi w:val="0"/>
              <w:spacing w:before="0" w:after="283"/>
              <w:jc w:val="left"/>
              <w:rPr/>
            </w:pPr>
            <w:r>
              <w:rPr/>
              <w:t> </w:t>
            </w:r>
          </w:p>
        </w:tc>
        <w:tc>
          <w:tcPr>
            <w:tcW w:w="3480" w:type="dxa"/>
            <w:gridSpan w:val="3"/>
            <w:tcBorders/>
            <w:vAlign w:val="center"/>
          </w:tcPr>
          <w:p>
            <w:pPr>
              <w:pStyle w:val="TableContents"/>
              <w:bidi w:val="0"/>
              <w:spacing w:before="0" w:after="283"/>
              <w:jc w:val="left"/>
              <w:rPr>
                <w:b/>
              </w:rPr>
            </w:pPr>
            <w:r>
              <w:rPr>
                <w:b/>
              </w:rPr>
              <w:t>HUNT COMPANIES,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80"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115" w:type="dxa"/>
            <w:gridSpan w:val="2"/>
            <w:tcBorders>
              <w:bottom w:val="single" w:sz="8" w:space="0" w:color="000000"/>
            </w:tcBorders>
            <w:tcMar>
              <w:bottom w:w="28" w:type="dxa"/>
            </w:tcMar>
            <w:vAlign w:val="center"/>
          </w:tcPr>
          <w:p>
            <w:pPr>
              <w:pStyle w:val="TableContents"/>
              <w:bidi w:val="0"/>
              <w:spacing w:before="0" w:after="283"/>
              <w:jc w:val="left"/>
              <w:rPr/>
            </w:pPr>
            <w:r>
              <w:rPr/>
              <w:t>/s/ Kara Harchuck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2405" w:type="dxa"/>
            <w:tcBorders/>
            <w:vAlign w:val="center"/>
          </w:tcPr>
          <w:p>
            <w:pPr>
              <w:pStyle w:val="TableContents"/>
              <w:bidi w:val="0"/>
              <w:spacing w:before="0" w:after="283"/>
              <w:jc w:val="left"/>
              <w:rPr/>
            </w:pPr>
            <w:r>
              <w:rPr/>
              <w:t>Kara Harchuck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405" w:type="dxa"/>
            <w:tcBorders/>
            <w:vAlign w:val="center"/>
          </w:tcPr>
          <w:p>
            <w:pPr>
              <w:pStyle w:val="TableContents"/>
              <w:bidi w:val="0"/>
              <w:spacing w:before="0" w:after="283"/>
              <w:jc w:val="left"/>
              <w:rPr/>
            </w:pPr>
            <w:r>
              <w:rPr/>
              <w:t>Executive Vice President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374" w:type="dxa"/>
        <w:jc w:val="left"/>
        <w:tblInd w:w="0" w:type="dxa"/>
        <w:tblLayout w:type="fixed"/>
        <w:tblCellMar>
          <w:top w:w="0" w:type="dxa"/>
          <w:left w:w="0" w:type="dxa"/>
          <w:bottom w:w="0" w:type="dxa"/>
          <w:right w:w="0" w:type="dxa"/>
        </w:tblCellMar>
      </w:tblPr>
      <w:tblGrid>
        <w:gridCol w:w="75"/>
        <w:gridCol w:w="553"/>
        <w:gridCol w:w="4671"/>
        <w:gridCol w:w="75"/>
      </w:tblGrid>
      <w:tr>
        <w:trPr/>
        <w:tc>
          <w:tcPr>
            <w:tcW w:w="75" w:type="dxa"/>
            <w:tcBorders/>
            <w:vAlign w:val="center"/>
          </w:tcPr>
          <w:p>
            <w:pPr>
              <w:pStyle w:val="TableContents"/>
              <w:bidi w:val="0"/>
              <w:spacing w:before="0" w:after="283"/>
              <w:jc w:val="left"/>
              <w:rPr/>
            </w:pPr>
            <w:r>
              <w:rPr/>
              <w:t> </w:t>
            </w:r>
          </w:p>
        </w:tc>
        <w:tc>
          <w:tcPr>
            <w:tcW w:w="522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Paul Donnelly as Attorney-in-Fact of Woody L. Hunt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pPr>
            <w:r>
              <w:rPr/>
              <w:t>By:</w:t>
            </w:r>
          </w:p>
        </w:tc>
        <w:tc>
          <w:tcPr>
            <w:tcW w:w="46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Donnelly, Attorney-in-Fact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pPr>
            <w:r>
              <w:rPr/>
              <w:t> </w:t>
            </w:r>
          </w:p>
        </w:tc>
        <w:tc>
          <w:tcPr>
            <w:tcW w:w="467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pPr>
            <w:r>
              <w:rPr/>
              <w:t> </w:t>
            </w:r>
          </w:p>
        </w:tc>
        <w:tc>
          <w:tcPr>
            <w:tcW w:w="467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2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Paul Donnelly as Attorney-in-Fact of James Christopher Hunt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pPr>
            <w:r>
              <w:rPr/>
              <w:t>By:</w:t>
            </w:r>
          </w:p>
        </w:tc>
        <w:tc>
          <w:tcPr>
            <w:tcW w:w="4671" w:type="dxa"/>
            <w:tcBorders/>
            <w:vAlign w:val="center"/>
          </w:tcPr>
          <w:p>
            <w:pPr>
              <w:pStyle w:val="TableContents"/>
              <w:bidi w:val="0"/>
              <w:spacing w:before="0" w:after="283"/>
              <w:jc w:val="left"/>
              <w:rPr/>
            </w:pPr>
            <w:r>
              <w:rPr/>
              <w:t>Paul Donnelly, Attorney-in-Fact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44" w:name="eh260778462_ex9902.htm"/>
      <w:bookmarkStart w:id="45" w:name="kseh260778462_ex9902"/>
      <w:bookmarkEnd w:id="44"/>
      <w:bookmarkEnd w:id="45"/>
      <w:r>
        <w:rPr>
          <w:b/>
        </w:rPr>
        <w:t>EXHIBIT 99.2</w:t>
      </w:r>
      <w:r>
        <w:br w:type="page"/>
      </w:r>
    </w:p>
    <w:p>
      <w:pPr>
        <w:pStyle w:val="TextBody"/>
        <w:bidi w:val="0"/>
        <w:spacing w:before="0" w:after="283"/>
        <w:jc w:val="left"/>
        <w:rPr/>
      </w:pPr>
      <w:r>
        <w:rPr/>
        <w:t> </w:t>
      </w:r>
    </w:p>
    <w:p>
      <w:pPr>
        <w:pStyle w:val="TextBody"/>
        <w:bidi w:val="0"/>
        <w:spacing w:before="0" w:after="283"/>
        <w:jc w:val="left"/>
        <w:rPr/>
      </w:pPr>
      <w:r>
        <w:rPr/>
        <w:drawing>
          <wp:inline distT="0" distB="0" distL="0" distR="0">
            <wp:extent cx="1647825" cy="7048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647825" cy="704850"/>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Members of the Board of Directors,</w:t>
      </w:r>
    </w:p>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becoming Chairman of the Kelly board of directors on January 30, 2026, I have had the privilege of working alongside a talented and dedicated group of directors, and I am grateful for the commitment each of you has shown during this transition period.</w:t>
      </w:r>
    </w:p>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meeting on May 7, 2026, we welcomed three additional directors—Woody Young, Mike Wartell, and Ryan McCrory—completing the transition of governance. The board now consists of 11 directors, with 7 new and experienced members joining the 4 directors carried over from the board seated at year end. This reconstitution of the board follows Hunt Equity Opportunities LLC’s acquisition of the interests previously held by the Terence E. Adderley Revocable Trust K. As CEO of Hunt Companies, the ultimate parent of HEO, I am honored to lead this next chapter alongside our fellow directors.</w:t>
      </w:r>
    </w:p>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Hunt Companies was founded in 1947, making it, at 79 years old, nearly as venerable as Kelly. Hunt was a publicly listed general contractor from 1969 until 1977, when Woody Hunt took it private and refocused the business on building and owning residential real estate. Hunt eventually evolved into a diversified holding company with interests in real estate, asset management, construction, and financial services. I became CEO in 2015. From 1977 through 2025, Hunt shareholders have seen the value of their equity compound at a rate in the high teens. While past performance is not indicative of future results, we bring this same long-term, patient, and disciplined approach to our investment in Kelly. And while Hunt cannot guarantee any particular outcome for Kelly, we are prepared to contribute our operational expertise, strategic perspective, and deep relationships where appropriate in support of Kelly’s continued progress.</w:t>
      </w:r>
    </w:p>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Kelly will celebrate its 80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anniversary this autumn—a testament to the enduring strength of this company and the dedication of its people. While Kelly has faced challenges in recent years, including revenue headwinds and the strategic repositioning of certain acquired businesses, the company has taken meaningful steps to address these issues and is now better positioned to move forward. Most significantly, in August 2025 Kelly made the bold decision to bring on Chris Layden as its first CEO from outside the company. I have had the opportunity to work closely with Chris over the past two and a half months, and I am convinced that hiring Chris was exactly the right decision. Chris brings the kind of results-oriented leadership that this moment demands, and we fully intend to support his efforts to build a better Kelly and deliver strong results for our clients and shareholders.</w:t>
      </w:r>
    </w:p>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that spirit of partnership and progress, Hunt is requesting that the Board form a special committee of independent and disinterested directors, fully empowered to retain its own independent legal and financial advisors, so that the company may be prepared to discuss and evaluate new potential opportunities for Kelly involving Hunt and its affiliates if and when presented, without delay. We believe establishing such a committee reflects our commitment to sound governance and transparency, and will help ensure that any potential opportunities are evaluated thoroughly and in the best interests of all stakeholders. We want to emphasize that any potential transaction would be pursued only in accordance with the terms of the Letter Agreement, dated January 30, 2026, by and between Kelly and HEO.</w:t>
      </w:r>
    </w:p>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Kelly enters its next chapter with a refreshed board, dynamic and experienced leadership, and the continued support of Hunt Companies. We are encouraged by the direction this company is headed. Restoring growth, enhancing profitability, and continuing to earn the confidence of clients and shareholders will require sustained effort and discipline—but we believe the right people and the right governance are firmly in place. We look forward to working closely with each of you as we pursue Kelly’s path to renewed strength and success.</w:t>
      </w:r>
    </w:p>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Christopher Hunt</w:t>
      </w:r>
    </w:p>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Christopher Hunt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7696200" cy="4191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7696200" cy="419100"/>
                    </a:xfrm>
                    <a:prstGeom prst="rect">
                      <a:avLst/>
                    </a:prstGeom>
                  </pic:spPr>
                </pic:pic>
              </a:graphicData>
            </a:graphic>
          </wp:inline>
        </w:drawing>
      </w: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16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media/image1.jpeg"/><Relationship Id="rId36" Type="http://schemas.openxmlformats.org/officeDocument/2006/relationships/image" Target="media/image2.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3953</Words>
  <Characters>20434</Characters>
  <CharactersWithSpaces>24266</CharactersWithSpaces>
  <Paragraphs>711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