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4"/>
          <w:szCs w:val="24"/>
          <w:color w:val="auto"/>
        </w:rPr>
      </w:pPr>
    </w:p>
    <w:p>
      <w:pPr>
        <w:jc w:val="center"/>
        <w:ind w:left="3840" w:right="2820" w:hanging="1008"/>
        <w:spacing w:after="0" w:line="286" w:lineRule="auto"/>
        <w:tabs>
          <w:tab w:leader="none" w:pos="30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28,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jc w:val="center"/>
        <w:ind w:left="3840" w:right="2820" w:hanging="1014"/>
        <w:spacing w:after="0" w:line="286" w:lineRule="auto"/>
        <w:tabs>
          <w:tab w:leader="none" w:pos="30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0-1088</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Delaware</w:t>
            </w:r>
          </w:p>
        </w:tc>
        <w:tc>
          <w:tcPr>
            <w:tcW w:w="53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38-1510762</w:t>
            </w:r>
          </w:p>
        </w:tc>
      </w:tr>
      <w:tr>
        <w:trPr>
          <w:trHeight w:val="228"/>
        </w:trPr>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3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999 West Big Beaver Road, Troy, Michigan 48084</w:t>
      </w:r>
    </w:p>
    <w:p>
      <w:pPr>
        <w:spacing w:after="0" w:line="2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(248) 362-4444</w:t>
      </w:r>
    </w:p>
    <w:p>
      <w:pPr>
        <w:spacing w:after="0" w:line="2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 Change</w:t>
      </w:r>
    </w:p>
    <w:p>
      <w:pPr>
        <w:spacing w:after="0" w:line="2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233"/>
        </w:trPr>
        <w:tc>
          <w:tcPr>
            <w:tcW w:w="42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42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Class A Common Stock, $1.00 par value per share</w:t>
            </w:r>
          </w:p>
        </w:tc>
        <w:tc>
          <w:tcPr>
            <w:tcW w:w="26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1"/>
              </w:rPr>
              <w:t>KELYA</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Class B Common Stock, $1.00 par value per share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KELYB</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2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51"/>
        </w:trPr>
        <w:tc>
          <w:tcPr>
            <w:tcW w:w="34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October 27, 2025, 32,043,065 shares of Class A and 3,295,941 shares of Class B common stock of the Registrant were outstanding.</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KELLY SERVICES, INC. AND SUBSIDIARIES</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60" w:type="dxa"/>
            <w:vAlign w:val="bottom"/>
            <w:gridSpan w:val="6"/>
          </w:tcPr>
          <w:p>
            <w:pPr>
              <w:jc w:val="center"/>
              <w:spacing w:after="0" w:line="202" w:lineRule="exact"/>
              <w:rPr>
                <w:sz w:val="20"/>
                <w:szCs w:val="20"/>
                <w:color w:val="auto"/>
              </w:rPr>
            </w:pPr>
            <w:r>
              <w:rPr>
                <w:rFonts w:ascii="Times New Roman" w:cs="Times New Roman" w:eastAsia="Times New Roman" w:hAnsi="Times New Roman"/>
                <w:sz w:val="18"/>
                <w:szCs w:val="18"/>
                <w:color w:val="auto"/>
              </w:rPr>
              <w:t>Page</w:t>
            </w:r>
          </w:p>
        </w:tc>
      </w:t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25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10"/>
        </w:trPr>
        <w:tc>
          <w:tcPr>
            <w:tcW w:w="10240" w:type="dxa"/>
            <w:vAlign w:val="bottom"/>
            <w:gridSpan w:val="2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 (unaudited)</w:t>
            </w:r>
            <w:r>
              <w:rPr>
                <w:rFonts w:ascii="Times New Roman" w:cs="Times New Roman" w:eastAsia="Times New Roman" w:hAnsi="Times New Roman"/>
                <w:sz w:val="18"/>
                <w:szCs w:val="18"/>
                <w:color w:val="000000"/>
              </w:rPr>
              <w:t>.</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Earnings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560" w:type="dxa"/>
            <w:vAlign w:val="bottom"/>
            <w:gridSpan w:val="4"/>
            <w:shd w:val="clear" w:color="auto" w:fill="CCEEFF"/>
          </w:tcPr>
          <w:p>
            <w:pPr>
              <w:jc w:val="center"/>
              <w:ind w:left="31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7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80" w:type="dxa"/>
            <w:vAlign w:val="bottom"/>
            <w:gridSpan w:val="5"/>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38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80" w:type="dxa"/>
            <w:vAlign w:val="bottom"/>
            <w:tcBorders>
              <w:top w:val="single" w:sz="8" w:color="0000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10240" w:type="dxa"/>
            <w:vAlign w:val="bottom"/>
            <w:gridSpan w:val="2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r>
              <w:rPr>
                <w:rFonts w:ascii="Times New Roman" w:cs="Times New Roman" w:eastAsia="Times New Roman" w:hAnsi="Times New Roman"/>
                <w:sz w:val="18"/>
                <w:szCs w:val="18"/>
                <w:color w:val="000000"/>
              </w:rPr>
              <w:t>.</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0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13 Weeks Ended</w:t>
            </w:r>
          </w:p>
        </w:tc>
        <w:tc>
          <w:tcPr>
            <w:tcW w:w="160" w:type="dxa"/>
            <w:vAlign w:val="bottom"/>
          </w:tcPr>
          <w:p>
            <w:pPr>
              <w:spacing w:after="0"/>
              <w:rPr>
                <w:sz w:val="20"/>
                <w:szCs w:val="20"/>
                <w:color w:val="auto"/>
              </w:rPr>
            </w:pPr>
          </w:p>
        </w:tc>
        <w:tc>
          <w:tcPr>
            <w:tcW w:w="28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5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29,</w:t>
            </w:r>
          </w:p>
        </w:tc>
      </w:tr>
      <w:tr>
        <w:trPr>
          <w:trHeight w:val="239"/>
        </w:trPr>
        <w:tc>
          <w:tcPr>
            <w:tcW w:w="5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r>
      <w:tr>
        <w:trPr>
          <w:trHeight w:val="196"/>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EMEA staffing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from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forward contract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96"/>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6"/>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shares outstanding (millions):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bl>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13 Weeks Ended</w:t>
            </w:r>
          </w:p>
        </w:tc>
        <w:tc>
          <w:tcPr>
            <w:tcW w:w="160" w:type="dxa"/>
            <w:vAlign w:val="bottom"/>
          </w:tcPr>
          <w:p>
            <w:pPr>
              <w:spacing w:after="0"/>
              <w:rPr>
                <w:sz w:val="20"/>
                <w:szCs w:val="20"/>
                <w:color w:val="auto"/>
              </w:rPr>
            </w:pPr>
          </w:p>
        </w:tc>
        <w:tc>
          <w:tcPr>
            <w:tcW w:w="282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5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29,</w:t>
            </w:r>
          </w:p>
        </w:tc>
      </w:tr>
      <w:tr>
        <w:trPr>
          <w:trHeight w:val="239"/>
        </w:trPr>
        <w:tc>
          <w:tcPr>
            <w:tcW w:w="5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0"/>
        </w:trPr>
        <w:tc>
          <w:tcPr>
            <w:tcW w:w="5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5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adjustments, net of tax benefits of $0.0</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$0.1, tax expense of $0.6 and tax benefit of $0.1, respectively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Reclassification adjustments included in net earnings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5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liability adjustments, net of tax benefit of $0.4</w:t>
            </w:r>
          </w:p>
        </w:tc>
        <w:tc>
          <w:tcPr>
            <w:tcW w:w="1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Reclassification adjustments included in net earnings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5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(119.2)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receivable, less allowances of $11.1 and $8.4, respectively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plan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28,</w:t>
            </w:r>
          </w:p>
        </w:tc>
        <w:tc>
          <w:tcPr>
            <w:tcW w:w="14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29,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and other taxes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Contingencies footnote)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stock, $1.00 par value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 100.0 million shares authorized; 35.2 million shares issued at 2025 and 2024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B common stock, 10.0 million shares authorized; 3.3 million shares issued at 2025 and 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A common stock, 3.2 million shares at 2025 and 3.6 million shares at 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Paid-in capital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invested in the business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w w:val="99"/>
              </w:rPr>
              <w:t>See accompanying unaudited Notes to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8260" w:type="dxa"/>
            <w:vAlign w:val="bottom"/>
            <w:gridSpan w:val="2"/>
          </w:tcPr>
          <w:p>
            <w:pPr>
              <w:jc w:val="right"/>
              <w:ind w:right="251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13 Weeks Ended</w:t>
            </w:r>
          </w:p>
        </w:tc>
        <w:tc>
          <w:tcPr>
            <w:tcW w:w="140" w:type="dxa"/>
            <w:vAlign w:val="bottom"/>
          </w:tcPr>
          <w:p>
            <w:pPr>
              <w:spacing w:after="0"/>
              <w:rPr>
                <w:sz w:val="20"/>
                <w:szCs w:val="20"/>
                <w:color w:val="auto"/>
              </w:rPr>
            </w:pPr>
          </w:p>
        </w:tc>
        <w:tc>
          <w:tcPr>
            <w:tcW w:w="28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5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29,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September 29,</w:t>
            </w:r>
          </w:p>
        </w:tc>
      </w:tr>
      <w:tr>
        <w:trPr>
          <w:trHeight w:val="239"/>
        </w:trPr>
        <w:tc>
          <w:tcPr>
            <w:tcW w:w="5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Conversions from Class B</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0"/>
        </w:trPr>
        <w:tc>
          <w:tcPr>
            <w:tcW w:w="5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Conversions to Class A</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5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issuance of stock awards and 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0"/>
        </w:trPr>
        <w:tc>
          <w:tcPr>
            <w:tcW w:w="5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common stock</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5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0"/>
        </w:trPr>
        <w:tc>
          <w:tcPr>
            <w:tcW w:w="5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Invested in the Business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w:t>
            </w:r>
          </w:p>
        </w:tc>
      </w:tr>
      <w:tr>
        <w:trPr>
          <w:trHeight w:val="230"/>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r>
      <w:tr>
        <w:trPr>
          <w:trHeight w:val="270"/>
        </w:trPr>
        <w:tc>
          <w:tcPr>
            <w:tcW w:w="5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5"/>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Pr>
          <w:p>
            <w:pPr>
              <w:spacing w:after="0"/>
              <w:rPr>
                <w:sz w:val="14"/>
                <w:szCs w:val="14"/>
                <w:color w:val="auto"/>
              </w:rPr>
            </w:pPr>
          </w:p>
        </w:tc>
        <w:tc>
          <w:tcPr>
            <w:tcW w:w="12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29,</w:t>
            </w:r>
          </w:p>
        </w:tc>
      </w:tr>
      <w:tr>
        <w:trPr>
          <w:trHeight w:val="239"/>
        </w:trPr>
        <w:tc>
          <w:tcPr>
            <w:tcW w:w="8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from operating activities: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 charge</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amortization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and sales allowances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EMEA staffing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forward contract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28"/>
        </w:trPr>
        <w:tc>
          <w:tcPr>
            <w:tcW w:w="8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EMEA staffing operations, net of cash disposed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PersolKelly investment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company, net of cash received</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for settlement of forward contract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from (used in) investing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128"/>
        </w:trPr>
        <w:tc>
          <w:tcPr>
            <w:tcW w:w="8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payments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tax withholding for stock awards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from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128"/>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128"/>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128"/>
        </w:trPr>
        <w:tc>
          <w:tcPr>
            <w:tcW w:w="8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30"/>
        </w:trPr>
        <w:tc>
          <w:tcPr>
            <w:tcW w:w="8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period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ind w:right="160"/>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millions)</w:t>
      </w:r>
    </w:p>
    <w:p>
      <w:pPr>
        <w:spacing w:after="0" w:line="288" w:lineRule="exact"/>
        <w:rPr>
          <w:sz w:val="20"/>
          <w:szCs w:val="20"/>
          <w:color w:val="auto"/>
        </w:rPr>
      </w:pPr>
    </w:p>
    <w:p>
      <w:pPr>
        <w:ind w:left="20" w:right="420" w:hanging="10"/>
        <w:spacing w:after="0" w:line="229" w:lineRule="auto"/>
        <w:tabs>
          <w:tab w:leader="none" w:pos="201"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provides a reconciliation of cash, cash equivalents and restricted cash to the amounts reported in the Company's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39 Weeks Ended</w:t>
            </w:r>
          </w:p>
        </w:tc>
      </w:tr>
      <w:tr>
        <w:trPr>
          <w:trHeight w:val="169"/>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40" w:type="dxa"/>
            <w:vAlign w:val="bottom"/>
          </w:tcPr>
          <w:p>
            <w:pPr>
              <w:spacing w:after="0"/>
              <w:rPr>
                <w:sz w:val="14"/>
                <w:szCs w:val="14"/>
                <w:color w:val="auto"/>
              </w:rPr>
            </w:pPr>
          </w:p>
        </w:tc>
        <w:tc>
          <w:tcPr>
            <w:tcW w:w="124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September 29,</w:t>
            </w:r>
          </w:p>
        </w:tc>
      </w:tr>
      <w:tr>
        <w:trPr>
          <w:trHeight w:val="239"/>
        </w:trPr>
        <w:tc>
          <w:tcPr>
            <w:tcW w:w="8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4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Kelly Services, Inc. (the “Company,” “Kelly,” “we” or “us”) have been prepared in accordance with Rule 10-01 of Regulation S-X and do not include all the information and notes required by generally accepted accounting principles (“GAAP”) for complete financial statements. In the opinion of management, all adjustments, including normal recurring adjustments, necessary for a fair statement of the results of the interim periods, have been made. The results of operations for such interim periods are not necessarily indicative of results of operations for a full year. The unaudited consolidated financial statements should be read in conjunction with the Company’s consolidated financial statements and notes thereto for the fiscal year ended December 29, 2024, included in the Company’s Annual Report on Form 10-K filed with the Securities and Exchange Commission on February 13, 2025 (the 2024 consolidated financial statements). There were no changes in accounting policies from those disclosed in the Form 10-K. The Company’s third fiscal quarter ended on September 28, 2025 and September 29, 2024, each of which contained 13 weeks. The corresponding September year-to-date periods for 2025 and 2024 each contained 39 weeks.</w:t>
      </w:r>
    </w:p>
    <w:p>
      <w:pPr>
        <w:spacing w:after="0" w:line="2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Specifically, as discussed in the Revenue and Segment Disclosures footnotes, the Company made a change to its reportable segments during the first quarter of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 by Service Type</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2025, Kelly has three operating segments: Enterprise Talent Management (“ETM”), Science, Engineering &amp; Technology (“SET”), and Education. The ETM segment combines two former reportable segments, Professional &amp; Industrial (“P&amp;I”) and Outsourcing &amp; Consulting Group (“OCG”), along with the transfer of certain customers from the SET segment to better align delivery models and improve go-to-market strategies (see Segment Disclosures footnote). In the first quarter of 2025, the Company also integrated the Sevenstep business—acquired as part of the Motion Recruitment Partners, LLC (“MRP”) acquisition and which had previously been included in the SET segment—into the ETM segment as part of the broader MRP integration strategy. The Company's segments deliver talent through staffing services, permanent placement or outcome-based services. The Company's ETM segment also delivers talent solutions including managed service provider (“MSP”), payroll process outsourcing (“PPO”), and recruitment process outsourcing (“RPO”). The 2024 ETM and SET segment information has been recast to conform to the new structure.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segment revenues disaggregated by service type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Third Quarter 2025</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425"/>
        </w:trPr>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Outcome-based</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Permanent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3520" w:type="dxa"/>
            <w:vAlign w:val="bottom"/>
          </w:tcPr>
          <w:p>
            <w:pPr>
              <w:spacing w:after="0"/>
              <w:rPr>
                <w:sz w:val="21"/>
                <w:szCs w:val="21"/>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Staffing Services</w:t>
            </w:r>
          </w:p>
        </w:tc>
        <w:tc>
          <w:tcPr>
            <w:tcW w:w="22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spacing w:after="0"/>
              <w:rPr>
                <w:sz w:val="21"/>
                <w:szCs w:val="21"/>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7"/>
              </w:rPr>
              <w:t>Talent Solutions</w:t>
            </w:r>
          </w:p>
        </w:tc>
        <w:tc>
          <w:tcPr>
            <w:tcW w:w="18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Placement</w:t>
            </w: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50"/>
        </w:trPr>
        <w:tc>
          <w:tcPr>
            <w:tcW w:w="35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7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r>
      <w:tr>
        <w:trPr>
          <w:trHeight w:val="230"/>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9"/>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w:t>
            </w:r>
          </w:p>
        </w:tc>
      </w:tr>
      <w:tr>
        <w:trPr>
          <w:trHeight w:val="45"/>
        </w:trPr>
        <w:tc>
          <w:tcPr>
            <w:tcW w:w="35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352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Intersegment</w:t>
            </w:r>
          </w:p>
        </w:tc>
        <w:tc>
          <w:tcPr>
            <w:tcW w:w="4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auto"/>
            </w:tcBorders>
            <w:shd w:val="clear" w:color="auto" w:fill="CCEEFF"/>
          </w:tcPr>
          <w:p>
            <w:pPr>
              <w:spacing w:after="0"/>
              <w:rPr>
                <w:sz w:val="16"/>
                <w:szCs w:val="16"/>
                <w:color w:val="auto"/>
              </w:rPr>
            </w:pPr>
          </w:p>
        </w:tc>
        <w:tc>
          <w:tcPr>
            <w:tcW w:w="10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(1.1)</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Services</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0"/>
        </w:trPr>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Third Quarter 2024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Outcome-based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Permanent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Staffing Services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Talent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Placement</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bottom w:val="single" w:sz="8" w:color="auto"/>
            </w:tcBorders>
          </w:tcPr>
          <w:p>
            <w:pPr>
              <w:spacing w:after="0"/>
              <w:rPr>
                <w:sz w:val="19"/>
                <w:szCs w:val="19"/>
                <w:color w:val="auto"/>
              </w:rPr>
            </w:pPr>
          </w:p>
        </w:tc>
        <w:tc>
          <w:tcPr>
            <w:tcW w:w="5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Intersegment</w:t>
            </w: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auto"/>
            </w:tcBorders>
            <w:shd w:val="clear" w:color="auto" w:fill="CCEEFF"/>
          </w:tcPr>
          <w:p>
            <w:pPr>
              <w:spacing w:after="0"/>
              <w:rPr>
                <w:sz w:val="16"/>
                <w:szCs w:val="16"/>
                <w:color w:val="auto"/>
              </w:rPr>
            </w:pPr>
          </w:p>
        </w:tc>
        <w:tc>
          <w:tcPr>
            <w:tcW w:w="1040" w:type="dxa"/>
            <w:vAlign w:val="bottom"/>
            <w:tcBorders>
              <w:top w:val="single" w:sz="8" w:color="CCEEFF"/>
              <w:bottom w:val="single" w:sz="8" w:color="auto"/>
            </w:tcBorders>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Services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10"/>
            <w:vMerge w:val="restart"/>
          </w:tcPr>
          <w:p>
            <w:pPr>
              <w:jc w:val="center"/>
              <w:ind w:left="770"/>
              <w:spacing w:after="0"/>
              <w:rPr>
                <w:sz w:val="20"/>
                <w:szCs w:val="20"/>
                <w:color w:val="auto"/>
              </w:rPr>
            </w:pPr>
            <w:r>
              <w:rPr>
                <w:rFonts w:ascii="Times New Roman" w:cs="Times New Roman" w:eastAsia="Times New Roman" w:hAnsi="Times New Roman"/>
                <w:sz w:val="18"/>
                <w:szCs w:val="18"/>
                <w:color w:val="auto"/>
                <w:w w:val="98"/>
              </w:rPr>
              <w:t>September Year-to-Date 2025</w:t>
            </w: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Outcome-based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Permanent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Staffing Services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7"/>
              </w:rPr>
              <w:t>Talent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Placement</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Intersegment</w:t>
            </w:r>
          </w:p>
        </w:tc>
        <w:tc>
          <w:tcPr>
            <w:tcW w:w="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260" w:type="dxa"/>
            <w:vAlign w:val="bottom"/>
            <w:tcBorders>
              <w:top w:val="single" w:sz="8" w:color="CCEEFF"/>
              <w:bottom w:val="single" w:sz="8" w:color="auto"/>
            </w:tcBorders>
            <w:shd w:val="clear" w:color="auto" w:fill="CCEEFF"/>
          </w:tcPr>
          <w:p>
            <w:pPr>
              <w:spacing w:after="0"/>
              <w:rPr>
                <w:sz w:val="16"/>
                <w:szCs w:val="16"/>
                <w:color w:val="auto"/>
              </w:rPr>
            </w:pPr>
          </w:p>
        </w:tc>
        <w:tc>
          <w:tcPr>
            <w:tcW w:w="10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Services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10"/>
            <w:vMerge w:val="restart"/>
          </w:tcPr>
          <w:p>
            <w:pPr>
              <w:jc w:val="center"/>
              <w:ind w:left="810"/>
              <w:spacing w:after="0"/>
              <w:rPr>
                <w:sz w:val="20"/>
                <w:szCs w:val="20"/>
                <w:color w:val="auto"/>
              </w:rPr>
            </w:pPr>
            <w:r>
              <w:rPr>
                <w:rFonts w:ascii="Times New Roman" w:cs="Times New Roman" w:eastAsia="Times New Roman" w:hAnsi="Times New Roman"/>
                <w:sz w:val="18"/>
                <w:szCs w:val="18"/>
                <w:color w:val="auto"/>
                <w:w w:val="98"/>
              </w:rPr>
              <w:t>September Year-to-Date 2024</w:t>
            </w: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Outcome-based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Permanent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Staffing Services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Talent Solutions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Placement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40" w:type="dxa"/>
            <w:vAlign w:val="bottom"/>
            <w:tcBorders>
              <w:bottom w:val="single" w:sz="8" w:color="auto"/>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0" w:type="dxa"/>
            <w:vAlign w:val="bottom"/>
            <w:tcBorders>
              <w:bottom w:val="single" w:sz="8" w:color="auto"/>
            </w:tcBorders>
          </w:tcPr>
          <w:p>
            <w:pPr>
              <w:spacing w:after="0"/>
              <w:rPr>
                <w:sz w:val="19"/>
                <w:szCs w:val="19"/>
                <w:color w:val="auto"/>
              </w:rPr>
            </w:pPr>
          </w:p>
        </w:tc>
        <w:tc>
          <w:tcPr>
            <w:tcW w:w="300" w:type="dxa"/>
            <w:vAlign w:val="bottom"/>
            <w:gridSpan w:val="2"/>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Borders>
              <w:bottom w:val="single" w:sz="8" w:color="auto"/>
            </w:tcBorders>
          </w:tcPr>
          <w:p>
            <w:pPr>
              <w:spacing w:after="0"/>
              <w:rPr>
                <w:sz w:val="19"/>
                <w:szCs w:val="19"/>
                <w:color w:val="auto"/>
              </w:rPr>
            </w:pPr>
          </w:p>
        </w:tc>
        <w:tc>
          <w:tcPr>
            <w:tcW w:w="5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Intersegment</w:t>
            </w: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auto"/>
            </w:tcBorders>
            <w:shd w:val="clear" w:color="auto" w:fill="CCEEFF"/>
          </w:tcPr>
          <w:p>
            <w:pPr>
              <w:spacing w:after="0"/>
              <w:rPr>
                <w:sz w:val="16"/>
                <w:szCs w:val="16"/>
                <w:color w:val="auto"/>
              </w:rPr>
            </w:pPr>
          </w:p>
        </w:tc>
        <w:tc>
          <w:tcPr>
            <w:tcW w:w="1040" w:type="dxa"/>
            <w:vAlign w:val="bottom"/>
            <w:tcBorders>
              <w:top w:val="single" w:sz="8" w:color="CCEEFF"/>
              <w:bottom w:val="single" w:sz="8" w:color="auto"/>
            </w:tcBorders>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Services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 by Geography</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operations are subject to different economic and regulatory environments depending on geographic location. The Company's Education segment operates in the Americas region, the SET segment operates in the Americas and Europe regions, and the ETM segment operates in the Americas, Europe and Asia-Pacific regions.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Company's revenues disaggregated by geography (in millions):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Third Quarter</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September Year-to-Date</w:t>
            </w:r>
          </w:p>
        </w:tc>
      </w:tr>
      <w:tr>
        <w:trPr>
          <w:trHeight w:val="223"/>
        </w:trPr>
        <w:tc>
          <w:tcPr>
            <w:tcW w:w="4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2,801.4</w:t>
            </w:r>
          </w:p>
        </w:tc>
      </w:tr>
      <w:tr>
        <w:trPr>
          <w:trHeight w:val="23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Americas Region</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3,069.2</w:t>
            </w:r>
          </w:p>
        </w:tc>
      </w:tr>
      <w:tr>
        <w:trPr>
          <w:trHeight w:val="270"/>
        </w:trPr>
        <w:tc>
          <w:tcPr>
            <w:tcW w:w="4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 Region</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0"/>
        </w:trPr>
        <w:tc>
          <w:tcPr>
            <w:tcW w:w="4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Asia-Pacific Region</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50"/>
        </w:trPr>
        <w:tc>
          <w:tcPr>
            <w:tcW w:w="4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Kelly Services, Inc.</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3,140.7</w:t>
            </w:r>
          </w:p>
        </w:tc>
      </w:tr>
      <w:tr>
        <w:trPr>
          <w:trHeight w:val="21"/>
        </w:trPr>
        <w:tc>
          <w:tcPr>
            <w:tcW w:w="4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Deferred fulfillment costs, which are included in prepaid expenses and other current assets in the consolidated balance sheet, were zero as of third quarter-end 2025 and $1.8 million as of year-end 2024. Amortization expense for the deferred costs in the third quarter and September year-to-date 2025 was $0.1 million and $1.9 million, respectively. Amortization expense for the deferred costs in the third quarter and September year-to-date 2024 was $1.3 million and $5.4 million,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Credit Losses</w:t>
      </w:r>
    </w:p>
    <w:p>
      <w:pPr>
        <w:spacing w:after="0" w:line="175"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color w:val="auto"/>
        </w:rPr>
        <w:t>The rollforward of the Company's allowance for credit losses related to trade accounts receivable, which is recorded in trade accounts receivable, less allowance in the consolidated balance sheet, is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Year-to-Date</w:t>
            </w:r>
          </w:p>
        </w:tc>
        <w:tc>
          <w:tcPr>
            <w:tcW w:w="13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8.0</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1.0</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exchange effects</w:t>
            </w:r>
          </w:p>
        </w:tc>
        <w:tc>
          <w:tcPr>
            <w:tcW w:w="1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 of EMEA staffing operations</w:t>
            </w:r>
          </w:p>
        </w:tc>
        <w:tc>
          <w:tcPr>
            <w:tcW w:w="1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5.7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Write-offs are presented net of recoveries, which were not material for third quarter-end 2025 or 2024. As of second quarter-end 2024, the Company had a receivable of $16.8 million related to the sale of the EMEA staffing operations (see Acquisitions and Disposition footnote); it was subsequently settled in the second quarter of 2025. No other allowances related to other receivables were material as of third quarter-end 2025 or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880" w:firstLine="8"/>
        <w:spacing w:after="0" w:line="438" w:lineRule="auto"/>
        <w:tabs>
          <w:tab w:leader="none" w:pos="17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 Acquisitions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Children's Therapy Center</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November 13, 2024, Kelly Services USA, LLC (“KSU”), a wholly owned subsidiary of the Company, acquired 100% of the issued and outstanding limited liability company interests of Children's Therapy Center (“CTC”). CTC specializes in occupational, physical, and speech therapy for children and expands the Company's growth opportunities in therapeutic services. Under terms of the purchase agreement, the purchase price of $3.3 million was adjusted for cash held by CTC at the closing date and estimated working capital adjustments, resulting in the company paying cash of $3.1 million. In the first quarter of 2025, the Company received a post-close net working capital adjustment of $0.1 million. Goodwill generated from the acquisition of $2.9 million, net of the net working capital adjustment, was primarily attributable to expanding market potential and was assigned to the Education operating segment (see Goodwill footnote). CTC's results of operations are included in the Education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Motion Recruitment Partners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May 31, 2024, the Company indirectly acquired 100% of the equity interests in Motion Recruitment Partners, LLC (“MRP”) by way of a merger with MRP Merger Sub, Inc. (“Merger Sub”), a newly-formed, wholly owned subsidiary of the Company, with and into MRP Topco (“Topco”), the indirect parent company of MRP and Littlejohn Fund V, L.P. (“Littlejohn”), with Topco surviving the merger (the “Merger”). MRP is a parent company to a group of leading global talent solutions providers and the acquisition is expected to strengthen the scale and capabilities of Kelly's solutions portfolio. Under terms of the merger agreement, the $425.0 million purchase price was adjusted for estimated cash held by MRP at the closing date and estimated working capital adjustments, resulting in the Company paying cash of $440.0 million. The acquisition was funded with cash on hand and available credit facilities (see Debt footnote). Total consideration included $3.4 million of contingent consideration related to an earnout payment with a maximum potential cash payment of $60.0 million in the event certain financial metrics are met per the terms of the agreement. The earnout payment was based on a multiple of gross profit in excess of an agreed-upon amount during the earnout period, defined as the 12 months ending March 31, 2025, with any necessary payment due to the seller in the second quarter of 2025. The initial fair value of the earnout was established using a Monte Carlo simulation model, reassessed quarterly, and was written down to zero in the fourth quarter of 2024. The earnout period concluded in the first quarter of 2025 and no further liability will be recognized (see Fair Value Measurements footnote). The merger agreement contains representations and warranties and covenants customary for a transaction of this nature.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total consideration was as follows (in millions):</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consideration</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consideration payable</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May 2025, the purchase price allocation for this acquisition is final. None of the goodwill generated from the acquisition is expected to be deductible for tax purposes. MRP's results of operations are included in the ETM and SET segments, with MRP’s Sevenstep business included in ETM and the remaining operations in 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EMEA Staffing Operations</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January 2, 2024, the Company completed the sale of its EMEA staffing operations (“disposal group”), which was included in the Company's former International operating segment, to Gi Group Holdings S.P.A. (“Gi”). Upon closing, the Company received cash proceeds of $110.6 million, or</w:t>
      </w:r>
    </w:p>
    <w:p>
      <w:pPr>
        <w:ind w:right="160"/>
        <w:spacing w:after="0" w:line="260" w:lineRule="auto"/>
        <w:rPr>
          <w:sz w:val="20"/>
          <w:szCs w:val="20"/>
          <w:color w:val="auto"/>
        </w:rPr>
      </w:pPr>
      <w:r>
        <w:rPr>
          <w:rFonts w:ascii="Times New Roman" w:cs="Times New Roman" w:eastAsia="Times New Roman" w:hAnsi="Times New Roman"/>
          <w:sz w:val="18"/>
          <w:szCs w:val="18"/>
          <w:color w:val="auto"/>
        </w:rPr>
        <w:t>$77.1 million net of cash disposed, which was included in investing activities in the consolidated statements of cash flows. The Company will not receive any proceeds from the contingent consideration opportunity associated with the transaction.</w:t>
      </w:r>
    </w:p>
    <w:p>
      <w:pPr>
        <w:spacing w:after="0" w:line="1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first quarter of 2024, the Company recorded a euro-denominated receivable from Gi of $26.9 million, representing working capital and other adjustments that were determinable and expected to be received under the cash-free, debt-free transaction structure. In the second quarter of 2024, the Company recorded negative working capital and other adjustments of $10.1 million, which reduced the net receivable from Gi and was recognized in (gain) loss on sale of EMEA staffing operations in the consolidated statements of earnings. In the second quarter of 2025, the Company received proceeds of $21.8 million in connection with this receivable. The proceeds exceeded the amount previously recorded due to favorable resolution of certain reconciliations under the terms of the purchase agreement. As a result, $4.8 million was recognized in the consolidated statements of earnings in the second quarter of 2025, with $4.0 million recorded in (gain) loss on sale of EMEA staffing operations and $0.8 million recorded in other income (expense), net reflecting foreign currency remeasurements up to the date of settlement. The proceeds are included in investing activities in the consolidated statements of cash flows. The receivable from Gi was fully settled and there was no remaining receivable as of the second quarter-end 2025. In the third quarter of 2025, the Company reassessed the indemnification liability related to the sale (see Fair Value Measurements footnote) and recognized a $0.3 million (gain) loss on sale of EMEA staffing operations in the consolidated statements of earnings.</w:t>
      </w:r>
    </w:p>
    <w:p>
      <w:pPr>
        <w:spacing w:after="0" w:line="1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disposal group did not meet the requirements to be classified as discontinued operations as the sale did not have a material effect on the Company's operations and did not represent a strategic shift in the Company's strategy.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Trade accounts receivable, short-term borrowings, accounts payable, accrued liabilities and accrued payroll and related taxes approximate their fair values due to the short-term maturities of these assets and liabilities. Long-term debt is related to revolving credit agreements and their carrying values approximate fair value as the interest rates are variable and reflect current market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as of third quarter-end 2025 and year-end 2024 in the consolidated balance sheet by fair value hierarchy level, as described below.</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As of Third Quarter-End 2025</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19"/>
                <w:szCs w:val="19"/>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4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 staffing indemnification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 indemnification</w:t>
            </w:r>
          </w:p>
        </w:tc>
        <w:tc>
          <w:tcPr>
            <w:tcW w:w="220" w:type="dxa"/>
            <w:vAlign w:val="bottom"/>
          </w:tcPr>
          <w:p>
            <w:pPr>
              <w:spacing w:after="0"/>
              <w:rPr>
                <w:sz w:val="19"/>
                <w:szCs w:val="19"/>
                <w:color w:val="auto"/>
              </w:rPr>
            </w:pPr>
          </w:p>
        </w:tc>
        <w:tc>
          <w:tcPr>
            <w:tcW w:w="1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color w:val="auto"/>
              </w:rPr>
              <w:t>As of Year-End 2024</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4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 staffing indemnification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 indemnification</w:t>
            </w:r>
          </w:p>
        </w:tc>
        <w:tc>
          <w:tcPr>
            <w:tcW w:w="320" w:type="dxa"/>
            <w:vAlign w:val="bottom"/>
          </w:tcPr>
          <w:p>
            <w:pPr>
              <w:spacing w:after="0"/>
              <w:rPr>
                <w:sz w:val="19"/>
                <w:szCs w:val="19"/>
                <w:color w:val="auto"/>
              </w:rPr>
            </w:pPr>
          </w:p>
        </w:tc>
        <w:tc>
          <w:tcPr>
            <w:tcW w:w="11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Money market funds represent investments in money market funds that hold government securities, all of which are restricted as of third quarter-end 2025 and year-end 2024, and are included in other assets in the consolidated balance sheet. These restricted funds represent cash balances that are required to be maintained to fund disability claims in California. The valuations of money market funds are based on quoted market prices of those accounts as of the respective period 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17, 2024, the Company entered into two interest rate swaps with a notional value of $50.0 million each to manage Secured Overnight Financing Rate (“SOFR”) fluctuations on the securitization facility (see Debt footnote). These contracts were not designated as hedging instruments; therefore, the mark-to-market fair value changes and the cash settlements on the swaps are recognized in earnings. The Company's interest rate swaps were valued with assistance from a third party based on pricing models using observable inputs, such as SOFR forward rates, and are considered level 2 liabilities, which are remeasured quarterly. The 12-month interest rate swap was settled in the second quarter of 2025 (see Debt footnote). As of third quarter-end 2025 and year-end 2024, the Company recorded a liability totaling $0.1 million and $0.4 million, respectively, related to the mark-to-market fair value of the interest rate swaps in accounts payable and accrued liabilities in the consolidated balance sheet. The net gains and losses recorded in other income (expense), net in the consolidated statements of earnings related to these swaps were not significant as of the third quarter-end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Liabilities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third quarter-end 2025 and year-end 2024, the Company had an indemnification liability totaling $1.2 million and $2.0 million, respectively, relating to the sale of the EMEA staffing operations in January 2024, with the decrease attributable to exchange rate fluctuations. In the third quarter of 2025, the indemnification liability was reassessed, and as a result of this reassessment, $0.3 million was recorded in (gain) loss on sale of EMEA staffing operations in the consolidated statements of earnings. The liability is included in other long-term liabilities in the consolidated balance sheet and the associated expense is included in the gain on sale of EMEA staffing operations in the consolidated statements of earnings. As part of the sale, the Company agreed to indemnify the buyer for losses and costs incurred in connection with certain events or occurrences for an indefinite term. The Company's maximum exposure under these indemnifications is not estimable at this time due to uncertainties to potential outcomes and the facts and circumstances involved in the agreement. Management believes the risk of material exposure is remote. The initial valuation of the indemnification liability was established using a discounted cash flow methodology based on probability weighted-average cash flows discounted by weighted-average cost of capital. The valuation, which represents the fair value, is considered a level 3 liability and is measured on a recurring basis.</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third quarter-end 2025, the Company has an indemnification liability totaling $1.0 million in other long-term liabilities, and $1.7 million at year-end 2024, with $0.9 million in accounts payable and accrued liabilities and $0.8 million in other long-term liabilities in the consolidated balance sheet related to the 2020 sale of the Brazil operations. As part of the sale, the Company agreed to indemnify the buyer for losses and costs incurred in connection with certain events or occurrences initiated within a six-year period after closing. The aggregate losses for which the Company will provide indemnification shall not exceed $8.8 million. The valuation of the indemnification liability was established using a discounted cash flow methodology based on probability weighted-average cash flows discounted by weighted-average cost of capital. The valuation, which represents the fair value, is considered a level 3 liability, and is being measured on a recurring basis.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Liabilities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second quarter of 2024, the Company recorded an earnout liability relating to the 2024 acquisition of MRP totaling $3.4 million (see Acquisitions and Disposition footnote). The valuation of the earnout liability was initially established using the Monte Carlo simulation model and represented the fair value and is considered a level 3 liability. The maximum total cash payment related to the earnout liability was $60.0 million. In the fourth quarter of 2024, the liability was reassessed and the fair value was determined to be zero. The earnout period concluded in the first quarter of 2025 and no further liability will be recognized.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 Without Readily Determinable Fair Value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2022, the Company invested in equity securities with an initial investment of $0.4 million, which was included in other assets in the consolidated balance sheet. This investment is measured using the measurement alternative for equity investments without a readily determinable fair value. The measurement alternative represents cost, less impairment, plus or minus observable price changes. In the fourth quarter of 2024, the Company entered into a transaction to sell a portion of its shares and as a result of the sale, the value of the remaining investment was remeasured at $3.5 million as of year-end 2024. As of third quarter-end 2025, the value of the investment was $3.5 million, representing total cost plus observable price changes to date.</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sold its 2.5% interest in PersolKelly Pte. Ltd. for cash proceeds of $6.4 million. The investment was measured using the measurement alternative for equity investments without a readily determinable fair value and had a carrying value of $6.4 million as of year-end 2024 and at the time of the sale, representing total cost plus observable price changes to date. As a result, the sale had no impact on other income (expense), net in the consolidated statements of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256"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In addition to assets that are recorded at fair value on a recurring basis, annual and interim impairment tests may subject the Company’s reporting units with goodwill and long-lived assets to nonrecurring fair value measurement. We perform an annual impairment test for goodwill in the fourth quarter of each year and for long-lived assets whenever events or changes in circumstances indicate that the carrying amount of an asset may not be recoverable.</w:t>
      </w:r>
    </w:p>
    <w:p>
      <w:pPr>
        <w:spacing w:after="0" w:line="1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we concluded that there was a triggering event due to declines in the business performance related to the MRP and Softworld reporting units as a result of dynamic macroeconomic conditions and projected growth rates were revised accordingly. As a result of the MRP and Softworld quantitative assessments, the Company determined that both MRP and Softworld’s estimated fair value of the reporting units no longer exceeded the carrying value. The Company recorded goodwill impairment charges of $102.0 million.</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changes in circumstances were also indicators that the respective long-lived assets may not be recoverable. The Company performed long-lived asset recoverability tests for MRP and Softworld and determined that undiscounted future cash flows exceeded the carrying amount of the asset groups and were recoverable.</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various inputs to the fair value models are considered level 3. The Company engaged third-party valuation specialists and used industry-accepted valuation models and criteria that were reviewed and approved by various levels of management.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 to the Goodwill footnote for additional details on impairment charges related to the third quarter of 2025 as well as the valuation methodologies and inputs used to measure fair value.</w:t>
      </w:r>
    </w:p>
    <w:p>
      <w:pPr>
        <w:spacing w:after="0" w:line="212" w:lineRule="exact"/>
        <w:rPr>
          <w:sz w:val="20"/>
          <w:szCs w:val="20"/>
          <w:color w:val="auto"/>
        </w:rPr>
      </w:pPr>
    </w:p>
    <w:p>
      <w:pPr>
        <w:ind w:right="7660" w:firstLine="8"/>
        <w:spacing w:after="0" w:line="474"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Integration, Realignment and Restructuring 2025 Actions</w:t>
      </w:r>
    </w:p>
    <w:p>
      <w:pPr>
        <w:spacing w:after="0" w:line="2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launched various initiatives aimed at integrating MRP and other prior acquisitions, combining operating segments, and further aligning processes and technology across the Company. The costs incurred related to these integration and realignment initiatives totaled $3.5 million and $20.3 million during the third quarter and September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year-to-date 2025, respectively. For the third quarter 2025, integration and realignment costs consisted of $2.1 million of IT-related charges and $1.4 million of fees and other costs to execute the initiatives. For September year-to-date 2025, integration and realignment costs consisted of $9.1 million of IT-related charges, $6.5 million of severance and $4.7 million of fees and other costs to execute the initiatives. The severance costs incurred as a part of these efforts are primarily accounted for in accordance with ASC 712 </w:t>
      </w:r>
      <w:r>
        <w:rPr>
          <w:rFonts w:ascii="Times New Roman" w:cs="Times New Roman" w:eastAsia="Times New Roman" w:hAnsi="Times New Roman"/>
          <w:sz w:val="18"/>
          <w:szCs w:val="18"/>
          <w:i w:val="1"/>
          <w:iCs w:val="1"/>
          <w:color w:val="auto"/>
        </w:rPr>
        <w:t>Compensation - Nonretirement Postemployment Benefits</w:t>
      </w:r>
      <w:r>
        <w:rPr>
          <w:rFonts w:ascii="Times New Roman" w:cs="Times New Roman" w:eastAsia="Times New Roman" w:hAnsi="Times New Roman"/>
          <w:sz w:val="18"/>
          <w:szCs w:val="18"/>
          <w:color w:val="auto"/>
        </w:rPr>
        <w:t>. The integration and realignment costs are recorded in selling, general and administrative (“SG&amp;A”) expenses in the consolidated statements of earnings.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integration and realignment costs included in SG&amp;A are detailed below for the third quarter and September year-to-date 2025 (in millions):</w:t>
      </w:r>
    </w:p>
    <w:p>
      <w:pPr>
        <w:spacing w:after="0" w:line="5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Third Quarter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IT-related Charges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Fees and Other</w:t>
            </w: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50"/>
        </w:trPr>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3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8"/>
                <w:szCs w:val="18"/>
                <w:color w:val="auto"/>
              </w:rPr>
              <w:t>September Year-to-Date 2025</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IT-related Charges</w:t>
            </w:r>
          </w:p>
        </w:tc>
        <w:tc>
          <w:tcPr>
            <w:tcW w:w="320" w:type="dxa"/>
            <w:vAlign w:val="bottom"/>
          </w:tcPr>
          <w:p>
            <w:pPr>
              <w:spacing w:after="0"/>
              <w:rPr>
                <w:sz w:val="19"/>
                <w:szCs w:val="19"/>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220" w:type="dxa"/>
            <w:vAlign w:val="bottom"/>
          </w:tcPr>
          <w:p>
            <w:pPr>
              <w:spacing w:after="0"/>
              <w:rPr>
                <w:sz w:val="19"/>
                <w:szCs w:val="19"/>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Fees and Other</w:t>
            </w:r>
          </w:p>
        </w:tc>
        <w:tc>
          <w:tcPr>
            <w:tcW w:w="400" w:type="dxa"/>
            <w:vAlign w:val="bottom"/>
          </w:tcPr>
          <w:p>
            <w:pPr>
              <w:spacing w:after="0"/>
              <w:rPr>
                <w:sz w:val="19"/>
                <w:szCs w:val="19"/>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50"/>
        </w:trPr>
        <w:tc>
          <w:tcPr>
            <w:tcW w:w="38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Actions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had no restructuring or transformation charges during the third quarter of 2024. For September year-to-date 2024, the Company incurred $6.4 million of restructuring charges and transformation fees as a continuation of the comprehensive transformation initiative that was announced in the second quarter of 2023. For September year-to-date 2024, transformation activities included $3.3 million of severance and $3.1 million of costs to execute the transformation through the use of an external consultant. The Company's 2024 restructuring actions are complete with no remaining liability as of first quarter-end 2025. No material adjustments are expected to be recorded.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and transformation costs included in SG&amp;A are detailed below for September year-to-date 2024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September Year-to-Date 2024</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7" w:lineRule="exact"/>
              <w:rPr>
                <w:sz w:val="20"/>
                <w:szCs w:val="20"/>
                <w:color w:val="auto"/>
              </w:rPr>
            </w:pPr>
            <w:r>
              <w:rPr>
                <w:rFonts w:ascii="Times New Roman" w:cs="Times New Roman" w:eastAsia="Times New Roman" w:hAnsi="Times New Roman"/>
                <w:sz w:val="18"/>
                <w:szCs w:val="18"/>
                <w:color w:val="auto"/>
                <w:w w:val="99"/>
              </w:rPr>
              <w:t>Transformation</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Costs</w:t>
            </w:r>
          </w:p>
        </w:tc>
        <w:tc>
          <w:tcPr>
            <w:tcW w:w="3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34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Goodwill</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86"/>
        </w:trPr>
        <w:tc>
          <w:tcPr>
            <w:tcW w:w="9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through third quarter-end 2025 are included in the table below (in millions):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1"/>
        </w:trPr>
        <w:tc>
          <w:tcPr>
            <w:tcW w:w="48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SET</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Education</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ETM</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year-end 2023</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adjustments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4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as of year-end 2024</w:t>
            </w:r>
            <w:r>
              <w:rPr>
                <w:rFonts w:ascii="Times New Roman" w:cs="Times New Roman" w:eastAsia="Times New Roman" w:hAnsi="Times New Roman"/>
                <w:sz w:val="23"/>
                <w:szCs w:val="23"/>
                <w:color w:val="auto"/>
                <w:vertAlign w:val="superscript"/>
              </w:rPr>
              <w:t>(1)</w:t>
            </w:r>
          </w:p>
        </w:tc>
        <w:tc>
          <w:tcPr>
            <w:tcW w:w="9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42.8</w:t>
            </w: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adjustments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3"/>
        </w:trPr>
        <w:tc>
          <w:tcPr>
            <w:tcW w:w="4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as of third quarter-end 2025</w:t>
            </w:r>
            <w:r>
              <w:rPr>
                <w:rFonts w:ascii="Times New Roman" w:cs="Times New Roman" w:eastAsia="Times New Roman" w:hAnsi="Times New Roman"/>
                <w:sz w:val="23"/>
                <w:szCs w:val="23"/>
                <w:color w:val="auto"/>
                <w:vertAlign w:val="superscript"/>
              </w:rPr>
              <w:t>(1)</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42.7</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1"/>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80" w:right="920" w:hanging="10"/>
        <w:spacing w:after="0" w:line="229" w:lineRule="auto"/>
        <w:tabs>
          <w:tab w:leader="none" w:pos="36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are net of accumulated impairment losses of $174.8 million and $72.8 million as of third quarter-end of 2025 and year-end 2024, respectively.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the Company changed its reportable segments, which included moving MRP's Sevenstep business from the SET reportable segment to the ETM reportable segment as part of the broader integration of MRP (see Segment Disclosures footnote). Concurrent with this change in reportable segments, the Company reallocated $22.3 million of goodwill related to the Sevenstep business formerly in the SET reportable segment to the ETM reportable segment using a relative fair value approach. The Company tested goodwill for impairment before and after the change in reportable segments and determined no adjustments to goodwill were required as a result of the change.</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goodwill of $3.0 million resulting from the acquisition of CTC during the fourth quarter of 2024 was allocated to the Education reportable segment. In the first quarter of 2025, the Company received a post-close net working capital adjustment of $0.1 million related to the acquisition of CTC. The goodwill of $221.5 million resulting from the acquisition of MRP during the second quarter of 2024 was allocated to the SET reportable segment. During the third quarter of 2024, the Company recorded a $1.4 million liability for a net working capital adjustment related to the acquisition of MRP. The adjustment resulted in a $1.4 million addition of goodwill, which was allocated to the SET reportable segment (see Acquisitions and Disposition footnote).</w:t>
      </w:r>
    </w:p>
    <w:p>
      <w:pPr>
        <w:spacing w:after="0" w:line="2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the Company assessed the continued integration of the MRP and Softworld reporting units, noting that the discrete financial data regularly reviewed by management had changed. As such, the Company combined the MRP and Softworld reporting units with the other legacy SET operations into one SET reporting unit. During the assessment, but before the combination, we concluded that there was a triggering event due to declines in the business performance and revised projected growth rates as a result of dynamic macroeconomic conditions. Therefore, it was necessary to perform step one quantitative tests for both the MRP and Softworld reporting units that comprised the total goodwill balance in the SET reportable segment. As a result of the MRP and Softworld quantitative assessments, the Company determined that both MRP and Softworld’s estimated fair value of the reporting units no longer exceeded the carrying value. The Company recorded an impairment charge of $63.5 million and $38.5 million for MRP and Softworld, respectively, for a total goodwill impairment charge of $102.0 million, which was included in goodwill impairment charge in the consolidated statements of earnings at third quarter-end 2025. Included in the impairment charges were $8.6 million and $9.8 million of tax benefits for MRP and Softworld, respectively, associated with the impairment.</w:t>
      </w:r>
    </w:p>
    <w:p>
      <w:pPr>
        <w:spacing w:after="0" w:line="2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performing the step one quantitative tests and consistent with the Company’s prior practice, we determined the fair value of the MRP and Softworld reporting units using the income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the Company’s internal projection model and reflects management’s outlook for the reporting unit. Assumptions and estimates about future cash flows and discount rates are complex and often subjective. The analysis used the following significant assumptions: expected future revenue growth rates, profit margins and discount rate.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changes in circumstances were also indicators that the respective long-lived assets may not be recoverable. MRP and Softworld have definite-lived intangible assets, consisting of trade names, customer relationships and non-compete agreements, which are amortized over their estimated useful lives. The Company performed long-lived asset recoverability tests for MRP and Softworld and determined that undiscounted future cash flows exceeded the carrying amount of the asset groups and were recoverable.</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the third quarter 2025, following the interim triggering event and post-combination of MRP and Softworld reporting units with the legacy SET operations, the Company performed a step one quantitative test for the combined SET reporting unit and noted no goodwill adjustments were needed as the estimated fair value of the SET reporting unit exceeded the carrying value with a headroom greater than 10%.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 $150.0 million, five-year revolving credit facility (the “Facility”), with a termination date of May 29, 2029. The Facility is available to be used to fund working capital, acquisitions and general corporate needs. The Facility is secured by certain assets of the Company, excluding U.S. trade accounts receivable.</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end of the third quarter of 2025, there were no long-term borrowings under the Facility and a remaining borrowing capacity of $150.0 million. The rates for the Facility, which vary based on the Company's leverage ratio as defined in the agreement, include either (i) the Prime rate plus the applicable margin for the floating line or (ii) a term SOFR for 1-, 3-, or 6-months dependent on the interest election plus a 0.10% margin and the applicable margin for the term benchmark line. At year-end 2024, there were $40.0 million of long-term borrowings on the term benchmark line under the Facility and a remaining borrowing capacity of $110.0 million. To maintain availability of the funds, the Company pays a facility fee on the full amount of the Facility, regardless of usage. The facility fee varies based on the Company’s leverage ratio as defined in the agreement. The Facility, which contains a cross-default clause that could result in termination if defaults occur under the Company's other loan agreements, had a facility fee of 15.0 basis points at the end of the third quarter of 2025 and 20.0 basis points at year-end 2024. The Facility’s financial covenants and restrictions are described below, all of which were met at the end of the third quarter of 2025:</w:t>
      </w:r>
    </w:p>
    <w:p>
      <w:pPr>
        <w:spacing w:after="0" w:line="215" w:lineRule="exact"/>
        <w:rPr>
          <w:sz w:val="20"/>
          <w:szCs w:val="20"/>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a certain minimum interest coverage ratio of earnings before interest, taxes, depreciation, amortization (“EBITDA”) and certain cash and non-cash charges that are non-recurring in nature to interest expense as of the end of any fiscal quarter.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a certain maximum ratio of total indebtedness to the sum of net worth and total indebtedness at all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stock buybacks and similar transactions are limited to certain maximum amounts.</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adhere to other operating restrictions relating to the conduct of business, such as certain limitations on asset sales and the type and scope of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Facility</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a Receivables Purchase Agreement with Kelly Receivables Funding, LLC, a wholly owned bankruptcy remote special purpose subsidiary of the Company (the “Receivables Entity”), related to its $250.0 million, three-year, securitization facility (the “Securitization Facility”). The Receivables Purchase Agreement will terminate May 28, 2027, unless terminated earlier pursuant to its terms.</w:t>
      </w:r>
    </w:p>
    <w:p>
      <w:pPr>
        <w:spacing w:after="0" w:line="20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the Company's other loan agreements, also allows for the issuance of standby letters of credit (“SBLC”) and contains certain restrictions based on the performance of the Receivables.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At the end of the third quarter of 2025, the Securitization Facility had $118.4 million of long-term borrowings, SBLCs of $42.6 million related to workers’ compensation and a remaining borrowing capacity of $89.0 million. The rate for these borrowings includes the adjusted daily SOFR plus a 0.10% margin and a 1.10% utilization rate on the amount of the Company's borrowings. The rate for the SBLCs of 1.10% represents a utilization rate on the outstanding balance. In addition, the Company pays a commitment fee of 40.0 basis points on the unused capacity. At year-end 2024, the Securitization Facility had $199.4 million of long-term borrowings, SBLCs of $46.1 million related to workers’ compensation and a remaining borrowing capacity of $4.5 million.</w:t>
      </w:r>
    </w:p>
    <w:p>
      <w:pPr>
        <w:spacing w:after="0" w:line="19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July 17, 2024, the Company entered into a $50.0 million 12-month interest rate swap and a $50.0 million 18-month interest rate swap that effectively locked in the variable SOFR component of the interest rate for a portion of the long-term borrowings on the Securitization Facility at a fixed rate of 4.772% and 4.468% from the July 17, 2024 effective date through July 17, 2025 and January 17, 2026, respectively. The 12-month interest rate swap was settled early with the final payment made in June 2025. At the end of the third quarter of 2025 and at year-end 2024, the Company recorded a liability totaling $0.1 million and $0.4 million, respectively, related to the mark-to-market fair value of the interest rate swaps (see Fair Value Measurements footnote).</w:t>
      </w:r>
    </w:p>
    <w:p>
      <w:pPr>
        <w:spacing w:after="0" w:line="19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Local Credit Facilities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had total unsecured, uncommitted short-term local credit facilities of $3.1 million at the end of the third quarter of 2025. The Company had no borrowings under these lines at the end of the third quarter of 2025 and at year-end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third quarter and September year-to-date 2025 and 2024 are included in the table below (in millions).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9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September Year-to-Date</w:t>
            </w:r>
          </w:p>
        </w:tc>
      </w:tr>
      <w:tr>
        <w:trPr>
          <w:trHeight w:val="223"/>
        </w:trPr>
        <w:tc>
          <w:tcPr>
            <w:tcW w:w="6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50"/>
        </w:trPr>
        <w:tc>
          <w:tcPr>
            <w:tcW w:w="6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(0.6)</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7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64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7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(Loss) Per Share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reconciliation of basic and diluted earnings (loss) per share on common stock for the third quarter and September year-to-date 2025 and 2024 is as follows (in millions,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September Year-to-Date</w:t>
            </w:r>
          </w:p>
        </w:tc>
      </w:tr>
      <w:tr>
        <w:trPr>
          <w:trHeight w:val="223"/>
        </w:trPr>
        <w:tc>
          <w:tcPr>
            <w:tcW w:w="5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 (millions):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share awards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bl>
    <w:p>
      <w:pPr>
        <w:spacing w:after="0" w:line="3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Due to the Company’s net loss in the third quarter and September year-to-date 2025, potentially dilutive share awards outstanding, primarily related to non-employee directors deferred compensation plan and performance shares (see Stock-Based Compensation footnote for a description of performance shares) of 0.4 million and 0.5 million shares for the third quarter and September year-to-date 2025, respectively, had an anti-dilutive effect on diluted earnings per share and were excluded from the computation. Potentially dilutive share awards for Class A common shares are related to deferred common stock related to the non-employee directors deferred compensation plan and performance shares for the third quarter and September year-to-date 2024. Dividends paid per share for Class A and Class B common stock were $0.075 for the third quarter of 2025 and 2024 and $0.225 for September year-to-date 2025 and 2024.</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$50.0 million Class A share repurchase program that expires on December 2, 2026. During the third quarter and September year-to-date 2025, the Company did not repurchase any Class A shares. A total of $40.0 million remained available under the share repurchase program as of third quarter-end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third quarter of 2025, the Company recognized stock compensation expense of $2.6 million and a related tax benefit of $0.4 million. For the third quarter of 2024, the Company recognized stock compensation expense of $3.3 million and a related tax benefit of $0.7 million. For September year-to-date 2025, the Company recognized stock compensation expense of $9.8 million and a related tax benefit of $1.3 million. For September year-to-date 2024, the Company recognized stock compensation expense of $8.5 million and a related tax benefit of $2.0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Grant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the Company granted performance share awards associated with the Company’s Class A common stock to certain senior officers. The payment of performance share awards is contingent upon the achievement of specific revenue growth and EBITDA margin performance goals over a stated period of time. The maximum number of performance shares that may be earned is 200% of the target shares originally granted. These awards have three one-year performance periods: 2025, 2026 and 2027, with the payout for each performance period based on separate financial measure goals that are set in February of each of the three performance periods. Earned shares during each performance period will cliff vest in February 2028 after approval of the financial results by the Compensation Committee, if not forfeited by the recipient. No dividends are paid on these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summary of the status of all nonvested performance shares at target as of third quarter-end 2025 and the year-to-date changes is presented as follows below (in thousands of shares except per share data). The vesting adjustment in the table below represents a portion of the 2022 performance shares that did not vest because actual achievement was below the threshold level or was not achieved, and resulted in no payout.</w:t>
      </w:r>
    </w:p>
    <w:p>
      <w:pPr>
        <w:spacing w:after="0" w:line="24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Performance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84"/>
        </w:trPr>
        <w:tc>
          <w:tcPr>
            <w:tcW w:w="8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Grant Date Fair</w:t>
            </w:r>
          </w:p>
        </w:tc>
      </w:tr>
      <w:tr>
        <w:trPr>
          <w:trHeight w:val="234"/>
        </w:trPr>
        <w:tc>
          <w:tcPr>
            <w:tcW w:w="8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year-end 2024</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3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9"/>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9"/>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adjustment</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3"/>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third quarter-end 2025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1"/>
        </w:trPr>
        <w:tc>
          <w:tcPr>
            <w:tcW w:w="8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8"/>
          <w:szCs w:val="18"/>
          <w:color w:val="auto"/>
        </w:rPr>
        <w:t>A summary of the status of nonvested restricted stock as of third quarter-end 2025 and the year-to-date changes is presented as follows below (in thousands of shares except per share data).</w:t>
      </w:r>
    </w:p>
    <w:p>
      <w:pPr>
        <w:spacing w:after="0" w:line="2"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Restricted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75"/>
        </w:trPr>
        <w:tc>
          <w:tcPr>
            <w:tcW w:w="8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Grant Date Fair</w:t>
            </w:r>
          </w:p>
        </w:tc>
      </w:tr>
      <w:tr>
        <w:trPr>
          <w:trHeight w:val="243"/>
        </w:trPr>
        <w:tc>
          <w:tcPr>
            <w:tcW w:w="82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5"/>
              </w:rPr>
              <w:t>Shares</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year-end 2024</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3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30"/>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43"/>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third quarter-end 2025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Sale of Assets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10, 2024, the Company sold Ayers Group, a division of the ETM segment, for a purchase price of $7.5 million, subject to final closing adjustments. The Company received cash proceeds of $4.5 million in the second quarter of 2024, representing the purchase price less the value of rights to certain receivables and deferred revenue retained by the Company, net of working capital adjustments in accordance with the agreement. As of the date of the sale, the net carrying value of the assets was a credit balance of $1.0 million. In the third quarter of 2024, a post-close net working capital adjustment of $0.1 million was recorded in (gain) loss on sale of assets in the consolidated statements of earnings. A gain of $5.4 million was recorded in (gain) loss on sale of assets for the nine months ended September 29, 2024 in the consolidated statements of earnings. The sale was a part of the Company's ongoing strategy to further optimize its operating model.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Other Income (Expense), Net</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income (expense), net are the following (in millions):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56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Third Quarter</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September Year-to-Date</w:t>
            </w:r>
          </w:p>
        </w:tc>
      </w:tr>
      <w:tr>
        <w:trPr>
          <w:trHeight w:val="223"/>
        </w:trPr>
        <w:tc>
          <w:tcPr>
            <w:tcW w:w="56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6.4</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(9.1)</w:t>
            </w:r>
          </w:p>
        </w:tc>
      </w:tr>
      <w:tr>
        <w:trPr>
          <w:trHeight w:val="21"/>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Included in Other for September year-to-date 2024 is $7.8 million of transaction costs related to the acquisition of MRP (see Acquisitions and Disposition footnote).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Income tax expense was $46.4 million and income tax benefit was $2.6 million for the third quarter of 2025 and 2024, respectively. Income tax expense was $49.1 million and $2.5 million for September year-to-date 2025 and 2024, respectively. The quarterly and year-to-date variances were driven by the valuation allowance and goodwill impairment charges.</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interim tax provision is calculated using the estimated annual effective tax rate applied to year-to-date income, adjusted for recurring items, such as the amount of pretax income and its mix by jurisdiction, U.S. work opportunity credits and the change in cash surrender value of tax-exempt investments in life insurance policies. It is also adjusted for discrete items that may occur in any given period but are not consistent from period to period, such as tax law changes, changes in judgment regarding the realizability of deferred tax assets and the tax effects of stock compensation. The Company provides valuation allowances against deferred tax assets when it is more likely than not that some portion or all of the deferred tax asset will not be realized.</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third quarter of 2025, the Company recorded a net charge of $69.7 million to establish a valuation allowance against a portion of its work opportunity credit carryforwards. This allowance was established principally due to cumulative losses in recent years, which were driven by goodwill impairment charges. Cumulative losses are a significant piece of negative evidence that limits the ability to consider other evidence, such as projections for future growth. The Company will continue to evaluate the need for the valuation allowances against deferred tax assets on a quarterly basis and may adjust the allowance as circumstances change.</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work opportunity credit program is a temporary provision in the U.S. tax law and expires for employees hired after 2025. While the work opportunity credit has routinely been extended, it is uncertain whether it will again be extended. In the event the program is not renewed, we will continue to receive credits for qualified employees hired prior to 2026.</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multiple changes to the U.S. tax code. The OBBBA did not have any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loss contingencies when the Company believes it is probable that a liability has been incurred and the amount of loss can be reasonably estimated. Such accruals are recorded in accounts payable and accrued liabilities and in accrued workers’ compensation and other claims in the consolidated balance sheet. At third quarter-end 2025 and year-end 2024, the gross accrual for litigation costs amounted to $2.5 million and $1.5 million, respectively.</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third quarter-end 2025 and year-end 2024, there were no related insurance receivables.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aggregate range of reasonably possible losses, in excess of amounts accrued, is zero to $1.7 million as of third quarter-end 2025.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the Company is currently able to estimate a range of loss and does not represent the maximum loss exposure. The estimated range is subject to significant judgment and a variety of assumptions and only based upon currently available information. For other matters, the Company is currently not able to estimate the reasonably possible loss or range of loss.</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While the ultimate outcome of these matters cannot be predicted with certainty, the Company believes that the resolution of any such proceedings will not have a material adverse effect on the Company's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Disclosures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operating segments, which also represent its reportable segments, are based on the organizational structure for which financial results are regularly evaluated by the Company’s chief operating decision-maker (“CODM”, the Company’s CEO) to determine resource allocation and assess performance. In the first quarter of 2025, the Company modified its reportable segments. The Company’s three reportable segments: (1) Enterprise Talent Management, (2) Science, Engineering &amp; Technology, and (3) Education,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combined its former P&amp;I and OCG segments into the ETM segment in the first quarter of 2025, responding to a shift in customer demand toward integrated workforce solutions and enabling a more streamlined and efficient go-to-market approach. The Company also realigned certain customers from the SET segment to the ETM segment to support this integrated strategy. Also in the first quarter of 2025, the Company moved MRP's Sevenstep business from the SET segment to the ETM segment as part of the broader integration of MRP. The 2024 ETM and SET segment information has been recast to conform to the new structure.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adopted Accounting Standards Update (“ASU”) 2023-07, Segment Reporting (Topic 280): Improvements to Reportable Segment Disclosures, in the fourth quarter of 2024 and included the relevant interim disclosures retrospectively for 2024. The following tables present information about the reported revenue from services of the Company by reportable segment, along with a reconciliation to earnings before taxes, for the third quarter and September year-to-date 2025 and 2024. Asset information by reportable segment is not presented since the Company does not produce such information internally nor does it use such information to manage its business.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color w:val="auto"/>
                <w:w w:val="99"/>
              </w:rPr>
              <w:t>Third Quarter 2025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ETM</w:t>
            </w:r>
          </w:p>
        </w:tc>
        <w:tc>
          <w:tcPr>
            <w:tcW w:w="22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salaries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53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SG&amp;A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EMEA staffing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earnings (loss) from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70"/>
        </w:trPr>
        <w:tc>
          <w:tcPr>
            <w:tcW w:w="5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60" w:type="dxa"/>
            <w:vAlign w:val="bottom"/>
            <w:gridSpan w:val="8"/>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Year-to-Date 2025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5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ETM</w:t>
            </w:r>
          </w:p>
        </w:tc>
        <w:tc>
          <w:tcPr>
            <w:tcW w:w="22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w:t>
            </w:r>
          </w:p>
        </w:tc>
        <w:tc>
          <w:tcPr>
            <w:tcW w:w="16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Education</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3,201.7</w:t>
            </w:r>
          </w:p>
        </w:tc>
      </w:tr>
      <w:tr>
        <w:trPr>
          <w:trHeight w:val="270"/>
        </w:trPr>
        <w:tc>
          <w:tcPr>
            <w:tcW w:w="5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2,545.7</w:t>
            </w:r>
          </w:p>
        </w:tc>
      </w:tr>
      <w:tr>
        <w:trPr>
          <w:trHeight w:val="270"/>
        </w:trPr>
        <w:tc>
          <w:tcPr>
            <w:tcW w:w="5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salaries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70"/>
        </w:trPr>
        <w:tc>
          <w:tcPr>
            <w:tcW w:w="5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52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SG&amp;A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EMEA staffing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earnings (loss) from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70"/>
        </w:trPr>
        <w:tc>
          <w:tcPr>
            <w:tcW w:w="5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firstLine="8"/>
        <w:spacing w:after="0" w:line="258" w:lineRule="auto"/>
        <w:tabs>
          <w:tab w:leader="none" w:pos="18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services are those costs directly associated with the earning of revenue. The primary examples of these types of costs are temporary employee wages, along with other employee-related costs, including associated payroll taxes, temporary employee benefits, such as service bonus and holiday pay and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its customers.</w:t>
      </w:r>
    </w:p>
    <w:p>
      <w:pPr>
        <w:spacing w:after="0" w:line="129" w:lineRule="exact"/>
        <w:rPr>
          <w:rFonts w:ascii="Times New Roman" w:cs="Times New Roman" w:eastAsia="Times New Roman" w:hAnsi="Times New Roman"/>
          <w:sz w:val="22"/>
          <w:szCs w:val="22"/>
          <w:color w:val="auto"/>
          <w:vertAlign w:val="superscript"/>
        </w:rPr>
      </w:pPr>
    </w:p>
    <w:p>
      <w:pPr>
        <w:ind w:right="380" w:firstLine="8"/>
        <w:spacing w:after="0" w:line="242" w:lineRule="auto"/>
        <w:tabs>
          <w:tab w:leader="none" w:pos="18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Direct salaries refers to the compensation expenses for employees directly related to the Company’s operations and service delivery. These expenses include salaries, related payroll taxes, severance, various benefits and performance-based incentives and bonuses for these employees.</w:t>
      </w:r>
    </w:p>
    <w:p>
      <w:pPr>
        <w:spacing w:after="0" w:line="123"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both third quarter and September year-to-date 2025, other segment expenses for each reportable segment included:</w:t>
      </w:r>
    </w:p>
    <w:p>
      <w:pPr>
        <w:spacing w:after="0" w:line="143" w:lineRule="exact"/>
        <w:rPr>
          <w:rFonts w:ascii="Times New Roman" w:cs="Times New Roman" w:eastAsia="Times New Roman" w:hAnsi="Times New Roman"/>
          <w:sz w:val="22"/>
          <w:szCs w:val="22"/>
          <w:color w:val="auto"/>
          <w:vertAlign w:val="superscript"/>
        </w:rPr>
      </w:pPr>
    </w:p>
    <w:p>
      <w:pPr>
        <w:ind w:left="660" w:right="20" w:hanging="166"/>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ETM and Education - Shared services costs for IT, human resources, legal and finance support, other professional services and overhead expenses, facilities and equipment-related costs, and operational software licenses.</w:t>
      </w:r>
    </w:p>
    <w:p>
      <w:pPr>
        <w:spacing w:after="0" w:line="107" w:lineRule="exact"/>
        <w:rPr>
          <w:rFonts w:ascii="Times New Roman" w:cs="Times New Roman" w:eastAsia="Times New Roman" w:hAnsi="Times New Roman"/>
          <w:sz w:val="18"/>
          <w:szCs w:val="18"/>
          <w:color w:val="auto"/>
        </w:rPr>
      </w:pPr>
    </w:p>
    <w:p>
      <w:pPr>
        <w:ind w:left="660" w:right="320" w:hanging="166"/>
        <w:spacing w:after="0" w:line="282"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 Shared services costs for IT, human resources, legal and finance support, other professional services and overhead expenses, operational software licenses, and facilities and equipment-related costs.</w:t>
      </w:r>
    </w:p>
    <w:p>
      <w:pPr>
        <w:spacing w:after="0" w:line="8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total company depreciation and amortization of intangibles, including the amortization of hosted software.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color w:val="auto"/>
                <w:w w:val="99"/>
              </w:rPr>
              <w:t>Third Quarter 2024</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ETM</w:t>
            </w:r>
          </w:p>
        </w:tc>
        <w:tc>
          <w:tcPr>
            <w:tcW w:w="22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salaries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70"/>
        </w:trPr>
        <w:tc>
          <w:tcPr>
            <w:tcW w:w="53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SG&amp;A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earnings from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5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forward contract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8"/>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Year-to-Date 2024</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ETM</w:t>
            </w:r>
          </w:p>
        </w:tc>
        <w:tc>
          <w:tcPr>
            <w:tcW w:w="22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r>
      <w:tr>
        <w:trPr>
          <w:trHeight w:val="270"/>
        </w:trPr>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salaries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70"/>
        </w:trPr>
        <w:tc>
          <w:tcPr>
            <w:tcW w:w="53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SG&amp;A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EMEA staffing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earnings from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0"/>
        </w:trPr>
        <w:tc>
          <w:tcPr>
            <w:tcW w:w="5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forward contract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taxes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firstLine="8"/>
        <w:spacing w:after="0" w:line="258" w:lineRule="auto"/>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services are those costs directly associated with the earning of revenue. The primary examples of these types of costs are temporary employee wages, along with other employee-related costs, including associated payroll taxes, temporary employee benefits, such as service bonus and holiday pay and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its customers.</w:t>
      </w:r>
    </w:p>
    <w:p>
      <w:pPr>
        <w:spacing w:after="0" w:line="129" w:lineRule="exact"/>
        <w:rPr>
          <w:rFonts w:ascii="Times New Roman" w:cs="Times New Roman" w:eastAsia="Times New Roman" w:hAnsi="Times New Roman"/>
          <w:sz w:val="22"/>
          <w:szCs w:val="22"/>
          <w:color w:val="auto"/>
          <w:vertAlign w:val="superscript"/>
        </w:rPr>
      </w:pPr>
    </w:p>
    <w:p>
      <w:pPr>
        <w:ind w:right="380" w:firstLine="8"/>
        <w:spacing w:after="0" w:line="242" w:lineRule="auto"/>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Direct salaries refers to the compensation expenses for employees directly related to the Company’s operations and service delivery. These expenses include salaries, related payroll taxes, severance, various benefits and performance-based incentives and bonuses for these employees.</w:t>
      </w:r>
    </w:p>
    <w:p>
      <w:pPr>
        <w:spacing w:after="0" w:line="123"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both third quarter and September year-to-date 2024, other segment expenses for each reportable segment included:</w:t>
      </w:r>
    </w:p>
    <w:p>
      <w:pPr>
        <w:spacing w:after="0" w:line="143" w:lineRule="exact"/>
        <w:rPr>
          <w:rFonts w:ascii="Times New Roman" w:cs="Times New Roman" w:eastAsia="Times New Roman" w:hAnsi="Times New Roman"/>
          <w:sz w:val="22"/>
          <w:szCs w:val="22"/>
          <w:color w:val="auto"/>
          <w:vertAlign w:val="superscript"/>
        </w:rPr>
      </w:pPr>
    </w:p>
    <w:p>
      <w:pPr>
        <w:ind w:left="660" w:right="660" w:hanging="166"/>
        <w:spacing w:after="0" w:line="282"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services costs for IT, human resources, legal and finance support, other professional services and overhead expenses, facilities and equipment-related costs, and operational software licenses.</w:t>
      </w:r>
    </w:p>
    <w:p>
      <w:pPr>
        <w:spacing w:after="0" w:line="8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total company depreciation and amortization of intangibles, including the amortization of hosted software.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KELLY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is included in SG&amp;A expenses in the consolidated statements of earnings. Depreciation and amortization expense amounts below include amortization of implementation costs for hosted software, which are excluded in the presentation of depreciation and amortization in the consolidated statements of cash flows. The depreciation and amortization amounts by segment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September Year-to-Date</w:t>
            </w:r>
          </w:p>
        </w:tc>
      </w:tr>
      <w:tr>
        <w:trPr>
          <w:trHeight w:val="223"/>
        </w:trPr>
        <w:tc>
          <w:tcPr>
            <w:tcW w:w="48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4"/>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Education</w:t>
            </w:r>
          </w:p>
        </w:tc>
        <w:tc>
          <w:tcPr>
            <w:tcW w:w="10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New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This ASU simplifies and modernizes guidance for internal-use software by clarifying capitalization thresholds, improving comparability and reducing judgment diversity across all software development methodologies. This ASU is effective for annual reporting periods beginning after December 15, 2027, with early adoption permitted. The Company is currently evaluating the impact of the new guidance on its consolidated financial statements and related disclosures.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ASU allows for a practical expedient to be used when estimating expected credit losses on current accounts receivable and/or current contract assets arising from transactions under Topic 606. The new guidance will be effective for annual periods beginning after December 15, 2025, with early adoption permitted. This ASU applies to trade accounts receivable and may have an impact on the calculation of the allowance for uncollectible accounts receivable. The Company is currently evaluating the impact of the new guidance on its consolidated financial statements and related disclosures.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Comprehensive income (Topic 220): Disaggregation of Income Statement Expenses. This ASU requires additional information about certain expense categories in the notes to financial statements. The new guidance will be effective for annual periods beginning after December 15, 2026, with early adoption permitted. The Company is currently evaluating the impact of the new guidance on its consolidated financial statements and related disclosures.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to enhance income tax disclosures primarily through changes to the rate reconciliation and income taxes paid information. This ASU is effective for annual reporting periods beginning after December 15, 2024, with early adoption permitted. The Company is currently evaluating the impact of the new guidance on its consolidated financial statements and related disclosures.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modifies several disclosure and presentation requirements in the FASB accounting standard codification to align them with the SEC regulations. The effective date for each amendment will be the date on which the SEC's removal of that related disclosure from Regulation S-X or Regulation S-K becomes effective, with early adoption permitted, by June 30, 2027. For any amendments in which the SEC has not yet removed the applicable requirement from their regulations by June 30, 2027, the pending content of the related amendment in the FASB codification will not be effective. The Company does not expect this update to have a material impact to its consolidated financial statements.</w:t>
      </w: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Management has evaluated other recently issued accounting pronouncements and does not believe that any of these pronouncements will have a significant impact on the Company's consolidated financial statements and related disclosures.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third quarter, Kelly continued to capture growth in more resilient markets. The Education segment delivered revenue growth driven by continued demand in the K-12 staffing and pediatric therapy specialties. In SET, demand for engineering and telecom workforce solutions remained robust driven by investments in large capital projects such as data centers. Payroll process outsourcing continued to be a source of strength within the ETM segment’s talent solutions offerings and delivered revenue growth over the prior year.</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Kelly’s results also reflect reduced volumes in parts of our portfolio driven by lower demand among certain large customers and a more measured approach to hiring among employers in some sectors, primarily in response to the dynamic macroeconomic environment. Results in ETM continued to be impacted by demand reductions among three large customers, which Kelly disclosed in the second quarter. Staffing volumes in ETM and SET associated with the U.S. federal government, which were materially reduced beginning in the first quarter of 2025 as a result of government efficiency actions, continued to trend lower in the third quarter. Throughout the third quarter, Kelly maintained its commitment to aligning resources with demand and took a disciplined approach to expense management to address these dynamics.</w:t>
      </w:r>
    </w:p>
    <w:p>
      <w:pPr>
        <w:spacing w:after="0" w:line="21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Kelly navigated a dynamic environment in the third quarter, the Company remained focused on positioning itself for the future. Kelly continued to refine its go-to-market strategy with large enterprise customers and within SET, enhancing service delivery to improve the customer experience. The Company also made further progress toward modernizing its front- and back-office systems within SET, leveraging MRP’s leading technology stack to consolidate disparate platforms, reduce complexity, and drive efficiency.</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Kelly’s ability to capture growth in more resilient markets in the third quarter reflects the Company’s diversified portfolio of specialty businesses, each with industry leading positions and differentiated offerings. As the demand environment continues to evolve, the Company will remain agile in pursuit of profitable growth and committed to long-term value creation.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percentage changes were computed based on actual amounts in thousands of dollars.</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EBITDA (earnings before interest, taxes, depreciation and amortization) and EBITDA margin (EBITDA divided by revenue from services) are measures used for understanding our ability to generate cash flow and for judging overall operating performance. EBITDA measures are non-GAAP (U.S.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NM (not meaningful) in the following tables is used in place of percentage changes where: the change is in excess of 500%, the change involves a comparison between earnings and loss amounts, or the comparison amount is zero.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Total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September Year-to-Date</w:t>
            </w: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SG&amp;A expenses excluding integration,</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realignment, and restructuring charges</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depreciation and amortization</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Integration, realignment and</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SG&amp;A expenses excluding</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expenses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loss on sale of EMEA staffing</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forward contract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taxes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 %</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rate</w:t>
            </w: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6"/>
                <w:szCs w:val="16"/>
                <w:color w:val="auto"/>
              </w:rPr>
              <w:t>pts.</w:t>
            </w: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40" w:type="dxa"/>
            <w:vAlign w:val="bottom"/>
            <w:tcBorders>
              <w:top w:val="single" w:sz="8" w:color="CCEEFF"/>
            </w:tcBorders>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Borders>
              <w:top w:val="single" w:sz="8" w:color="CCEEFF"/>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tcBorders>
              <w:top w:val="single" w:sz="8" w:color="CCEEFF"/>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CCEEFF"/>
            </w:tcBorders>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tcBorders>
              <w:top w:val="single" w:sz="8" w:color="CCEEFF"/>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CCEEFF"/>
            </w:tcBorders>
            <w:vMerge w:val="continue"/>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pts.</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Revenue from services in the third quarter decreased 9.9% year-over-year with decreases in the ETM and SET segments, partially offset by an increase in the Education segment. Compared to the third quarter of 2024, revenue from staffing services decreased 10.3% and revenue from outcome-based services decreased 13.1%. Revenue from talent solutions decreased 1.4% and permanent placement revenue decreased 13.2% from the prior year.</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Gross profit decreased 12.5%, primarily driven by lower revenue volume. The gross profit rate decreased 60 basis points to 20.8%, primarily due to a 50 basis point decrease due to employee-related costs and a 10 basis point decrease related to business mix.</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Total SG&amp;A expenses decreased 11.2%, primarily due to expense management actions to reduce volume-related costs and reflects the benefits of the ongoing integration and realignment efforts. SG&amp;A expenses in the third quarter of 2025 include $3.1 million of integration and realignment costs related to initiatives to integrate MRP and other prior acquisitions, consolidating operating segments, and further aligning processes and technology across the Company, $0.8 million of executive transition charges and $0.4 million of transaction costs related to the sale of our EMEA staffing operations. Included in SG&amp;A expenses in the third quarter of 2024 were $6.1 million of integration and realignment costs related to initiatives to integrate MRP and aligning Company processes and $0.2 million of transformation and restructuring adjustments relating to 2023 initiatives and $3.1 million of transaction-related costs arising from the sale of our EMEA staffing operations and acquisition of MRP. Excluding integration and realignment, transaction, executive transition, restructuring and transformation charges, and depreciation and amortization, SG&amp;A expenses decreased 9.2% from the prior year.</w:t>
      </w: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loss from operations in the third quarter was primarily due to the goodwill impairment charges driven by reduced demand, integration of MRP and Softworld acquisitions and realignment of reporting units in the SET segment.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Income tax expense was $46.4 million for the third quarter of 2025 compared to an income tax benefit of $2.6 million for the third quarter of 2024, with the change primarily driven by the valuation allowance and goodwill impairment charges.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Year-to-Date Results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from services in the first nine months of 2025 increased 1.9%, which was primarily driven by the acquisition of MRP in May 2024. Excluding the impact from the acquisitions, revenue from services decreased 4.2% year-over-year with decreases in the ETM and SET segments, partially offset by an increase in the Education segment. Compared to the first nine months of 2024 and excluding the impact from the acquisitions, revenue from staffing services decreased 4.3% and revenue from outcome-based services decreased 6.2% from the prior year. Revenue from talent solutions increased 1.8% and permanent placement revenue decreased 19.0% from the prior year, excluding the impact from the acquisition.</w:t>
      </w:r>
    </w:p>
    <w:p>
      <w:pPr>
        <w:spacing w:after="0" w:line="21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Gross profit increased 2.3%, largely driven by the acquisition of MRP. Excluding the impact from the acquisition, gross profit decreased 6.3%. The gross profit rate increased 10 basis points to 20.5%, primarily due to a 50 basis point increase due to the acquisition of MRP, partially offset by a 30 basis point decrease related to business mix and other and a 10 basis point decrease related to lower permanent placement fees. The gross profit rate decreased in the ETM and SET segments, excluding the MRP acquisition, and increased in the Education segment.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Total SG&amp;A expenses increased 4.4%, primarily due to the acquisition of MRP. Excluding the impact of the acquisition, SG&amp;A expenses decreased 3.9%. SG&amp;A expenses in the first nine months of 2025 include $19.8 million of integration and realignment costs related to initiatives to integrate MRP and other prior acquisitions, consolidating operating segments, and further aligning processes and technology across the Company, $1.3 million of executive transition charges and $0.8 million of transaction costs, of which $0.5 million were related to the sale of our EMEA staffing operations. Included in SG&amp;A expenses in the first nine months of 2024 were $12.5 million of integration costs related to initiatives to integrate MRP and aligning Company processes and transformation and restructuring charges relating to 2023 initiatives, and $10.3 million of transaction costs related to the sale of our EMEA staffing operations. Excluding the impact from the acquisition, as well as integration and realignment, transaction, executive transition, restructuring and transformation charges, and depreciation and amortization, SG&amp;A expenses were down 2.9% from the prior year.</w:t>
      </w: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loss from operations in the first nine months of 2025 was primarily due to the goodwill impairment charges driven by reduced demand, integration of MRP and Softworld acquisitions and realignment of reporting units in the SET segment.</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gain on sale of EMEA staffing operations relates to the January 2024 sale. In the first nine months of 2025, we recognized a gain of $4.3 million upon the settlement of working capital and other adjustments and previously recognized a gain of $1.6 million in the first nine months of 2024. The gain on sale of assets represents the sale of Ayers Group in the second quarter of 2024 for which we recognized a gain of $5.4 million in the first nine months of 2024.</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Income tax expense was $49.1 million for the first nine months of 2025 compared to an income tax expense of $2.5 million for the first nine months of 2024, with the change primarily driven by the valuation allowance and goodwill impairment charges.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Year-to-Date</w:t>
            </w:r>
          </w:p>
        </w:tc>
        <w:tc>
          <w:tcPr>
            <w:tcW w:w="360" w:type="dxa"/>
            <w:vAlign w:val="bottom"/>
            <w:tcBorders>
              <w:bottom w:val="single" w:sz="8" w:color="auto"/>
            </w:tcBorders>
          </w:tcPr>
          <w:p>
            <w:pPr>
              <w:spacing w:after="0"/>
              <w:rPr>
                <w:sz w:val="20"/>
                <w:szCs w:val="20"/>
                <w:color w:val="auto"/>
              </w:rPr>
            </w:pPr>
          </w:p>
        </w:tc>
      </w:tr>
      <w:tr>
        <w:trPr>
          <w:trHeight w:val="223"/>
        </w:trPr>
        <w:tc>
          <w:tcPr>
            <w:tcW w:w="3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shd w:val="clear" w:color="auto" w:fill="CCEEFF"/>
          </w:tcPr>
          <w:p>
            <w:pPr>
              <w:spacing w:after="0"/>
              <w:rPr>
                <w:sz w:val="19"/>
                <w:szCs w:val="19"/>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3"/>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decrease in ETM revenue of 13.1% was primarily related to a decrease of 16.4% in staffing services resulting from lower hours volume primarily at certain large customers and a decrease of 17.2% from outcome-based services primarily due to the ramping down of a large contact-center customer that has fully ended as of the third quarter of 2025. Permanent placement fees decreased 19.5%, reflecting lower market demand.</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decrease in SET revenue from services of 9.0% was primarily driven by declines in hours volume in our staffing specialties largely from changes in demand related to U.S. federal government contractors. Revenue in our outcome-based services decreased 8.4% primarily due to lower project demand including from the U.S. Federal Government. Permanent placement fees decreased 13.3%, reflecting continued lower market demand.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Education revenue from services was driven primarily by the impact of ongoing improved fill rates.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Year-to-Date Results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ETM revenue includes the impact from the acquisition of Sevenstep, the MRP talent solutions business. Revenue excluding the acquisition decreased 6.1%. Revenue from staffing services decreased 8.7%, resulting from lower hours volume primarily at certain large customers and revenue from outcome-based services decreased 7.2%, primarily due to the ramping down of a large contact-center customer that has fully ended as of the third quarter of 2025, which was offset by an increase of 1.8% in talent solutions, excluding the acquisition.</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SET revenue from services was primarily driven by the acquisition of MRP staffing and outcome-based solutions businesses. Excluding the acquisition, revenue from services decreased 8.2%, primarily driven by declines in hours volume in our staffing specialties largely from changes in demand related to U.S. federal government contractors. Excluding the acquisition, revenue in our outcome-based services decreased 4.7%. Permanent placement fees decreased, reflecting continued lower market demand.</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increase in Education revenue from services was driven by the impact of higher fill rates and higher bill rates on stable demand for our services as compared to a year ago, partially offset by the impact of weather-related school closures early in the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Year-to-Date</w:t>
            </w:r>
          </w:p>
        </w:tc>
        <w:tc>
          <w:tcPr>
            <w:tcW w:w="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6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80" w:type="dxa"/>
            <w:vAlign w:val="bottom"/>
            <w:shd w:val="clear" w:color="auto" w:fill="CCEEFF"/>
          </w:tcPr>
          <w:p>
            <w:pPr>
              <w:spacing w:after="0"/>
              <w:rPr>
                <w:sz w:val="19"/>
                <w:szCs w:val="19"/>
                <w:color w:val="auto"/>
              </w:rPr>
            </w:pPr>
          </w:p>
        </w:tc>
      </w:tr>
      <w:tr>
        <w:trPr>
          <w:trHeight w:val="229"/>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tcBorders>
              <w:bottom w:val="single" w:sz="8" w:color="CCEEFF"/>
            </w:tcBorders>
          </w:tcPr>
          <w:p>
            <w:pPr>
              <w:spacing w:after="0"/>
              <w:rPr>
                <w:sz w:val="19"/>
                <w:szCs w:val="19"/>
                <w:color w:val="auto"/>
              </w:rPr>
            </w:pPr>
          </w:p>
        </w:tc>
      </w:tr>
      <w:tr>
        <w:trPr>
          <w:trHeight w:val="248"/>
        </w:trPr>
        <w:tc>
          <w:tcPr>
            <w:tcW w:w="3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Rate: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(0.6) pts.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9"/>
                <w:szCs w:val="19"/>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 pts.</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Borders>
              <w:bottom w:val="single" w:sz="8" w:color="CCEEFF"/>
            </w:tcBorders>
          </w:tcPr>
          <w:p>
            <w:pPr>
              <w:spacing w:after="0"/>
              <w:rPr>
                <w:sz w:val="19"/>
                <w:szCs w:val="19"/>
                <w:color w:val="auto"/>
              </w:rPr>
            </w:pPr>
          </w:p>
        </w:tc>
      </w:tr>
      <w:tr>
        <w:trPr>
          <w:trHeight w:val="248"/>
        </w:trPr>
        <w:tc>
          <w:tcPr>
            <w:tcW w:w="3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(0.6) pts.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pts.</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Gross profit for ETM decreased on lower revenue volume. Factors impacting the gross profit rate included the impact of higher employee-related costs, partially offset by changes in business mix, which reduced the gross profit rate by 60 basis points.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SET gross profit decreased on lower revenue volume. Factors impacting the gross profit rate included the impact of changes in business mix and higher employee-related costs, which reduced the gross profit rate by 70 basis points and a 10 basis point decrease as a result of lower permanent placement fees.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profit for the Education segment increased on higher revenue volume. Factors impacting the gross profit rate included the impact of lower employee-related costs, which increased the gross profit rate by 10 basis points and a 10 basis point increase as a result of higher permanent placement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Year-to-Date Results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Gross profit for the ETM segment decreased on lower revenue volume. Factors impacting the gross profit rate included the impact of changes in business mix and higher employee-related costs, which reduced the gross profit rate by 40 basis points, partially offset by a 10 basis point increase due to the addition of the Sevenstep business.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SET gross profit increased primarily due to the acquisition of the MRP staffing and outcome-based solutions businesses. SET gross profit rate is flat compared to prior year and reflects the benefit of the MRP acquisition, which generates higher gross profit rates, offset by lower permanent placement fees and unfavorable changes in business mix.</w:t>
      </w:r>
    </w:p>
    <w:p>
      <w:pPr>
        <w:spacing w:after="0" w:line="20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Gross profit for the Education segment increased 20 basis points on higher revenue volume. The gross profit rate increased due primarily to lower employee-related costs.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Year-to-Date</w:t>
            </w:r>
          </w:p>
        </w:tc>
        <w:tc>
          <w:tcPr>
            <w:tcW w:w="340" w:type="dxa"/>
            <w:vAlign w:val="bottom"/>
            <w:tcBorders>
              <w:bottom w:val="single" w:sz="8" w:color="auto"/>
            </w:tcBorders>
          </w:tcPr>
          <w:p>
            <w:pPr>
              <w:spacing w:after="0"/>
              <w:rPr>
                <w:sz w:val="20"/>
                <w:szCs w:val="20"/>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55"/>
        </w:trPr>
        <w:tc>
          <w:tcPr>
            <w:tcW w:w="35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SG&amp;A Expenses (excluding depreciation and</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shd w:val="clear" w:color="auto" w:fill="CCEEFF"/>
          </w:tcPr>
          <w:p>
            <w:pPr>
              <w:spacing w:after="0"/>
              <w:rPr>
                <w:sz w:val="19"/>
                <w:szCs w:val="19"/>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9"/>
                <w:szCs w:val="19"/>
                <w:color w:val="auto"/>
              </w:rPr>
            </w:pPr>
          </w:p>
        </w:tc>
      </w:tr>
      <w:tr>
        <w:trPr>
          <w:trHeight w:val="223"/>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decrease in ETM SG&amp;A expenses excluding depreciation and amortization was primarily due to lower employee-related costs as a result of expense management actions in response to lower revenue volume compared to the prior year.</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decrease in SET SG&amp;A expenses excluding depreciation and amortization was primarily due to lower employee-related costs as a result of expense management actions in response to lower revenue volume compared to the prior year.</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Education SG&amp;A expenses excluding depreciation and amortization primarily related to increased costs to support year-over-year revenue growth.</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Corporate expenses was primarily driven by lower employee-related costs, integration and realignment charges and transaction costs in the third quarter of 2025 as compared to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Year-to-Date Results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decrease in ETM SG&amp;A expenses excluding depreciation and amortization was primarily due to lower employee-related costs as a result of expense management actions in response to lower revenue volume compared to the prior year, partially offset by the addition of the Sevenstep business and integration and realignment charges. Excluding the acquisition, expenses decreased 4.4% from the prior year.</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increase in SET SG&amp;A expenses excluding depreciation and amortization was primarily due to the acquisition of MRP. Excluding the acquisition, expenses decreased 4.4% from the prior year.</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Education SG&amp;A expenses excluding depreciation and amortization primarily related to increased costs to support year-over-year revenue growth.</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decrease in Corporate expenses was primarily driven by lower employee-related costs and transaction costs, partially offset by an increase in integration and realignment charges in the first nine months of 2025 as compared to prior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September Year-to-Date</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52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Unit Profit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5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5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impairment charge</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3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Gain (loss) on sale of EMEA staffing</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52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Consolidated Total Earnings (loss) from</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 %</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ETM reported profit decreased versus the prior year primarily due to lower revenue and gross profit, partially offset by lower SG&amp;A expenses.</w:t>
      </w:r>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SET reported profit (loss) decreased versus the prior year primarily due to the goodwill impairment charge. Excluding the goodwill impairment charge, SET reported profit was flat compared to the prior year.</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Education reported profit decreased versus the prior year primarily driven by an increase in SG&amp;A expenses, partially offset by higher revenue and gross profit.</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Corporate expenses decreased over the prior year primarily driven by lower employee-related costs, integration and realignment charges and transaction costs in the third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Year-to-Date Results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ETM reported profit decreased versus the prior year primarily due to lower revenue and gross profit, partially offset by lower SG&amp;A expenses. These results include the impact from the addition of the Sevenstep business.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SET reported profit (loss) decreased versus the prior year primarily due to the goodwill impairment charge. Excluding the impairment charge, SET profit was up 2.4% from the prior year. Excluding the MRP acquisition and goodwill impairment charge, the decrease in profit was due primarily to lower revenue and gross profit.</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Education reported profit increased versus the prior year primarily driven by higher revenue and gross profit, partially offset by an increase in SG&amp;A expenses.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Corporate expenses decreased over the prior year primarily driven by lower employee-related costs and transaction costs, partially offset by an increase in integration and realignment charges in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Historically, we have financed our operations through cash generated by operating activities and access to credit markets. Our working capital requirements are primarily generated from temporary employee payroll, which is generally paid weekly, and customer accounts receivable, which is generally outstanding for longer periods. Since receipts from customers lag payroll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We also experience seasonal reductions in working capital usage in our Education business related to the summer school holidays.</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totaled $35.4 million at the end of the third quarter of 2025 and $45.6 million at year-end 2024. As further described below, we generated $94.0 million of cash from operating activities, generated $21.9 million of cash from investing activities and used $131.4 million of cash for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first nine months of 2025, we generated $94.0 million of net cash from operating activities, as compared to generating $11.9 million in the first nine months of 2024, primarily due to decreased working capital requirements as compared to the same period of the prior year.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Trade accounts receivable totaled $1.2 billion at the end of the third quarter of 2025. Global DSO was 66 days at the end of the third quarter of 2025 and 59 days at year-end 2024.</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working capital position (total current assets less total current liabilities) was $473.3 million at the end of the third quarter of 2025, a decrease of $65.7 million from year-end 2024. Excluding the decrease in cash, working capital decreased $56.8 million from year-end 2024, primarily driven by the use of cash to pay down long-term debt. The current ratio (total current assets divided by total current liabilities) was 1.6 at the end of the third quarter of 2025 and 1.7 at year-end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first nine months of 2025, we generated $21.9 million of cash from investing activities, as compared to using $355.5 million in the first nine months of 2024. Included in cash from investing activities in the first nine months of 2025 is $21.8 million of cash from the sale of EMEA staffing operations and $6.4 million of cash from the sale of the PersolKelly investment, partially offset by $6.8 million of cash used for capital expenditures. Included in the cash used for investing activities in the first nine months of 2024 is $427.4 million used for the acquisition of MRP, $9.1 million of cash used for capital expenditures and a $2.4 million payment for the settlement of forward contracts. These outflows were partially offset by $77.1 million of proceeds from the sale of EMEA staffing operations, net of cash disposed, and $4.3 million of proceeds from the sale of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used $131.4 million of cash for financing activities in the first nine months of 2025, as compared to generating $217.3 million in the first nine months of 2024. The change in cash used for financing activities was primarily driven by net payments of $121.0 million on our credit facilities in 2025 compared to net proceeds of $228.2 million on our credit facilities in 2024. Dividends paid per common share were $0.075 in each of the first three quarters of 2025 and 2024.</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Debt-to-total capital (total debt reported in the consolidated balance sheet divided by total debt plus stockholders’ equity) is a common ratio to measure the relative capital structure and leverage of the Company. Our ratio of debt-to-total capital was 9.1% at the end of the third quarter of 2025 and 16.2% at year-end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in our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to our contractual obligations and commercial commitments from those disclosed in the section “Management’s Discussion and Analysis of Financial Condition and Results of Operations” in our 2024 Form 10-K. We have no material unrecorded commitments, losses, contingencies or guarantees associated with any related parties or unconsolidated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meet our ongoing short-term and long-term cash requirements principally through cash generated from operations, available cash and equivalents and our credit facilities. Additional funding sources could include additional bank facilities or sale of non-core assets. To meet significant cash requirements related to our nonqualified retirement plan, we may utilize proceeds from Company-owned life insurance policies.</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historically managed our cash and debt closely to optimize our capital structure. As our cash balances build, we tend to pay down debt as appropriate, unless it is needed for organic or inorganic investments that align with our overall growth strategy. Conversely, when working capital needs grow, we tend to use corporate cash and cash available in the global cash pooling arrangement (the “Cash Pool”) first, and then access our borrowing facilities. We expect our working capital requirements to increase if demand for our services increases.</w:t>
      </w:r>
    </w:p>
    <w:p>
      <w:pPr>
        <w:spacing w:after="0" w:line="20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assess and monitor our liquidity and capital resources globally. We use the Cash Pool, intercompany loans, dividends, capital contributions, and local lines of credit to meet funding needs and allocate our capital resources among our various subsidiaries. We periodically review our foreign subsidiaries’ cash balances and projected cash needs. As part of those reviews, we may identify cash that we feel should be repatriated to optimize our overall capital structure. As of the end of the third quarter of 2025, these reviews have not resulted in specific plans to repatriate a majority of our international cash balances. Following the sale of our EMEA staffing operations completed in the first quarter of 2024, discussed below, we continue to provide MSP, RPO and Functional Service Provider solutions in the EMEA region. Therefore, we expect much of our remaining international cash will be needed to fund working capital growth in our local operations.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third quarter-end 2025, we had $150.0 million of available capacity on our $150.0 million revolving credit facility and $89.0 million of available capacity on our $250.0 million securitization facility. The revolving credit facility carried no long-term borrowings on the floating or term benchmark lines of credit. The securitization facility carried $118.4 million of long-term borrowings and $42.6 million of standby letters of credit related to workers’ compensation. The credit facilities also include an accordion feature to increase our combined borrowing capacity by $250.0 million.</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Together, the revolving credit and securitization facilities provide us with committed funding capacity that may be used for general corporate purposes subject to financial covenants and restrictions. We believe our cash flow from operations, the availability of liquidity under our credit facilities, including the accordion feature which allows us to increase our borrowing capacity and our ability to access capital from financial markets will be sufficient to meet our anticipated cash requirements, while maintaining sufficient liquidity for normal operating purposes. As of third quarter-end 2025, we met the debt covenants related to our revolving credit facility and securitization facility.</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third quarter-end of 2025, we had additional unsecured, uncommitted short-term local credit facilities totaling $3.1 million, under which we had no borrowings. Details of our debt facilities are contained in the Debt footnote in the notes to our consolidated financial statements.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monitor the credit ratings of our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statements contained in this report and in our investor conference call related to these results are “forward-looking” statements within the meaning of the applicable securities laws and regulations. Forward-looking statements include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0" w:name="page41"/>
    <w:bookmarkEnd w:id="40"/>
    <w:p>
      <w:pPr>
        <w:ind w:right="40"/>
        <w:spacing w:after="0" w:line="255" w:lineRule="auto"/>
        <w:rPr>
          <w:sz w:val="20"/>
          <w:szCs w:val="20"/>
          <w:color w:val="auto"/>
        </w:rPr>
      </w:pPr>
      <w:r>
        <w:rPr>
          <w:rFonts w:ascii="Times New Roman" w:cs="Times New Roman" w:eastAsia="Times New Roman" w:hAnsi="Times New Roman"/>
          <w:sz w:val="18"/>
          <w:szCs w:val="18"/>
          <w:color w:val="auto"/>
        </w:rPr>
        <w:t>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them, except as required by law.</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(i) changing market and economic conditions, (ii) disruption in the labor market and weakened demand for human capital resulting from technological advances,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dependency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whether as a result of new information, future events, or otherwise, except as required by law. Certain risk factors are discussed more fully under “Risk Factors” in Part I, Item 1A of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to our exposure management and procedures in relation to our market risk, foreign currency risk, and interest rate risk and procedures during the third quarter of 2025 as compared to the respective risk exposures and procedures disclosed in Quantitative and Qualitative Disclosures About Market Risk, set forth in Part II Item 7A, of our Annual Report on Form 10-K for the year ended December 29, 2024, other than factors discussed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and euro generally do not impact local cash flows. Intercompany transactions which create foreign currency risk include services, royalties, loans, contributions and distributions.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risks through our use of our credit facilities and other local borrowings, when applicable. Following our acquisition of MRP, we have long-term borrowings on our credit facilities. On July 17, 2024, we entered into a $50.0 million 12-month interest rate swap and a $50.0 million 18-month interest rate swap that effectively locked in the variable SOFR component of our interest rate for a portion of the long-term borrowings on the Securitization Facility at a fixed rate of 4.772% and 4.468% from the effective date through July 17, 2025 and January 17, 2026, respectively. The 12-month interest rate swap was settled early with the final payment made in June 2025. A hypothetical fluctuation of 10% of market interest rates would not have had a material impact on 2025 third-quarter earnings.</w:t>
      </w:r>
    </w:p>
    <w:p>
      <w:pPr>
        <w:spacing w:after="0" w:line="13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Form 10-Q,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continuously engaged in litigation, threatened litigation, claims, audits or investigations arising in the ordinary course of our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We maintain insurance coverage which may cover certain claims. When claims exceed the applicable policy deductible and realization of recovery of the claim from existing insurance policies is deemed probable, we record receivables from the insurance company for the excess amount, which are included in prepaid expenses and other current assets and other assets in the consolidated balance sheet.</w:t>
      </w: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Repurchases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2025, we reacquired shares of our common stock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(or Approximate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5"/>
                <w:szCs w:val="15"/>
                <w:color w:val="auto"/>
              </w:rPr>
            </w:pP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 (or</w:t>
            </w:r>
          </w:p>
        </w:tc>
        <w:tc>
          <w:tcPr>
            <w:tcW w:w="100" w:type="dxa"/>
            <w:vAlign w:val="bottom"/>
          </w:tcPr>
          <w:p>
            <w:pPr>
              <w:spacing w:after="0"/>
              <w:rPr>
                <w:sz w:val="15"/>
                <w:szCs w:val="15"/>
                <w:color w:val="auto"/>
              </w:rPr>
            </w:pP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6"/>
                <w:szCs w:val="16"/>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00" w:type="dxa"/>
            <w:vAlign w:val="bottom"/>
          </w:tcPr>
          <w:p>
            <w:pPr>
              <w:spacing w:after="0"/>
              <w:rPr>
                <w:sz w:val="16"/>
                <w:szCs w:val="16"/>
                <w:color w:val="auto"/>
              </w:rPr>
            </w:pP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Part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189"/>
        </w:trPr>
        <w:tc>
          <w:tcPr>
            <w:tcW w:w="518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(or Units)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30"/>
        </w:trPr>
        <w:tc>
          <w:tcPr>
            <w:tcW w:w="51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 through August 3, 2025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2025 through August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through September 28,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26, 2024, our board of directors approved a share repurchase program for us to repurchase shares covering up to an aggregate of $50.0 million of our Class A common stock. The share repurchase authorization expires on December 2, 2026. We may also reacquire shares sold to cover employee tax withholdings due upon the vesting of restricted stock held by employees. Accordingly, 8,903 shares were reacquired during the third quarter of 2025.</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effective May 14, 2024 (Reference is made to Exhibit 3.1 to the</w:t>
            </w:r>
          </w:p>
        </w:tc>
      </w:tr>
      <w:tr>
        <w:trPr>
          <w:trHeight w:val="214"/>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 filed with the Commission on May 14, 2024, which is incorporated herein by reference).</w:t>
            </w:r>
          </w:p>
        </w:tc>
      </w:tr>
      <w:tr>
        <w:trPr>
          <w:trHeight w:val="454"/>
        </w:trPr>
        <w:tc>
          <w:tcPr>
            <w:tcW w:w="320" w:type="dxa"/>
            <w:vAlign w:val="bottom"/>
            <w:gridSpan w:val="2"/>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By-laws, effective November 6, 2018 (Reference is made to Exhibit 3.1 to the Form 8-K/A filed with the Commission</w:t>
            </w:r>
          </w:p>
        </w:tc>
      </w:tr>
      <w:tr>
        <w:trPr>
          <w:trHeight w:val="214"/>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on April 17, 2019, which is incorporated herein by reference).</w:t>
            </w:r>
          </w:p>
        </w:tc>
      </w:tr>
      <w:tr>
        <w:trPr>
          <w:trHeight w:val="454"/>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5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Offer Letter, dated July 31, 2025, between Kelly Services Inc, and Christopher Layden (Reference is made to Exhibit</w:t>
            </w:r>
          </w:p>
        </w:tc>
      </w:tr>
      <w:tr>
        <w:trPr>
          <w:trHeight w:val="214"/>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 to the Form 8-K/A filed with the Commission on August 7, 2025, which is incorporated herein by reference).</w:t>
            </w:r>
          </w:p>
        </w:tc>
      </w:tr>
      <w:tr>
        <w:trPr>
          <w:trHeight w:val="454"/>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439"/>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439"/>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r>
      <w:tr>
        <w:trPr>
          <w:trHeight w:val="214"/>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2002.</w:t>
            </w:r>
          </w:p>
        </w:tc>
        <w:tc>
          <w:tcPr>
            <w:tcW w:w="7780" w:type="dxa"/>
            <w:vAlign w:val="bottom"/>
          </w:tcPr>
          <w:p>
            <w:pPr>
              <w:spacing w:after="0"/>
              <w:rPr>
                <w:sz w:val="18"/>
                <w:szCs w:val="18"/>
                <w:color w:val="auto"/>
              </w:rPr>
            </w:pPr>
          </w:p>
        </w:tc>
      </w:tr>
      <w:tr>
        <w:trPr>
          <w:trHeight w:val="414"/>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r>
      <w:tr>
        <w:trPr>
          <w:trHeight w:val="214"/>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2002.</w:t>
            </w:r>
          </w:p>
        </w:tc>
        <w:tc>
          <w:tcPr>
            <w:tcW w:w="7780" w:type="dxa"/>
            <w:vAlign w:val="bottom"/>
          </w:tcPr>
          <w:p>
            <w:pPr>
              <w:spacing w:after="0"/>
              <w:rPr>
                <w:sz w:val="18"/>
                <w:szCs w:val="18"/>
                <w:color w:val="auto"/>
              </w:rPr>
            </w:pPr>
          </w:p>
        </w:tc>
      </w:tr>
      <w:tr>
        <w:trPr>
          <w:trHeight w:val="441"/>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left="1140" w:hanging="1114"/>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44" w:name="page45"/>
    <w:bookmarkEnd w:id="4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Troy R. Anderson</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Troy R. Anderson</w:t>
      </w:r>
    </w:p>
    <w:p>
      <w:pPr>
        <w:spacing w:after="0" w:line="1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Nicholas A. Zuhlke</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Nicholas A. Zuhlke</w:t>
      </w:r>
    </w:p>
    <w:p>
      <w:pPr>
        <w:spacing w:after="0" w:line="1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280"/>
          </w:cols>
          <w:pgMar w:left="320" w:top="887" w:right="12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Layden,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Kelly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Christopher D. Layden</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Christopher D. Layden</w:t>
      </w:r>
    </w:p>
    <w:p>
      <w:pPr>
        <w:spacing w:after="0" w:line="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President and</w:t>
      </w:r>
    </w:p>
    <w:p>
      <w:pPr>
        <w:ind w:left="7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Troy R. Anderson, certify that:</w:t>
      </w:r>
    </w:p>
    <w:p>
      <w:pPr>
        <w:spacing w:after="0" w:line="15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Kelly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Troy R. Anderson</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Troy R. Anderson</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Kelly Services, Inc. (the “Company”) on Form 10-Q for the period ended September 28, 2025 as filed with the Securities and Exchange Commission on the date hereof (the “Report”), I, Christopher D. Layden,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Christopher D. Layden</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Christopher D. Layden</w:t>
      </w:r>
    </w:p>
    <w:p>
      <w:pPr>
        <w:spacing w:after="0" w:line="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President and</w:t>
      </w: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Kelly Services, Inc. (the “Company”) on Form 10-Q for the period ended September 28, 2025 as filed with the Securities and Exchange Commission on the date hereof (the “Report”), I, Troy R. Anderson,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Troy R. Anderson</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Troy R. Anderson</w:t>
      </w:r>
    </w:p>
    <w:p>
      <w:pPr>
        <w:spacing w:after="0" w:line="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lvl w:ilvl="1">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5" Type="http://schemas.openxmlformats.org/officeDocument/2006/relationships/hyperlink" Target="https://www.sec.gov/Archives/edgar/data/55135/000119312524137799/d803927dex31.htm" TargetMode="External"/><Relationship Id="rId56" Type="http://schemas.openxmlformats.org/officeDocument/2006/relationships/hyperlink" Target="https://www.sec.gov/Archives/edgar/data/55135/000119312519108288/d703331dex31.htm" TargetMode="External"/><Relationship Id="rId57" Type="http://schemas.openxmlformats.org/officeDocument/2006/relationships/hyperlink" Target="https://www.sec.gov/Archives/edgar/data/55135/000119312525174959/d949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2025-11-06T13:43:10Z</dcterms:created>
  <dcterms:modified xsi:type="dcterms:W3CDTF">2025-11-06T13:43:10Z</dcterms:modified>
</cp:coreProperties>
</file>