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730405_3-kelyb.xml.htm"/>
      <w:bookmarkStart w:id="1" w:name="kses260730405_3kelyb"/>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Hunt Equity Opportunities,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01/30/2026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KELLY SERVICES INC</w:t>
              </w:r>
            </w:hyperlink>
            <w:r>
              <w:rPr/>
              <w:t xml:space="preserve"> [ </w:t>
            </w:r>
            <w:r>
              <w:rPr>
                <w:rFonts w:ascii="Times;serif" w:hAnsi="Times;serif"/>
                <w:color w:val="0000FF"/>
                <w:sz w:val="24"/>
                <w:shd w:fill="FFFFFF" w:val="clear"/>
              </w:rPr>
              <w:t>KELYB</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43"/>
        <w:gridCol w:w="1955"/>
        <w:gridCol w:w="1152"/>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43"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2"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 par value $1.00 per share</w:t>
            </w:r>
          </w:p>
        </w:tc>
        <w:tc>
          <w:tcPr>
            <w:tcW w:w="1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3,039,940</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Hunt Equity Opportunities,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HEO Finance,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HUNT ELP,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HB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HUNT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Hunt Companies,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Hunt Woody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N. MESA STREET, SUITE 1900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PASO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See Exhibit 99.1</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signatures attached as Exhibit 99.2</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b/>
        </w:rPr>
      </w:pPr>
      <w:bookmarkStart w:id="2" w:name="es260730405_ex2401.htm"/>
      <w:bookmarkStart w:id="3" w:name="kses260730405_ex2401"/>
      <w:bookmarkEnd w:id="2"/>
      <w:bookmarkEnd w:id="3"/>
      <w:r>
        <w:rPr>
          <w:b/>
        </w:rPr>
        <w:t>EXHIBIT 24.1</w:t>
      </w:r>
      <w:r>
        <w:br w:type="page"/>
      </w:r>
    </w:p>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this Power of Attorney (this “</w:t>
      </w:r>
      <w:r>
        <w:rPr>
          <w:rFonts w:ascii="Times New Roman;Times;Serif" w:hAnsi="Times New Roman;Times;Serif"/>
          <w:b w:val="false"/>
          <w:i w:val="false"/>
          <w:caps w:val="false"/>
          <w:smallCaps w:val="false"/>
          <w:sz w:val="20"/>
          <w:u w:val="single"/>
        </w:rPr>
        <w:t>Power of Attorney</w:t>
      </w:r>
      <w:r>
        <w:rPr>
          <w:rFonts w:ascii="Times New Roman;Times;Serif" w:hAnsi="Times New Roman;Times;Serif"/>
          <w:b w:val="false"/>
          <w:i w:val="false"/>
          <w:caps w:val="false"/>
          <w:smallCaps w:val="false"/>
          <w:sz w:val="20"/>
        </w:rPr>
        <w:t>”), the undersigned irrevocably makes, constitutes and appoints Paul Donnelly (the “</w:t>
      </w:r>
      <w:r>
        <w:rPr>
          <w:rFonts w:ascii="Times New Roman;Times;Serif" w:hAnsi="Times New Roman;Times;Serif"/>
          <w:b w:val="false"/>
          <w:i w:val="false"/>
          <w:caps w:val="false"/>
          <w:smallCaps w:val="false"/>
          <w:sz w:val="20"/>
          <w:u w:val="single"/>
        </w:rPr>
        <w:t>attorney-in-fact</w:t>
      </w:r>
      <w:r>
        <w:rPr>
          <w:rFonts w:ascii="Times New Roman;Times;Serif" w:hAnsi="Times New Roman;Times;Serif"/>
          <w:b w:val="false"/>
          <w:i w:val="false"/>
          <w:caps w:val="false"/>
          <w:smallCaps w:val="false"/>
          <w:sz w:val="20"/>
        </w:rPr>
        <w:t>”) as his true and lawful attorney-in-fact, with full power of substitution to the undersigned and full power and authority in the undersigned’s name, place and stead, to, in accordance with the instructions of the undersigned: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execute for and on behalf of such party, all documents relating to the reporting of beneficial ownership of securities required to be filed with the United States Securities and Exchange Commission (the “</w:t>
            </w:r>
            <w:r>
              <w:rPr>
                <w:u w:val="single"/>
              </w:rPr>
              <w:t>SEC</w:t>
            </w:r>
            <w:r>
              <w:rPr/>
              <w:t>”) pursuant to Section 13(d) or Section 16(a) of the Securities Exchange Act of 1934 and the rules thereunder (the “</w:t>
            </w:r>
            <w:r>
              <w:rPr>
                <w:u w:val="single"/>
              </w:rPr>
              <w:t>Exchange Act</w:t>
            </w:r>
            <w:r>
              <w:rPr/>
              <w:t>”), including, without limitation, Schedule 13D and Form 3, Form 4 and Form 5 and successive forms thereto (collectively, the “</w:t>
            </w:r>
            <w:r>
              <w:rPr>
                <w:u w:val="single"/>
              </w:rPr>
              <w:t>Ownership Reports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do and perform any and all acts for and on behalf of such party that may be necessary or desirable to complete and execute any such documents, complete and execute any amendment or amendments thereto, and timely file such documents with the SEC and any stock exchange, automated quotation system or similar authority;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take any other action of any type whatsoever in furtherance of the foregoing which, in the opinion of such attorney-in-fact, may be of benefit to, in the best interest of, or legally required by, such party, it being understood that the documents executed by the attorney-in-fact on behalf of such party pursuant to this Power of Attorney shall be in such form and shall contain such terms and conditions as such attorney-in-fact may approve in the attorney-in-fact’s discretion.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provided that the attorney-in-fact acts in accordance with the instructions of the undersigned, neither the attorney-in-fact nor any other person or entity has hereby assumed or shall be responsible for the undersigned’s responsibilities to comply with the requirements of Section 16 of the Exchange Act and any other applicable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not revoke any power of attorney that has been previously granted by the undersigned to any other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Ownership Reports, unless earlier revoked by the undersigned in a signed writing delivered to the attorney-in-fact. For clarity, this Power of Attorney shall not be deemed to be revoked by any power of attorney that may be granted by the undersigned to any other person after the date hereof, unless any such subsequent power of attorney specifically refers to this Power of Attorney by the date of execution of this Power of Attorney by the undersigned.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Power of Attorney as of January 30,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75"/>
        <w:gridCol w:w="60"/>
        <w:gridCol w:w="197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Woodley L.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Woodley L.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ind w:left="100" w:right="276" w:hanging="0"/>
        <w:jc w:val="both"/>
        <w:rPr>
          <w:caps w:val="false"/>
          <w:smallCaps w:val="false"/>
        </w:rPr>
      </w:pPr>
      <w:r>
        <w:rPr>
          <w:caps w:val="false"/>
          <w:smallCaps w:val="false"/>
        </w:rPr>
        <w:t> </w:t>
      </w:r>
    </w:p>
    <w:p>
      <w:pPr>
        <w:pStyle w:val="TextBody"/>
        <w:bidi w:val="0"/>
        <w:jc w:val="left"/>
        <w:rPr/>
      </w:pPr>
      <w:bookmarkStart w:id="4" w:name="es260730405_ex9901.htm"/>
      <w:bookmarkStart w:id="5" w:name="kses260730405_ex9901"/>
      <w:bookmarkEnd w:id="4"/>
      <w:bookmarkEnd w:id="5"/>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B common stock of KELLY SERVICES INC (the “Issuer”) reported as beneficially owned are held of record by Hunt Equity Opportunities, LLC, a Delaware limited liability company (“Hunt Opportunities”).</w:t>
            </w:r>
          </w:p>
        </w:tc>
      </w:tr>
    </w:tbl>
    <w:p>
      <w:pPr>
        <w:pStyle w:val="TextBody"/>
        <w:bidi w:val="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HEO Finance, LLC, a Delaware limited liability company (“HEO Finance”), serves as the sole member of Hunt Opportunities. Hunt ELP, Ltd., a Texas limited partnership (“Hunt ELP”), serves as the sole member of HEO Finance. HB GP, LLC, a Nevada limited liability company (“HB GP”), serves as the general partner of Hunt ELP. Hunt Company, LLC, a Nevada limited liability company (“Hunt Company”), is the majority limited partner of Hunt ELP. Hunt Companies, Inc., a Delaware corporation (“HCI”), is the sole member of Hunt Company. Woody L. Hunt (“Mr. W.L. Hunt”) holds the majority voting power in HB GP and HCI.</w:t>
      </w:r>
    </w:p>
    <w:p>
      <w:pPr>
        <w:pStyle w:val="TextBody"/>
        <w:bidi w:val="0"/>
        <w:ind w:left="360" w:right="0" w:hanging="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disclaims beneficial ownership of any securities reported herein as held by Hunt Opportunities, or that may be beneficially owned by any of the other reporting persons, in each case except to the extent of any pecuniary interest therein, and this report shall not be deemed an admission that any such entity or person is the beneficial owner of or has any pecuniary interest in, such securities for purposes of Section 16 of the Securities Exchange Act of 1934, as amended, or for any other purpose.</w:t>
      </w:r>
    </w:p>
    <w:p>
      <w:pPr>
        <w:pStyle w:val="TextBody"/>
        <w:bidi w:val="0"/>
        <w:jc w:val="left"/>
        <w:rPr>
          <w:caps w:val="false"/>
          <w:smallCaps w:val="false"/>
        </w:rPr>
      </w:pPr>
      <w:r>
        <w:rPr>
          <w:caps w:val="false"/>
          <w:smallCaps w:val="false"/>
        </w:rPr>
        <w:t> </w:t>
      </w:r>
    </w:p>
    <w:p>
      <w:pPr>
        <w:pStyle w:val="TextBody"/>
        <w:bidi w:val="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each of Hunt Opportunities, HEO Finance, Hunt ELP, HB GP, Hunt Company, HCI and Mr. W.L. Hunt is 601 N. Mesa Street, Suite 1900, El Paso, Texas, 79902.</w:t>
      </w:r>
    </w:p>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6" w:name="es260730405_ex9902.htm"/>
      <w:bookmarkStart w:id="7" w:name="kses260730405_ex9902"/>
      <w:bookmarkEnd w:id="6"/>
      <w:bookmarkEnd w:id="7"/>
      <w:r>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Statement on Form 3 is filed by:</w:t>
      </w:r>
      <w:r>
        <w:rPr>
          <w:rFonts w:ascii="Times New Roman;Times;Serif" w:hAnsi="Times New Roman;Times;Serif"/>
          <w:b w:val="false"/>
          <w:i w:val="false"/>
          <w:caps w:val="false"/>
          <w:smallCaps w:val="false"/>
          <w:sz w:val="20"/>
        </w:rPr>
        <w:t xml:space="preserve"> (i) Hunt Equity Opportunities, LLC, (ii) HEO Finance, LLC, (iii) Hunt ELP, Ltd. (iv) HB GP, LLC, (v) Hunt Company, LLC, (vi) Hunt Companies, Inc. and (vii) Woody L. Hunt.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 of Designated Filer: </w:t>
      </w:r>
      <w:r>
        <w:rPr>
          <w:rFonts w:ascii="Times New Roman;Times;Serif" w:hAnsi="Times New Roman;Times;Serif"/>
          <w:b w:val="false"/>
          <w:i w:val="false"/>
          <w:caps w:val="false"/>
          <w:smallCaps w:val="false"/>
          <w:sz w:val="20"/>
        </w:rPr>
        <w:t>Hunt Equity Opportunities, LLC</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Event Requiring Statement: </w:t>
      </w:r>
      <w:r>
        <w:rPr>
          <w:rFonts w:ascii="Times New Roman;Times;Serif" w:hAnsi="Times New Roman;Times;Serif"/>
          <w:b w:val="false"/>
          <w:i w:val="false"/>
          <w:caps w:val="false"/>
          <w:smallCaps w:val="false"/>
          <w:sz w:val="20"/>
        </w:rPr>
        <w:t>January 30,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Issuer Name and Ticker or Trading Symbol: </w:t>
      </w:r>
      <w:r>
        <w:rPr>
          <w:rFonts w:ascii="Times New Roman;Times;Serif" w:hAnsi="Times New Roman;Times;Serif"/>
          <w:b w:val="false"/>
          <w:i w:val="false"/>
          <w:caps w:val="false"/>
          <w:smallCaps w:val="false"/>
          <w:sz w:val="20"/>
        </w:rPr>
        <w:t>KELLY SERVICES INC [KELYB]</w:t>
      </w:r>
    </w:p>
    <w:p>
      <w:pPr>
        <w:pStyle w:val="TextBody"/>
        <w:bidi w:val="0"/>
        <w:spacing w:before="0" w:after="0"/>
        <w:ind w:left="0" w:right="0" w:hanging="0"/>
        <w:jc w:val="left"/>
        <w:rPr>
          <w:caps w:val="false"/>
          <w:smallCaps w:val="false"/>
        </w:rPr>
      </w:pPr>
      <w:r>
        <w:rPr>
          <w:caps w:val="false"/>
          <w:smallCaps w:val="false"/>
        </w:rPr>
        <w:t> </w:t>
      </w:r>
    </w:p>
    <w:tbl>
      <w:tblPr>
        <w:tblW w:w="3679" w:type="dxa"/>
        <w:jc w:val="left"/>
        <w:tblInd w:w="0" w:type="dxa"/>
        <w:tblLayout w:type="fixed"/>
        <w:tblCellMar>
          <w:top w:w="0" w:type="dxa"/>
          <w:left w:w="0" w:type="dxa"/>
          <w:bottom w:w="0" w:type="dxa"/>
          <w:right w:w="0" w:type="dxa"/>
        </w:tblCellMar>
      </w:tblPr>
      <w:tblGrid>
        <w:gridCol w:w="75"/>
        <w:gridCol w:w="386"/>
        <w:gridCol w:w="657"/>
        <w:gridCol w:w="2486"/>
        <w:gridCol w:w="75"/>
      </w:tblGrid>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b/>
                <w:caps/>
                <w:sz w:val="20"/>
              </w:rPr>
            </w:pPr>
            <w:r>
              <w:rPr>
                <w:b/>
                <w:caps/>
                <w:sz w:val="20"/>
              </w:rPr>
              <w:t>Hunt Equity Opportunities, LLC</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sz w:val="20"/>
              </w:rPr>
            </w:pPr>
            <w:r>
              <w:rPr>
                <w:sz w:val="20"/>
              </w:rPr>
              <w:t>By:</w:t>
            </w:r>
          </w:p>
        </w:tc>
        <w:tc>
          <w:tcPr>
            <w:tcW w:w="3143"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sz w:val="20"/>
              </w:rPr>
            </w:pPr>
            <w:r>
              <w:rPr>
                <w:sz w:val="20"/>
              </w:rPr>
              <w:t>Name:</w:t>
            </w:r>
          </w:p>
        </w:tc>
        <w:tc>
          <w:tcPr>
            <w:tcW w:w="2486" w:type="dxa"/>
            <w:tcBorders/>
            <w:shd w:fill="FFFFFF" w:val="clear"/>
            <w:vAlign w:val="center"/>
          </w:tcPr>
          <w:p>
            <w:pPr>
              <w:pStyle w:val="TableContents"/>
              <w:bidi w:val="0"/>
              <w:spacing w:before="0" w:after="283"/>
              <w:jc w:val="left"/>
              <w:rPr>
                <w:sz w:val="20"/>
              </w:rPr>
            </w:pPr>
            <w:r>
              <w:rPr>
                <w:sz w:val="20"/>
              </w:rPr>
              <w:t>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sz w:val="20"/>
              </w:rPr>
            </w:pPr>
            <w:r>
              <w:rPr>
                <w:sz w:val="20"/>
              </w:rPr>
              <w:t>Title:</w:t>
            </w:r>
          </w:p>
        </w:tc>
        <w:tc>
          <w:tcPr>
            <w:tcW w:w="2486" w:type="dxa"/>
            <w:tcBorders/>
            <w:shd w:fill="FFFFFF" w:val="clear"/>
            <w:vAlign w:val="center"/>
          </w:tcPr>
          <w:p>
            <w:pPr>
              <w:pStyle w:val="TableContents"/>
              <w:bidi w:val="0"/>
              <w:spacing w:before="0" w:after="283"/>
              <w:jc w:val="left"/>
              <w:rPr>
                <w:sz w:val="20"/>
              </w:rPr>
            </w:pPr>
            <w:r>
              <w:rPr>
                <w:sz w:val="20"/>
              </w:rPr>
              <w:t>Executive Vice President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b/>
                <w:caps/>
                <w:sz w:val="20"/>
              </w:rPr>
            </w:pPr>
            <w:r>
              <w:rPr>
                <w:b/>
                <w:caps/>
                <w:sz w:val="20"/>
              </w:rPr>
              <w:t>HEO FINANCE, LLC</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sz w:val="20"/>
              </w:rPr>
            </w:pPr>
            <w:r>
              <w:rPr>
                <w:sz w:val="20"/>
              </w:rPr>
              <w:t>By:</w:t>
            </w:r>
          </w:p>
        </w:tc>
        <w:tc>
          <w:tcPr>
            <w:tcW w:w="3143"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sz w:val="20"/>
              </w:rPr>
            </w:pPr>
            <w:r>
              <w:rPr>
                <w:sz w:val="20"/>
              </w:rPr>
              <w:t>Name:</w:t>
            </w:r>
          </w:p>
        </w:tc>
        <w:tc>
          <w:tcPr>
            <w:tcW w:w="2486" w:type="dxa"/>
            <w:tcBorders/>
            <w:shd w:fill="FFFFFF" w:val="clear"/>
            <w:vAlign w:val="center"/>
          </w:tcPr>
          <w:p>
            <w:pPr>
              <w:pStyle w:val="TableContents"/>
              <w:bidi w:val="0"/>
              <w:spacing w:before="0" w:after="283"/>
              <w:jc w:val="left"/>
              <w:rPr>
                <w:sz w:val="20"/>
              </w:rPr>
            </w:pPr>
            <w:r>
              <w:rPr>
                <w:sz w:val="20"/>
              </w:rPr>
              <w:t>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sz w:val="20"/>
              </w:rPr>
            </w:pPr>
            <w:r>
              <w:rPr>
                <w:sz w:val="20"/>
              </w:rPr>
              <w:t>Title:</w:t>
            </w:r>
          </w:p>
        </w:tc>
        <w:tc>
          <w:tcPr>
            <w:tcW w:w="2486" w:type="dxa"/>
            <w:tcBorders/>
            <w:shd w:fill="FFFFFF" w:val="clear"/>
            <w:vAlign w:val="center"/>
          </w:tcPr>
          <w:p>
            <w:pPr>
              <w:pStyle w:val="TableContents"/>
              <w:bidi w:val="0"/>
              <w:spacing w:before="0" w:after="283"/>
              <w:jc w:val="left"/>
              <w:rPr>
                <w:sz w:val="20"/>
              </w:rPr>
            </w:pPr>
            <w:r>
              <w:rPr>
                <w:sz w:val="20"/>
              </w:rPr>
              <w:t>Executive Vice President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529"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tbl>
      <w:tblPr>
        <w:tblW w:w="3075" w:type="dxa"/>
        <w:jc w:val="left"/>
        <w:tblInd w:w="0" w:type="dxa"/>
        <w:tblLayout w:type="fixed"/>
        <w:tblCellMar>
          <w:top w:w="0" w:type="dxa"/>
          <w:left w:w="0" w:type="dxa"/>
          <w:bottom w:w="0" w:type="dxa"/>
          <w:right w:w="0" w:type="dxa"/>
        </w:tblCellMar>
      </w:tblPr>
      <w:tblGrid>
        <w:gridCol w:w="75"/>
        <w:gridCol w:w="320"/>
        <w:gridCol w:w="545"/>
        <w:gridCol w:w="2060"/>
        <w:gridCol w:w="75"/>
      </w:tblGrid>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b/>
                <w:sz w:val="20"/>
              </w:rPr>
            </w:pPr>
            <w:r>
              <w:rPr>
                <w:b/>
                <w:sz w:val="20"/>
              </w:rPr>
              <w:t>HUNT ELP, LTD.</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sz w:val="20"/>
              </w:rPr>
            </w:pPr>
            <w:r>
              <w:rPr>
                <w:sz w:val="20"/>
              </w:rPr>
              <w:t>By:</w:t>
            </w:r>
          </w:p>
        </w:tc>
        <w:tc>
          <w:tcPr>
            <w:tcW w:w="2605"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Name:</w:t>
            </w:r>
          </w:p>
        </w:tc>
        <w:tc>
          <w:tcPr>
            <w:tcW w:w="2060" w:type="dxa"/>
            <w:tcBorders/>
            <w:shd w:fill="FFFFFF" w:val="clear"/>
            <w:vAlign w:val="center"/>
          </w:tcPr>
          <w:p>
            <w:pPr>
              <w:pStyle w:val="TableContents"/>
              <w:bidi w:val="0"/>
              <w:spacing w:before="0" w:after="283"/>
              <w:jc w:val="left"/>
              <w:rPr>
                <w:sz w:val="20"/>
              </w:rPr>
            </w:pPr>
            <w:r>
              <w:rPr>
                <w:sz w:val="20"/>
              </w:rPr>
              <w:t>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Title:</w:t>
            </w:r>
          </w:p>
        </w:tc>
        <w:tc>
          <w:tcPr>
            <w:tcW w:w="2060" w:type="dxa"/>
            <w:tcBorders/>
            <w:shd w:fill="FFFFFF" w:val="clear"/>
            <w:vAlign w:val="center"/>
          </w:tcPr>
          <w:p>
            <w:pPr>
              <w:pStyle w:val="TableContents"/>
              <w:bidi w:val="0"/>
              <w:spacing w:before="0" w:after="283"/>
              <w:jc w:val="left"/>
              <w:rPr>
                <w:sz w:val="20"/>
              </w:rPr>
            </w:pPr>
            <w:r>
              <w:rPr>
                <w:sz w:val="20"/>
              </w:rPr>
              <w:t>Executive Vice President</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3075" w:type="dxa"/>
        <w:jc w:val="left"/>
        <w:tblInd w:w="0" w:type="dxa"/>
        <w:tblLayout w:type="fixed"/>
        <w:tblCellMar>
          <w:top w:w="0" w:type="dxa"/>
          <w:left w:w="0" w:type="dxa"/>
          <w:bottom w:w="0" w:type="dxa"/>
          <w:right w:w="0" w:type="dxa"/>
        </w:tblCellMar>
      </w:tblPr>
      <w:tblGrid>
        <w:gridCol w:w="75"/>
        <w:gridCol w:w="320"/>
        <w:gridCol w:w="545"/>
        <w:gridCol w:w="2060"/>
        <w:gridCol w:w="75"/>
      </w:tblGrid>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b/>
                <w:sz w:val="20"/>
              </w:rPr>
            </w:pPr>
            <w:r>
              <w:rPr>
                <w:b/>
                <w:sz w:val="20"/>
              </w:rPr>
              <w:t>HB GP, LLC</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sz w:val="20"/>
              </w:rPr>
            </w:pPr>
            <w:r>
              <w:rPr>
                <w:sz w:val="20"/>
              </w:rPr>
              <w:t>By:</w:t>
            </w:r>
          </w:p>
        </w:tc>
        <w:tc>
          <w:tcPr>
            <w:tcW w:w="2605"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Name:</w:t>
            </w:r>
          </w:p>
        </w:tc>
        <w:tc>
          <w:tcPr>
            <w:tcW w:w="2060" w:type="dxa"/>
            <w:tcBorders/>
            <w:shd w:fill="FFFFFF" w:val="clear"/>
            <w:vAlign w:val="center"/>
          </w:tcPr>
          <w:p>
            <w:pPr>
              <w:pStyle w:val="TableContents"/>
              <w:bidi w:val="0"/>
              <w:spacing w:before="0" w:after="283"/>
              <w:jc w:val="left"/>
              <w:rPr>
                <w:sz w:val="20"/>
              </w:rPr>
            </w:pPr>
            <w:r>
              <w:rPr>
                <w:sz w:val="20"/>
              </w:rPr>
              <w:t>Kara Harchuck</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Title:</w:t>
            </w:r>
          </w:p>
        </w:tc>
        <w:tc>
          <w:tcPr>
            <w:tcW w:w="2060" w:type="dxa"/>
            <w:tcBorders/>
            <w:shd w:fill="FFFFFF" w:val="clear"/>
            <w:vAlign w:val="center"/>
          </w:tcPr>
          <w:p>
            <w:pPr>
              <w:pStyle w:val="TableContents"/>
              <w:bidi w:val="0"/>
              <w:spacing w:before="0" w:after="283"/>
              <w:jc w:val="left"/>
              <w:rPr>
                <w:sz w:val="20"/>
              </w:rPr>
            </w:pPr>
            <w:r>
              <w:rPr>
                <w:sz w:val="20"/>
              </w:rPr>
              <w:t>Executive Vice President</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0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tbl>
      <w:tblPr>
        <w:tblW w:w="3120" w:type="dxa"/>
        <w:jc w:val="left"/>
        <w:tblInd w:w="0" w:type="dxa"/>
        <w:tblLayout w:type="fixed"/>
        <w:tblCellMar>
          <w:top w:w="0" w:type="dxa"/>
          <w:left w:w="0" w:type="dxa"/>
          <w:bottom w:w="0" w:type="dxa"/>
          <w:right w:w="0" w:type="dxa"/>
        </w:tblCellMar>
      </w:tblPr>
      <w:tblGrid>
        <w:gridCol w:w="75"/>
        <w:gridCol w:w="320"/>
        <w:gridCol w:w="545"/>
        <w:gridCol w:w="2105"/>
        <w:gridCol w:w="75"/>
      </w:tblGrid>
      <w:tr>
        <w:trPr/>
        <w:tc>
          <w:tcPr>
            <w:tcW w:w="75" w:type="dxa"/>
            <w:tcBorders/>
            <w:shd w:fill="FFFFFF" w:val="clear"/>
            <w:vAlign w:val="center"/>
          </w:tcPr>
          <w:p>
            <w:pPr>
              <w:pStyle w:val="TableContents"/>
              <w:bidi w:val="0"/>
              <w:spacing w:before="0" w:after="283"/>
              <w:jc w:val="left"/>
              <w:rPr/>
            </w:pPr>
            <w:r>
              <w:rPr/>
              <w:t> </w:t>
            </w:r>
          </w:p>
        </w:tc>
        <w:tc>
          <w:tcPr>
            <w:tcW w:w="2970" w:type="dxa"/>
            <w:gridSpan w:val="3"/>
            <w:tcBorders/>
            <w:shd w:fill="FFFFFF" w:val="clear"/>
            <w:vAlign w:val="center"/>
          </w:tcPr>
          <w:p>
            <w:pPr>
              <w:pStyle w:val="TableContents"/>
              <w:bidi w:val="0"/>
              <w:spacing w:before="0" w:after="283"/>
              <w:jc w:val="left"/>
              <w:rPr>
                <w:b/>
                <w:sz w:val="20"/>
              </w:rPr>
            </w:pPr>
            <w:r>
              <w:rPr>
                <w:b/>
                <w:sz w:val="20"/>
              </w:rPr>
              <w:t>HUNT COMPANY, LLC</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70"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sz w:val="20"/>
              </w:rPr>
            </w:pPr>
            <w:r>
              <w:rPr>
                <w:sz w:val="20"/>
              </w:rPr>
              <w:t>By:</w:t>
            </w:r>
          </w:p>
        </w:tc>
        <w:tc>
          <w:tcPr>
            <w:tcW w:w="2650"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Name:</w:t>
            </w:r>
          </w:p>
        </w:tc>
        <w:tc>
          <w:tcPr>
            <w:tcW w:w="2105" w:type="dxa"/>
            <w:tcBorders/>
            <w:shd w:fill="FFFFFF" w:val="clear"/>
            <w:vAlign w:val="center"/>
          </w:tcPr>
          <w:p>
            <w:pPr>
              <w:pStyle w:val="TableContents"/>
              <w:bidi w:val="0"/>
              <w:spacing w:before="0" w:after="283"/>
              <w:jc w:val="left"/>
              <w:rPr>
                <w:sz w:val="20"/>
              </w:rPr>
            </w:pPr>
            <w:r>
              <w:rPr>
                <w:sz w:val="20"/>
              </w:rPr>
              <w:t>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Title:</w:t>
            </w:r>
          </w:p>
        </w:tc>
        <w:tc>
          <w:tcPr>
            <w:tcW w:w="2105" w:type="dxa"/>
            <w:tcBorders/>
            <w:shd w:fill="FFFFFF" w:val="clear"/>
            <w:vAlign w:val="center"/>
          </w:tcPr>
          <w:p>
            <w:pPr>
              <w:pStyle w:val="TableContents"/>
              <w:bidi w:val="0"/>
              <w:spacing w:before="0" w:after="283"/>
              <w:jc w:val="left"/>
              <w:rPr>
                <w:sz w:val="20"/>
              </w:rPr>
            </w:pPr>
            <w:r>
              <w:rPr>
                <w:sz w:val="20"/>
              </w:rPr>
              <w:t xml:space="preserve">Executive Vice President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70"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70"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bl>
    <w:tbl>
      <w:tblPr>
        <w:tblW w:w="3075" w:type="dxa"/>
        <w:jc w:val="left"/>
        <w:tblInd w:w="0" w:type="dxa"/>
        <w:tblLayout w:type="fixed"/>
        <w:tblCellMar>
          <w:top w:w="0" w:type="dxa"/>
          <w:left w:w="0" w:type="dxa"/>
          <w:bottom w:w="0" w:type="dxa"/>
          <w:right w:w="0" w:type="dxa"/>
        </w:tblCellMar>
      </w:tblPr>
      <w:tblGrid>
        <w:gridCol w:w="75"/>
        <w:gridCol w:w="320"/>
        <w:gridCol w:w="545"/>
        <w:gridCol w:w="2060"/>
        <w:gridCol w:w="75"/>
      </w:tblGrid>
      <w:tr>
        <w:trPr/>
        <w:tc>
          <w:tcPr>
            <w:tcW w:w="75" w:type="dxa"/>
            <w:tcBorders/>
            <w:shd w:fill="FFFFFF" w:val="cle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vAlign w:val="center"/>
          </w:tcPr>
          <w:p>
            <w:pPr>
              <w:pStyle w:val="TableContents"/>
              <w:bidi w:val="0"/>
              <w:spacing w:before="0" w:after="283"/>
              <w:jc w:val="left"/>
              <w:rPr>
                <w:b/>
                <w:sz w:val="20"/>
              </w:rPr>
            </w:pPr>
            <w:r>
              <w:rPr>
                <w:b/>
                <w:sz w:val="20"/>
              </w:rPr>
              <w:t>HUNT COMPANIES, INC.</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2925" w:type="dxa"/>
            <w:gridSpan w:val="3"/>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sz w:val="20"/>
              </w:rPr>
            </w:pPr>
            <w:r>
              <w:rPr>
                <w:sz w:val="20"/>
              </w:rPr>
              <w:t>By:</w:t>
            </w:r>
          </w:p>
        </w:tc>
        <w:tc>
          <w:tcPr>
            <w:tcW w:w="2605" w:type="dxa"/>
            <w:gridSpan w:val="2"/>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Name:</w:t>
            </w:r>
          </w:p>
        </w:tc>
        <w:tc>
          <w:tcPr>
            <w:tcW w:w="2060" w:type="dxa"/>
            <w:tcBorders/>
            <w:shd w:fill="FFFFFF" w:val="clear"/>
            <w:vAlign w:val="center"/>
          </w:tcPr>
          <w:p>
            <w:pPr>
              <w:pStyle w:val="TableContents"/>
              <w:bidi w:val="0"/>
              <w:spacing w:before="0" w:after="283"/>
              <w:jc w:val="left"/>
              <w:rPr>
                <w:sz w:val="20"/>
              </w:rPr>
            </w:pPr>
            <w:r>
              <w:rPr>
                <w:sz w:val="20"/>
              </w:rPr>
              <w:t>Kara Harchuck</w:t>
            </w:r>
          </w:p>
        </w:tc>
        <w:tc>
          <w:tcPr>
            <w:tcW w:w="7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sz w:val="20"/>
              </w:rPr>
            </w:pPr>
            <w:r>
              <w:rPr>
                <w:sz w:val="20"/>
              </w:rPr>
              <w:t>Title:</w:t>
            </w:r>
          </w:p>
        </w:tc>
        <w:tc>
          <w:tcPr>
            <w:tcW w:w="2060" w:type="dxa"/>
            <w:tcBorders/>
            <w:shd w:fill="FFFFFF" w:val="clear"/>
            <w:vAlign w:val="center"/>
          </w:tcPr>
          <w:p>
            <w:pPr>
              <w:pStyle w:val="TableContents"/>
              <w:bidi w:val="0"/>
              <w:spacing w:before="0" w:after="283"/>
              <w:jc w:val="left"/>
              <w:rPr>
                <w:sz w:val="20"/>
              </w:rPr>
            </w:pPr>
            <w:r>
              <w:rPr>
                <w:sz w:val="20"/>
              </w:rPr>
              <w:t>Executive Vice President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4744" w:type="dxa"/>
        <w:jc w:val="left"/>
        <w:tblInd w:w="0" w:type="dxa"/>
        <w:tblLayout w:type="fixed"/>
        <w:tblCellMar>
          <w:top w:w="0" w:type="dxa"/>
          <w:left w:w="0" w:type="dxa"/>
          <w:bottom w:w="0" w:type="dxa"/>
          <w:right w:w="0" w:type="dxa"/>
        </w:tblCellMar>
      </w:tblPr>
      <w:tblGrid>
        <w:gridCol w:w="75"/>
        <w:gridCol w:w="1217"/>
        <w:gridCol w:w="278"/>
        <w:gridCol w:w="3099"/>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4594" w:type="dxa"/>
            <w:gridSpan w:val="3"/>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Donnelly, as Attorney-in-Fact of Woody L.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94" w:type="dxa"/>
            <w:gridSpan w:val="3"/>
            <w:tcBorders/>
            <w:vAlign w:val="center"/>
          </w:tcPr>
          <w:p>
            <w:pPr>
              <w:pStyle w:val="TableContents"/>
              <w:bidi w:val="0"/>
              <w:spacing w:before="0" w:after="283"/>
              <w:jc w:val="left"/>
              <w:rPr>
                <w:sz w:val="20"/>
              </w:rPr>
            </w:pPr>
            <w:r>
              <w:rPr>
                <w:sz w:val="20"/>
              </w:rPr>
              <w:t>Woody L. Hunt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sz w:val="20"/>
              </w:rPr>
            </w:pPr>
            <w:r>
              <w:rPr>
                <w:sz w:val="20"/>
              </w:rPr>
              <w:t>By:</w:t>
            </w:r>
          </w:p>
        </w:tc>
        <w:tc>
          <w:tcPr>
            <w:tcW w:w="3377" w:type="dxa"/>
            <w:gridSpan w:val="2"/>
            <w:tcBorders/>
            <w:vAlign w:val="center"/>
          </w:tcPr>
          <w:p>
            <w:pPr>
              <w:pStyle w:val="TableContents"/>
              <w:bidi w:val="0"/>
              <w:spacing w:before="0" w:after="283"/>
              <w:jc w:val="left"/>
              <w:rPr>
                <w:sz w:val="20"/>
              </w:rPr>
            </w:pPr>
            <w:r>
              <w:rPr>
                <w:sz w:val="20"/>
              </w:rPr>
              <w:t>Paul Donnelly, Attorney-in-Fact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309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02093" TargetMode="External"/><Relationship Id="rId3" Type="http://schemas.openxmlformats.org/officeDocument/2006/relationships/hyperlink" Target="http://www.sec.gov/cgi-bin/browse-edgar?action=getcompany&amp;CIK=000005513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02093" TargetMode="External"/><Relationship Id="rId7" Type="http://schemas.openxmlformats.org/officeDocument/2006/relationships/hyperlink" Target="http://www.sec.gov/cgi-bin/browse-edgar?action=getcompany&amp;CIK=0002107125" TargetMode="External"/><Relationship Id="rId8" Type="http://schemas.openxmlformats.org/officeDocument/2006/relationships/hyperlink" Target="http://www.sec.gov/cgi-bin/browse-edgar?action=getcompany&amp;CIK=0001727563" TargetMode="External"/><Relationship Id="rId9" Type="http://schemas.openxmlformats.org/officeDocument/2006/relationships/hyperlink" Target="http://www.sec.gov/cgi-bin/browse-edgar?action=getcompany&amp;CIK=0001727565" TargetMode="External"/><Relationship Id="rId10" Type="http://schemas.openxmlformats.org/officeDocument/2006/relationships/hyperlink" Target="http://www.sec.gov/cgi-bin/browse-edgar?action=getcompany&amp;CIK=0001727630" TargetMode="External"/><Relationship Id="rId11" Type="http://schemas.openxmlformats.org/officeDocument/2006/relationships/hyperlink" Target="http://www.sec.gov/cgi-bin/browse-edgar?action=getcompany&amp;CIK=0001727027" TargetMode="External"/><Relationship Id="rId12" Type="http://schemas.openxmlformats.org/officeDocument/2006/relationships/hyperlink" Target="http://www.sec.gov/cgi-bin/browse-edgar?action=getcompany&amp;CIK=0001339890"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1494</Words>
  <Characters>7821</Characters>
  <CharactersWithSpaces>9308</CharactersWithSpaces>
  <Paragraphs>412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