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60"/>
        <w:spacing w:after="0"/>
        <w:rPr>
          <w:sz w:val="20"/>
          <w:szCs w:val="20"/>
          <w:color w:val="auto"/>
        </w:rPr>
      </w:pPr>
      <w:r>
        <w:rPr>
          <w:rFonts w:ascii="Arial" w:cs="Arial" w:eastAsia="Arial" w:hAnsi="Arial"/>
          <w:sz w:val="18"/>
          <w:szCs w:val="18"/>
          <w:color w:val="auto"/>
        </w:rPr>
        <w:t>1</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36"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17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CURRENT REPORT</w:t>
      </w:r>
    </w:p>
    <w:p>
      <w:pPr>
        <w:jc w:val="center"/>
        <w:ind w:right="-299"/>
        <w:spacing w:after="0" w:line="234" w:lineRule="auto"/>
        <w:rPr>
          <w:sz w:val="20"/>
          <w:szCs w:val="20"/>
          <w:color w:val="auto"/>
        </w:rPr>
      </w:pPr>
      <w:r>
        <w:rPr>
          <w:rFonts w:ascii="Arial" w:cs="Arial" w:eastAsia="Arial" w:hAnsi="Arial"/>
          <w:sz w:val="18"/>
          <w:szCs w:val="18"/>
          <w:color w:val="auto"/>
        </w:rPr>
        <w:t>PURSUANT TO SECTION 13 OR 15(d) OF</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THE SECURITIES EXCHANGE ACT OF 1934</w:t>
      </w:r>
    </w:p>
    <w:p>
      <w:pPr>
        <w:spacing w:after="0" w:line="15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Date of Report (Date of earliest event reported): November 17, 2008</w:t>
      </w:r>
    </w:p>
    <w:p>
      <w:pPr>
        <w:spacing w:after="0" w:line="15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KELLY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1925955</wp:posOffset>
            </wp:positionH>
            <wp:positionV relativeFrom="paragraph">
              <wp:posOffset>46355</wp:posOffset>
            </wp:positionV>
            <wp:extent cx="3404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191"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DELAWARE</w:t>
            </w:r>
          </w:p>
        </w:tc>
        <w:tc>
          <w:tcPr>
            <w:tcW w:w="1200" w:type="dxa"/>
            <w:vAlign w:val="bottom"/>
          </w:tcPr>
          <w:p>
            <w:pPr>
              <w:spacing w:after="0"/>
              <w:rPr>
                <w:sz w:val="17"/>
                <w:szCs w:val="17"/>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0-1088</w:t>
            </w:r>
          </w:p>
        </w:tc>
        <w:tc>
          <w:tcPr>
            <w:tcW w:w="106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38-1510762</w:t>
            </w:r>
          </w:p>
        </w:tc>
      </w:tr>
      <w:tr>
        <w:trPr>
          <w:trHeight w:val="199"/>
        </w:trPr>
        <w:tc>
          <w:tcPr>
            <w:tcW w:w="2260" w:type="dxa"/>
            <w:vAlign w:val="bottom"/>
            <w:gridSpan w:val="3"/>
          </w:tcPr>
          <w:p>
            <w:pPr>
              <w:jc w:val="center"/>
              <w:ind w:right="1140"/>
              <w:spacing w:after="0" w:line="200" w:lineRule="exact"/>
              <w:rPr>
                <w:sz w:val="20"/>
                <w:szCs w:val="20"/>
                <w:color w:val="auto"/>
              </w:rPr>
            </w:pPr>
            <w:r>
              <w:rPr>
                <w:rFonts w:ascii="Arial" w:cs="Arial" w:eastAsia="Arial" w:hAnsi="Arial"/>
                <w:sz w:val="18"/>
                <w:szCs w:val="18"/>
                <w:color w:val="auto"/>
                <w:w w:val="97"/>
              </w:rPr>
              <w:t>(State or other</w:t>
            </w:r>
          </w:p>
        </w:tc>
        <w:tc>
          <w:tcPr>
            <w:tcW w:w="1260" w:type="dxa"/>
            <w:vAlign w:val="bottom"/>
          </w:tcPr>
          <w:p>
            <w:pPr>
              <w:ind w:left="120"/>
              <w:spacing w:after="0" w:line="200" w:lineRule="exact"/>
              <w:rPr>
                <w:sz w:val="20"/>
                <w:szCs w:val="20"/>
                <w:color w:val="auto"/>
              </w:rPr>
            </w:pPr>
            <w:r>
              <w:rPr>
                <w:rFonts w:ascii="Arial" w:cs="Arial" w:eastAsia="Arial" w:hAnsi="Arial"/>
                <w:sz w:val="18"/>
                <w:szCs w:val="18"/>
                <w:color w:val="auto"/>
              </w:rPr>
              <w:t>(Commission</w:t>
            </w:r>
          </w:p>
        </w:tc>
        <w:tc>
          <w:tcPr>
            <w:tcW w:w="2200" w:type="dxa"/>
            <w:vAlign w:val="bottom"/>
            <w:gridSpan w:val="2"/>
          </w:tcPr>
          <w:p>
            <w:pPr>
              <w:jc w:val="center"/>
              <w:ind w:left="972"/>
              <w:spacing w:after="0" w:line="200" w:lineRule="exact"/>
              <w:rPr>
                <w:sz w:val="20"/>
                <w:szCs w:val="20"/>
                <w:color w:val="auto"/>
              </w:rPr>
            </w:pPr>
            <w:r>
              <w:rPr>
                <w:rFonts w:ascii="Arial" w:cs="Arial" w:eastAsia="Arial" w:hAnsi="Arial"/>
                <w:sz w:val="18"/>
                <w:szCs w:val="18"/>
                <w:color w:val="auto"/>
                <w:w w:val="97"/>
              </w:rPr>
              <w:t>(IRS Employer</w:t>
            </w:r>
          </w:p>
        </w:tc>
      </w:tr>
      <w:tr>
        <w:trPr>
          <w:trHeight w:val="203"/>
        </w:trPr>
        <w:tc>
          <w:tcPr>
            <w:tcW w:w="2260" w:type="dxa"/>
            <w:vAlign w:val="bottom"/>
            <w:gridSpan w:val="3"/>
          </w:tcPr>
          <w:p>
            <w:pPr>
              <w:jc w:val="center"/>
              <w:ind w:right="1140"/>
              <w:spacing w:after="0" w:line="202" w:lineRule="exact"/>
              <w:rPr>
                <w:sz w:val="20"/>
                <w:szCs w:val="20"/>
                <w:color w:val="auto"/>
              </w:rPr>
            </w:pPr>
            <w:r>
              <w:rPr>
                <w:rFonts w:ascii="Arial" w:cs="Arial" w:eastAsia="Arial" w:hAnsi="Arial"/>
                <w:sz w:val="18"/>
                <w:szCs w:val="18"/>
                <w:color w:val="auto"/>
                <w:w w:val="98"/>
              </w:rPr>
              <w:t>jurisdiction of</w:t>
            </w:r>
          </w:p>
        </w:tc>
        <w:tc>
          <w:tcPr>
            <w:tcW w:w="1260" w:type="dxa"/>
            <w:vAlign w:val="bottom"/>
          </w:tcPr>
          <w:p>
            <w:pPr>
              <w:ind w:left="120"/>
              <w:spacing w:after="0" w:line="202" w:lineRule="exact"/>
              <w:rPr>
                <w:sz w:val="20"/>
                <w:szCs w:val="20"/>
                <w:color w:val="auto"/>
              </w:rPr>
            </w:pPr>
            <w:r>
              <w:rPr>
                <w:rFonts w:ascii="Arial" w:cs="Arial" w:eastAsia="Arial" w:hAnsi="Arial"/>
                <w:sz w:val="18"/>
                <w:szCs w:val="18"/>
                <w:color w:val="auto"/>
              </w:rPr>
              <w:t>File Number)</w:t>
            </w:r>
          </w:p>
        </w:tc>
        <w:tc>
          <w:tcPr>
            <w:tcW w:w="106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6"/>
              </w:rPr>
              <w:t>Identification</w:t>
            </w:r>
          </w:p>
        </w:tc>
      </w:tr>
      <w:tr>
        <w:trPr>
          <w:trHeight w:val="211"/>
        </w:trPr>
        <w:tc>
          <w:tcPr>
            <w:tcW w:w="2260" w:type="dxa"/>
            <w:vAlign w:val="bottom"/>
            <w:gridSpan w:val="3"/>
          </w:tcPr>
          <w:p>
            <w:pPr>
              <w:jc w:val="center"/>
              <w:ind w:right="1140"/>
              <w:spacing w:after="0"/>
              <w:rPr>
                <w:sz w:val="20"/>
                <w:szCs w:val="20"/>
                <w:color w:val="auto"/>
              </w:rPr>
            </w:pPr>
            <w:r>
              <w:rPr>
                <w:rFonts w:ascii="Arial" w:cs="Arial" w:eastAsia="Arial" w:hAnsi="Arial"/>
                <w:sz w:val="18"/>
                <w:szCs w:val="18"/>
                <w:color w:val="auto"/>
                <w:w w:val="98"/>
              </w:rPr>
              <w:t>incorporation)</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Number)</w:t>
            </w:r>
          </w:p>
        </w:tc>
      </w:tr>
    </w:tbl>
    <w:p>
      <w:pPr>
        <w:spacing w:after="0" w:line="16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999 WEST BIG BEAVER ROAD, TROY, MICHIGAN 48084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55245</wp:posOffset>
            </wp:positionV>
            <wp:extent cx="3627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06"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(Address of principal executive offices)</w:t>
      </w:r>
    </w:p>
    <w:p>
      <w:pPr>
        <w:ind w:left="5300"/>
        <w:spacing w:after="0"/>
        <w:rPr>
          <w:sz w:val="20"/>
          <w:szCs w:val="20"/>
          <w:color w:val="auto"/>
        </w:rPr>
      </w:pPr>
      <w:r>
        <w:rPr>
          <w:rFonts w:ascii="Arial" w:cs="Arial" w:eastAsia="Arial" w:hAnsi="Arial"/>
          <w:sz w:val="18"/>
          <w:szCs w:val="18"/>
          <w:color w:val="auto"/>
        </w:rPr>
        <w:t>(Zip Code)</w:t>
      </w:r>
    </w:p>
    <w:p>
      <w:pPr>
        <w:spacing w:after="0" w:line="158"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(248) 362-4444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46355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158"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5"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98"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98"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140"/>
          </w:cols>
          <w:pgMar w:left="240" w:top="251" w:right="5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122" w:lineRule="exact"/>
        <w:rPr>
          <w:sz w:val="20"/>
          <w:szCs w:val="20"/>
          <w:color w:val="auto"/>
        </w:rPr>
      </w:pPr>
    </w:p>
    <w:p>
      <w:pPr>
        <w:ind w:right="1140"/>
        <w:spacing w:after="0" w:line="264"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 Compensatory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Arrangements of Certain Officers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November 17, 2008, Kelly Services, Inc. (“the Company”, “Kelly”) announced the appointment of George Corona, executive vice president, as chief operating officer, effective January 1, 2009. Corona, age 50, joined Kelly in 1994 and held various operations and leadership roles from 1994 to 2000. From April 2000 to the present he has served as a senior officer of the Company as follows: Senior Vice President - General Manager, Middle Markets from April 2000 to December 2005; Senior Vice President - U.S. Commercial from December 2005 to December 2006; Senior Vice President - General Manager, Americas from January 2007 to May 2007; Executive Vice President - General Manager, Americas from June 2007 to the present.</w:t>
      </w:r>
    </w:p>
    <w:p>
      <w:pPr>
        <w:spacing w:after="0" w:line="156"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 copy of the Company’s press release announcing Mr. Corona’s appointment was issued on November 17, 2008 and is filed as Exhibit 99.1 to this Form 8-K.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Press release dated November 17, 2008.</w:t>
      </w:r>
    </w:p>
    <w:p>
      <w:pPr>
        <w:sectPr>
          <w:pgSz w:w="11900" w:h="16838" w:orient="portrait"/>
          <w:cols w:equalWidth="0" w:num="1">
            <w:col w:w="11380"/>
          </w:cols>
          <w:pgMar w:left="240" w:top="291" w:right="2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KELLY SERVICES,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2008</w:t>
      </w:r>
    </w:p>
    <w:p>
      <w:pPr>
        <w:spacing w:after="0" w:line="200" w:lineRule="exact"/>
        <w:rPr>
          <w:sz w:val="20"/>
          <w:szCs w:val="20"/>
          <w:color w:val="auto"/>
        </w:rPr>
      </w:pPr>
    </w:p>
    <w:p>
      <w:pPr>
        <w:spacing w:after="0" w:line="2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Daniel T. Lis</w:t>
      </w:r>
    </w:p>
    <w:p>
      <w:pPr>
        <w:ind w:left="5820"/>
        <w:spacing w:after="0"/>
        <w:rPr>
          <w:sz w:val="20"/>
          <w:szCs w:val="20"/>
          <w:color w:val="auto"/>
        </w:rPr>
      </w:pPr>
      <w:r>
        <w:rPr>
          <w:rFonts w:ascii="Arial" w:cs="Arial" w:eastAsia="Arial" w:hAnsi="Arial"/>
          <w:sz w:val="18"/>
          <w:szCs w:val="18"/>
          <w:color w:val="auto"/>
        </w:rPr>
        <w:t>Daniel T. Lis</w:t>
      </w:r>
    </w:p>
    <w:p>
      <w:pPr>
        <w:spacing w:after="0" w:line="15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General Counsel</w:t>
      </w:r>
    </w:p>
    <w:p>
      <w:pPr>
        <w:ind w:left="582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140"/>
          </w:cols>
          <w:pgMar w:left="240" w:top="291" w:right="519" w:bottom="1440" w:gutter="0" w:footer="0" w:header="0"/>
        </w:sectPr>
      </w:pPr>
    </w:p>
    <w:bookmarkStart w:id="3" w:name="page4"/>
    <w:bookmarkEnd w:id="3"/>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p>
    <w:p>
      <w:pPr>
        <w:spacing w:after="0" w:line="122"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Exhibit No.</w:t>
            </w:r>
          </w:p>
        </w:tc>
        <w:tc>
          <w:tcPr>
            <w:tcW w:w="4120" w:type="dxa"/>
            <w:vAlign w:val="bottom"/>
            <w:gridSpan w:val="3"/>
          </w:tcPr>
          <w:p>
            <w:pPr>
              <w:ind w:left="14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99.1</w:t>
            </w:r>
          </w:p>
        </w:tc>
        <w:tc>
          <w:tcPr>
            <w:tcW w:w="4120" w:type="dxa"/>
            <w:vAlign w:val="bottom"/>
            <w:gridSpan w:val="3"/>
          </w:tcPr>
          <w:p>
            <w:pPr>
              <w:ind w:left="980"/>
              <w:spacing w:after="0"/>
              <w:rPr>
                <w:sz w:val="20"/>
                <w:szCs w:val="20"/>
                <w:color w:val="auto"/>
              </w:rPr>
            </w:pPr>
            <w:r>
              <w:rPr>
                <w:rFonts w:ascii="Arial" w:cs="Arial" w:eastAsia="Arial" w:hAnsi="Arial"/>
                <w:sz w:val="18"/>
                <w:szCs w:val="18"/>
                <w:color w:val="auto"/>
                <w:w w:val="96"/>
              </w:rPr>
              <w:t>Press release dated November 17, 2008</w:t>
            </w:r>
          </w:p>
        </w:tc>
      </w:tr>
    </w:tbl>
    <w:p>
      <w:pPr>
        <w:sectPr>
          <w:pgSz w:w="11900" w:h="16838" w:orient="portrait"/>
          <w:cols w:equalWidth="0" w:num="1">
            <w:col w:w="10219"/>
          </w:cols>
          <w:pgMar w:left="240" w:top="29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5</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03655"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Promotes George Corona to COO</w:t>
      </w:r>
    </w:p>
    <w:p>
      <w:pPr>
        <w:spacing w:after="0" w:line="180"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TROY, Mich. (November 17, 2008) — Kelly Services, Inc. (NASDAQ: KELYA, KELYB) today announced the appointment of George Corona as executive vice president and chief operating officer, effective January 1, 2009.</w:t>
      </w:r>
    </w:p>
    <w:p>
      <w:pPr>
        <w:spacing w:after="0" w:line="155"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As Executive Vice President and COO, Corona will have responsibility for all of Kelly’s regions and operating units, including the Americas, APAC, EMEA, and the Outsourcing &amp; Consulting Group. He will also have responsibility for Global Sales, Account Management, Service, and Marketing.</w:t>
      </w:r>
    </w:p>
    <w:p>
      <w:pPr>
        <w:spacing w:after="0" w:line="10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“George Corona’s proven leadership, and operations experience fully prepare him to help Kelly move forward as a united organization,” said Carl Camden, president and chief executive officer. “This structural change will provide greater alignment across our global operations and position Kelly for long-term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his new role Corona will report directly to Camden.</w:t>
      </w:r>
    </w:p>
    <w:p>
      <w:pPr>
        <w:spacing w:after="0" w:line="15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Corona joined Kelly in 1994 and has successfully held various operations and leadership roles, most recently executive vice president-Americas. Prior to joining Kelly, Corona held management roles for Digital Equipment Corporation and Burroughs Corporation. He received his B.S. from Wayne State University and his M.B.A. from Oakland University.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Kelly Services</w:t>
      </w:r>
    </w:p>
    <w:p>
      <w:pPr>
        <w:spacing w:after="0" w:line="1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Kelly Services, Inc. (NASDAQ: KELYA, KELYB) is a world leader in human resources solutions headquartered in Troy, Michigan, offering temporary staffing services, outsourcing, vendor on-site and full-time placement to clients on a global basis. Kelly provides employment to more than 750,000 employees annually, with skills including office services, accounting, engineering, information technology, law, science, marketing, creative services, light industrial, education, and health care. Revenue in 2007 was $5.7 billion. Visit </w:t>
      </w:r>
      <w:r>
        <w:rPr>
          <w:rFonts w:ascii="Arial" w:cs="Arial" w:eastAsia="Arial" w:hAnsi="Arial"/>
          <w:sz w:val="18"/>
          <w:szCs w:val="18"/>
          <w:u w:val="single" w:color="auto"/>
          <w:color w:val="auto"/>
        </w:rPr>
        <w:t>www.kellyservices.com</w:t>
      </w:r>
      <w:r>
        <w:rPr>
          <w:rFonts w:ascii="Arial" w:cs="Arial" w:eastAsia="Arial" w:hAnsi="Arial"/>
          <w:sz w:val="18"/>
          <w:szCs w:val="18"/>
          <w:color w:val="auto"/>
        </w:rPr>
        <w:t>.</w:t>
      </w:r>
    </w:p>
    <w:p>
      <w:pPr>
        <w:spacing w:after="0" w:line="133" w:lineRule="exact"/>
        <w:rPr>
          <w:sz w:val="20"/>
          <w:szCs w:val="20"/>
          <w:color w:val="auto"/>
        </w:rPr>
      </w:pPr>
    </w:p>
    <w:p>
      <w:pPr>
        <w:jc w:val="center"/>
        <w:spacing w:after="0"/>
        <w:tabs>
          <w:tab w:leader="none" w:pos="180" w:val="left"/>
          <w:tab w:leader="none" w:pos="180" w:val="left"/>
          <w:tab w:leader="none" w:pos="180" w:val="left"/>
        </w:tabs>
        <w:rPr>
          <w:sz w:val="20"/>
          <w:szCs w:val="20"/>
          <w:color w:val="auto"/>
        </w:rPr>
      </w:pPr>
      <w:r>
        <w:rPr>
          <w:rFonts w:ascii="Arial" w:cs="Arial" w:eastAsia="Arial" w:hAnsi="Arial"/>
          <w:sz w:val="18"/>
          <w:szCs w:val="18"/>
          <w:b w:val="1"/>
          <w:bCs w:val="1"/>
          <w:color w:val="auto"/>
        </w:rPr>
        <w:t>#</w:t>
        <w:tab/>
        <w:t>#</w:t>
        <w:tab/>
        <w:t>#</w:t>
      </w:r>
      <w:r>
        <w:rPr>
          <w:sz w:val="20"/>
          <w:szCs w:val="20"/>
          <w:color w:val="auto"/>
        </w:rPr>
        <w:tab/>
      </w:r>
      <w:r>
        <w:rPr>
          <w:rFonts w:ascii="Arial" w:cs="Arial" w:eastAsia="Arial" w:hAnsi="Arial"/>
          <w:sz w:val="16"/>
          <w:szCs w:val="16"/>
          <w:b w:val="1"/>
          <w:bCs w:val="1"/>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r>
        <w:rPr>
          <w:rFonts w:ascii="Arial" w:cs="Arial" w:eastAsia="Arial" w:hAnsi="Arial"/>
          <w:sz w:val="18"/>
          <w:szCs w:val="18"/>
          <w:b w:val="1"/>
          <w:bCs w:val="1"/>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Judith Clark</w:t>
      </w:r>
    </w:p>
    <w:p>
      <w:pPr>
        <w:spacing w:after="0" w:line="234" w:lineRule="auto"/>
        <w:rPr>
          <w:sz w:val="20"/>
          <w:szCs w:val="20"/>
          <w:color w:val="auto"/>
        </w:rPr>
      </w:pPr>
      <w:r>
        <w:rPr>
          <w:rFonts w:ascii="Arial" w:cs="Arial" w:eastAsia="Arial" w:hAnsi="Arial"/>
          <w:sz w:val="18"/>
          <w:szCs w:val="18"/>
          <w:color w:val="auto"/>
        </w:rPr>
        <w:t>Kelly Services, Inc.</w:t>
      </w:r>
    </w:p>
    <w:p>
      <w:pPr>
        <w:spacing w:after="0" w:line="235" w:lineRule="auto"/>
        <w:rPr>
          <w:sz w:val="20"/>
          <w:szCs w:val="20"/>
          <w:color w:val="auto"/>
        </w:rPr>
      </w:pPr>
      <w:r>
        <w:rPr>
          <w:rFonts w:ascii="Arial" w:cs="Arial" w:eastAsia="Arial" w:hAnsi="Arial"/>
          <w:sz w:val="18"/>
          <w:szCs w:val="18"/>
          <w:color w:val="auto"/>
        </w:rPr>
        <w:t>248-244-5362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Judith_Clark@kellyservices.com</w:t>
      </w:r>
    </w:p>
    <w:sectPr>
      <w:pgSz w:w="11900" w:h="16838" w:orient="portrait"/>
      <w:cols w:equalWidth="0" w:num="1">
        <w:col w:w="11420"/>
      </w:cols>
      <w:pgMar w:left="240" w:top="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2019-12-11T13:01:05Z</dcterms:created>
  <dcterms:modified xsi:type="dcterms:W3CDTF">2019-12-11T13:01:05Z</dcterms:modified>
</cp:coreProperties>
</file>